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January 31, 2017: 41,043,509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5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December 31, 2016 and June 30, 2016</w:t>
              </w:r>
            </w:hyperlink>
          </w:p>
        </w:tc>
        <w:tc>
          <w:tcPr>
            <w:tcW w:w="312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82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for the three and six months ended December</w:t>
              </w:r>
            </w:hyperlink>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31, 2016 and 2015</w:t>
              </w:r>
            </w:hyperlink>
          </w:p>
        </w:tc>
        <w:tc>
          <w:tcPr>
            <w:tcW w:w="7060" w:type="dxa"/>
            <w:vAlign w:val="bottom"/>
            <w:gridSpan w:val="9"/>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six months ended December 31, 2016 and 2015</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6860" w:type="dxa"/>
            <w:vAlign w:val="bottom"/>
            <w:tcBorders>
              <w:top w:val="single" w:sz="8" w:color="0000EE"/>
            </w:tcBorders>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156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Legal Proceedings</w:t>
              </w:r>
            </w:hyperlink>
          </w:p>
        </w:tc>
        <w:tc>
          <w:tcPr>
            <w:tcW w:w="7080" w:type="dxa"/>
            <w:vAlign w:val="bottom"/>
            <w:gridSpan w:val="10"/>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Exhibits</w:t>
              </w:r>
            </w:hyperlink>
          </w:p>
        </w:tc>
        <w:tc>
          <w:tcPr>
            <w:tcW w:w="300" w:type="dxa"/>
            <w:vAlign w:val="bottom"/>
            <w:tcBorders>
              <w:top w:val="single" w:sz="8" w:color="0000FF"/>
            </w:tcBorders>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669"/>
        </w:trPr>
        <w:tc>
          <w:tcPr>
            <w:tcW w:w="1940" w:type="dxa"/>
            <w:vAlign w:val="bottom"/>
          </w:tcPr>
          <w:p>
            <w:pPr>
              <w:spacing w:after="0"/>
              <w:rPr>
                <w:sz w:val="24"/>
                <w:szCs w:val="24"/>
                <w:color w:val="auto"/>
              </w:rPr>
            </w:pPr>
          </w:p>
        </w:tc>
        <w:tc>
          <w:tcPr>
            <w:tcW w:w="43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300" w:type="dxa"/>
            <w:vAlign w:val="bottom"/>
            <w:shd w:val="clear" w:color="auto" w:fill="CCEEFF"/>
          </w:tcPr>
          <w:p>
            <w:pPr>
              <w:spacing w:after="0"/>
              <w:rPr>
                <w:sz w:val="15"/>
                <w:szCs w:val="15"/>
                <w:color w:val="auto"/>
              </w:rPr>
            </w:pP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020" w:type="dxa"/>
            <w:vAlign w:val="bottom"/>
            <w:gridSpan w:val="2"/>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20" w:type="dxa"/>
            <w:vAlign w:val="bottom"/>
            <w:gridSpan w:val="2"/>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46,185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81,691</w:t>
            </w:r>
          </w:p>
        </w:tc>
        <w:tc>
          <w:tcPr>
            <w:tcW w:w="0" w:type="dxa"/>
            <w:vAlign w:val="bottom"/>
          </w:tcPr>
          <w:p>
            <w:pPr>
              <w:spacing w:after="0"/>
              <w:rPr>
                <w:sz w:val="1"/>
                <w:szCs w:val="1"/>
                <w:color w:val="auto"/>
              </w:rPr>
            </w:pPr>
          </w:p>
        </w:tc>
      </w:tr>
      <w:tr>
        <w:trPr>
          <w:trHeight w:val="80"/>
        </w:trPr>
        <w:tc>
          <w:tcPr>
            <w:tcW w:w="7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Accounts receivable, net of allowance for doubtful accounts of $52 and $92 at December 31, 2016 and June 30, 2016,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68,827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73,427</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28,052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22,467</w:t>
            </w:r>
          </w:p>
        </w:tc>
        <w:tc>
          <w:tcPr>
            <w:tcW w:w="0" w:type="dxa"/>
            <w:vAlign w:val="bottom"/>
          </w:tcPr>
          <w:p>
            <w:pPr>
              <w:spacing w:after="0"/>
              <w:rPr>
                <w:sz w:val="1"/>
                <w:szCs w:val="1"/>
                <w:color w:val="auto"/>
              </w:rPr>
            </w:pPr>
          </w:p>
        </w:tc>
      </w:tr>
      <w:tr>
        <w:trPr>
          <w:trHeight w:val="80"/>
        </w:trPr>
        <w:tc>
          <w:tcPr>
            <w:tcW w:w="7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70,088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58,284</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Prepaid income taxes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6,646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6,122</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current assets</w:t>
            </w:r>
          </w:p>
        </w:tc>
        <w:tc>
          <w:tcPr>
            <w:tcW w:w="5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224,847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245,392</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Property and equipment, net</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39,379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28,337</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3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366,791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344,027</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Intangible assets, net</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122,308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116,673</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1,952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assets</w:t>
            </w:r>
          </w:p>
        </w:tc>
        <w:tc>
          <w:tcPr>
            <w:tcW w:w="55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755,277</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736,496</w:t>
            </w:r>
          </w:p>
        </w:tc>
        <w:tc>
          <w:tcPr>
            <w:tcW w:w="0" w:type="dxa"/>
            <w:vAlign w:val="bottom"/>
          </w:tcPr>
          <w:p>
            <w:pPr>
              <w:spacing w:after="0"/>
              <w:rPr>
                <w:sz w:val="1"/>
                <w:szCs w:val="1"/>
                <w:color w:val="auto"/>
              </w:rPr>
            </w:pPr>
          </w:p>
        </w:tc>
      </w:tr>
      <w:tr>
        <w:trPr>
          <w:trHeight w:val="75"/>
        </w:trPr>
        <w:tc>
          <w:tcPr>
            <w:tcW w:w="72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5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020" w:type="dxa"/>
            <w:vAlign w:val="bottom"/>
            <w:gridSpan w:val="2"/>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Current liabilities: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26,236</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26,723</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Accrued expenses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10,273</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15,841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13,283</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97"/>
                <w:shd w:val="clear" w:color="auto" w:fill="CCEEFF"/>
              </w:rPr>
              <w:t>Deferred revenues and customer advances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7,365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current liabilities</w:t>
            </w:r>
          </w:p>
        </w:tc>
        <w:tc>
          <w:tcPr>
            <w:tcW w:w="5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68,520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67,644</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11,954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11,842</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Income taxes payable</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180,710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182,275</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non-current liabilities</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270,561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263,452</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Commitments and contingencies (Note M)</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20" w:type="dxa"/>
            <w:vAlign w:val="bottom"/>
            <w:gridSpan w:val="2"/>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Preferred stock, $0.01 par value; 1,000,000 shares authorized; no shares issued or outstanding</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8580" w:type="dxa"/>
            <w:vAlign w:val="bottom"/>
            <w:gridSpan w:val="3"/>
          </w:tcPr>
          <w:p>
            <w:pPr>
              <w:ind w:left="380"/>
              <w:spacing w:after="0" w:line="157" w:lineRule="exact"/>
              <w:rPr>
                <w:sz w:val="20"/>
                <w:szCs w:val="20"/>
                <w:color w:val="auto"/>
              </w:rPr>
            </w:pPr>
            <w:r>
              <w:rPr>
                <w:rFonts w:ascii="Arial" w:cs="Arial" w:eastAsia="Arial" w:hAnsi="Arial"/>
                <w:sz w:val="14"/>
                <w:szCs w:val="14"/>
                <w:color w:val="auto"/>
                <w:w w:val="93"/>
              </w:rPr>
              <w:t>Common stock, $0.01 par value; 85,000,000 shares authorized; 39,240,893 and 38,675,340 shares issued and outstanding at December 31,</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2016 and June 30, 2016,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Additional paid-in capital</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360,477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357,500</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123,233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114,210</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99"/>
                <w:shd w:val="clear" w:color="auto" w:fill="CCEEFF"/>
              </w:rPr>
              <w:t>Accumulated other comprehensive income</w:t>
            </w:r>
          </w:p>
        </w:tc>
        <w:tc>
          <w:tcPr>
            <w:tcW w:w="5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484,716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473,044</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5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Total liabilities and shareholders’ equity</w:t>
            </w:r>
          </w:p>
        </w:tc>
        <w:tc>
          <w:tcPr>
            <w:tcW w:w="55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755,277</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736,496</w:t>
            </w:r>
          </w:p>
        </w:tc>
        <w:tc>
          <w:tcPr>
            <w:tcW w:w="0" w:type="dxa"/>
            <w:vAlign w:val="bottom"/>
          </w:tcPr>
          <w:p>
            <w:pPr>
              <w:spacing w:after="0"/>
              <w:rPr>
                <w:sz w:val="1"/>
                <w:szCs w:val="1"/>
                <w:color w:val="auto"/>
              </w:rPr>
            </w:pPr>
          </w:p>
        </w:tc>
      </w:tr>
      <w:tr>
        <w:trPr>
          <w:trHeight w:val="75"/>
        </w:trPr>
        <w:tc>
          <w:tcPr>
            <w:tcW w:w="72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5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185,663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118,826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50,625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30,678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98,830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60,785</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58,041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25,994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17,711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38,431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6,983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67"/>
        </w:trPr>
        <w:tc>
          <w:tcPr>
            <w:tcW w:w="7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08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8"/>
                <w:szCs w:val="18"/>
                <w:color w:val="auto"/>
                <w:shd w:val="clear" w:color="auto" w:fill="CCEEFF"/>
              </w:rPr>
              <w:t>Basic net earnings per share</w:t>
            </w:r>
          </w:p>
        </w:tc>
        <w:tc>
          <w:tcPr>
            <w:tcW w:w="300" w:type="dxa"/>
            <w:vAlign w:val="bottom"/>
            <w:shd w:val="clear" w:color="auto" w:fill="CCEE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line="183" w:lineRule="exact"/>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line="183" w:lineRule="exact"/>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line="183"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68"/>
        </w:trPr>
        <w:tc>
          <w:tcPr>
            <w:tcW w:w="720" w:type="dxa"/>
            <w:vAlign w:val="bottom"/>
            <w:tcBorders>
              <w:bottom w:val="single" w:sz="8" w:color="CCEEFF"/>
            </w:tcBorders>
            <w:shd w:val="clear" w:color="auto" w:fill="CCEEFF"/>
          </w:tcPr>
          <w:p>
            <w:pPr>
              <w:spacing w:after="0"/>
              <w:rPr>
                <w:sz w:val="5"/>
                <w:szCs w:val="5"/>
                <w:color w:val="auto"/>
              </w:rPr>
            </w:pPr>
          </w:p>
        </w:tc>
        <w:tc>
          <w:tcPr>
            <w:tcW w:w="5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Diluted net earnings per share</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67"/>
        </w:trPr>
        <w:tc>
          <w:tcPr>
            <w:tcW w:w="7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2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39,985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39,920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33,819</w:t>
            </w:r>
          </w:p>
        </w:tc>
        <w:tc>
          <w:tcPr>
            <w:tcW w:w="0" w:type="dxa"/>
            <w:vAlign w:val="bottom"/>
          </w:tcPr>
          <w:p>
            <w:pPr>
              <w:spacing w:after="0"/>
              <w:rPr>
                <w:sz w:val="1"/>
                <w:szCs w:val="1"/>
                <w:color w:val="auto"/>
              </w:rPr>
            </w:pPr>
          </w:p>
        </w:tc>
      </w:tr>
      <w:tr>
        <w:trPr>
          <w:trHeight w:val="67"/>
        </w:trPr>
        <w:tc>
          <w:tcPr>
            <w:tcW w:w="7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2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 and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Accounts receivable, 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Deferred revenues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in 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Payments of 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46,185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81,554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ind w:left="40"/>
              <w:spacing w:after="0" w:line="183" w:lineRule="exact"/>
              <w:rPr>
                <w:sz w:val="20"/>
                <w:szCs w:val="20"/>
                <w:color w:val="auto"/>
              </w:rPr>
            </w:pPr>
            <w:r>
              <w:rPr>
                <w:rFonts w:ascii="Arial" w:cs="Arial" w:eastAsia="Arial" w:hAnsi="Arial"/>
                <w:sz w:val="18"/>
                <w:szCs w:val="18"/>
                <w:color w:val="auto"/>
                <w:shd w:val="clear" w:color="auto" w:fill="CCEEFF"/>
              </w:rPr>
              <w:t>Cash paid during the period for:</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ind w:left="380"/>
              <w:spacing w:after="0" w:line="183" w:lineRule="exact"/>
              <w:rPr>
                <w:sz w:val="20"/>
                <w:szCs w:val="20"/>
                <w:color w:val="auto"/>
              </w:rPr>
            </w:pPr>
            <w:r>
              <w:rPr>
                <w:rFonts w:ascii="Arial" w:cs="Arial" w:eastAsia="Arial" w:hAnsi="Arial"/>
                <w:sz w:val="18"/>
                <w:szCs w:val="18"/>
                <w:color w:val="auto"/>
                <w:shd w:val="clear" w:color="auto" w:fill="CCEEFF"/>
              </w:rPr>
              <w:t>Income taxes</w:t>
            </w:r>
          </w:p>
        </w:tc>
        <w:tc>
          <w:tcPr>
            <w:tcW w:w="360" w:type="dxa"/>
            <w:vAlign w:val="bottom"/>
            <w:shd w:val="clear" w:color="auto" w:fill="CCEEFF"/>
          </w:tcPr>
          <w:p>
            <w:pPr>
              <w:jc w:val="right"/>
              <w:ind w:right="150"/>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line="183" w:lineRule="exact"/>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90"/>
              <w:spacing w:after="0" w:line="183"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line="183" w:lineRule="exact"/>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68"/>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disclosures—non-cash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Non-cash investing activity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Mercury Systems, Inc. (the “Company” or “Mercury”) is a leading commercial provider of secure sensor and mission processing subsystems. Optimized for customer and mission success, its solutions power a wide variety of critical defense and intelligence programs. The Company is pioneering a next-generation defense electronics business model specifically designed to meet the industry's current and emerging technology and business needs. The Company delivers affordable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F-35, Predator, Reaper and Paveway. The Company's organizational structure allows it to deliver capabilities that combine technology building blocks and deep domain expertise in the aerospace and defense sector.</w:t>
      </w:r>
    </w:p>
    <w:p>
      <w:pPr>
        <w:spacing w:after="0" w:line="19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2016 which are contained in the Company’s Annual Report on Form 10-K filed with the Securities and Exchange Commission (“SEC”) on August 16, 2016. The results for the three and six months ended December 31, 2016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R</w:t>
      </w:r>
      <w:r>
        <w:rPr>
          <w:rFonts w:ascii="Arial" w:cs="Arial" w:eastAsia="Arial" w:hAnsi="Arial"/>
          <w:sz w:val="14"/>
          <w:szCs w:val="14"/>
          <w:color w:val="auto"/>
        </w:rPr>
        <w:t>ECLASSIFICATION</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has restated the income tax provision for the three and six months ended December 31, 2015 by $247 and $1,143, respectively, for the adoption of FASB Accounting Standards Update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The adoption resulted in a decrease in the income tax provision in both periods associated with excess tax benefits, which previously was reflected as a change in additional paid in capital before the adoption of this ASU. The Company’s Consolidated Statements of Operations and Comprehensive Income and Consolidated Statements of Cash Flows have been updated to reflect this change.</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included costs related to the sustainment of its product portfolio as research and development expense, which was previously included as costs of revenues on the Consolidated Statements of Operations and Comprehensive Income. For comparative purposes, for the three and six months ended December 31, 2015, the Company has reclassified $1,161 and $1,934, respectively, from costs of revenues to research and development expense.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recognition and measurement, subsequent measurement and accounting, and disclosure of assets and liabilities arising from contingencies in business combinations.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OREIGN</w:t>
      </w:r>
      <w:r>
        <w:rPr>
          <w:rFonts w:ascii="Arial" w:cs="Arial" w:eastAsia="Arial" w:hAnsi="Arial"/>
          <w:sz w:val="18"/>
          <w:szCs w:val="18"/>
          <w:color w:val="auto"/>
        </w:rPr>
        <w:t xml:space="preserve"> C</w:t>
      </w:r>
      <w:r>
        <w:rPr>
          <w:rFonts w:ascii="Arial" w:cs="Arial" w:eastAsia="Arial" w:hAnsi="Arial"/>
          <w:sz w:val="14"/>
          <w:szCs w:val="14"/>
          <w:color w:val="auto"/>
        </w:rPr>
        <w:t>URRENCY</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Local currencies are the functional currency for the Company’s subsidiaries in Switzerland, the United Kingdom, and Japan. The accounts of foreign subsidiaries are translated using exchange rates in effect at period-end for assets and liabilities and at average exchange rates during the period for results of operations. Deferred taxes are not recognized for translation-related temporary differences of foreign subsidiaries as their undistributed earnings are considered to be permanently reinvested. The related translation adjustments are reported in accumulated other comprehensive income in shareholders’ equity. Gains (losses) resulting from foreign currency transactions are included in other income (expense) in the Consolidated Statements of Operations and Comprehensive Income and were immaterial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uses FASB ASU No. 2009-13 (“FASB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23% and 29% of total revenues in the three and six months ended December 31, 2016, respectively. Total revenue recognized under multiple-deliverable revenue arrangements was 36% and 42% of total revenues in the three and six months ended December 31, 2015, respectively.</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6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ectPr>
          <w:pgSz w:w="11900" w:h="16838" w:orient="portrait"/>
          <w:cols w:equalWidth="0" w:num="1">
            <w:col w:w="11420"/>
          </w:cols>
          <w:pgMar w:left="240" w:top="692" w:right="2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jc w:val="right"/>
        <w:ind w:right="2020"/>
        <w:spacing w:after="0"/>
        <w:rPr>
          <w:sz w:val="20"/>
          <w:szCs w:val="20"/>
          <w:color w:val="auto"/>
        </w:rPr>
      </w:pPr>
      <w:r>
        <w:rPr>
          <w:rFonts w:ascii="Arial" w:cs="Arial" w:eastAsia="Arial" w:hAnsi="Arial"/>
          <w:sz w:val="17"/>
          <w:szCs w:val="17"/>
          <w:color w:val="auto"/>
        </w:rPr>
        <w:t>Weighted-average shares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weighted-average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dilutive equity instruments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w:t>
            </w:r>
          </w:p>
        </w:tc>
        <w:tc>
          <w:tcPr>
            <w:tcW w:w="2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39,151</w:t>
            </w:r>
          </w:p>
        </w:tc>
        <w:tc>
          <w:tcPr>
            <w:tcW w:w="1240" w:type="dxa"/>
            <w:vAlign w:val="bottom"/>
            <w:gridSpan w:val="3"/>
          </w:tcPr>
          <w:p>
            <w:pPr>
              <w:jc w:val="right"/>
              <w:ind w:right="48"/>
              <w:spacing w:after="0"/>
              <w:rPr>
                <w:sz w:val="20"/>
                <w:szCs w:val="20"/>
                <w:color w:val="auto"/>
              </w:rPr>
            </w:pPr>
            <w:r>
              <w:rPr>
                <w:rFonts w:ascii="Arial" w:cs="Arial" w:eastAsia="Arial" w:hAnsi="Arial"/>
                <w:sz w:val="18"/>
                <w:szCs w:val="18"/>
                <w:color w:val="auto"/>
              </w:rPr>
              <w:t>33,120</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39,004</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33,047</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834</w:t>
            </w:r>
          </w:p>
        </w:tc>
        <w:tc>
          <w:tcPr>
            <w:tcW w:w="1240" w:type="dxa"/>
            <w:vAlign w:val="bottom"/>
            <w:gridSpan w:val="3"/>
          </w:tcPr>
          <w:p>
            <w:pPr>
              <w:jc w:val="right"/>
              <w:ind w:right="48"/>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0" w:type="dxa"/>
            <w:vAlign w:val="bottom"/>
          </w:tcPr>
          <w:p>
            <w:pPr>
              <w:jc w:val="right"/>
              <w:spacing w:after="0"/>
              <w:rPr>
                <w:sz w:val="20"/>
                <w:szCs w:val="20"/>
                <w:color w:val="auto"/>
              </w:rPr>
            </w:pPr>
            <w:r>
              <w:rPr>
                <w:rFonts w:ascii="Arial" w:cs="Arial" w:eastAsia="Arial" w:hAnsi="Arial"/>
                <w:sz w:val="18"/>
                <w:szCs w:val="18"/>
                <w:color w:val="auto"/>
              </w:rPr>
              <w:t>39,985</w:t>
            </w:r>
          </w:p>
        </w:tc>
        <w:tc>
          <w:tcPr>
            <w:tcW w:w="1240" w:type="dxa"/>
            <w:vAlign w:val="bottom"/>
            <w:gridSpan w:val="3"/>
          </w:tcPr>
          <w:p>
            <w:pPr>
              <w:jc w:val="right"/>
              <w:ind w:right="48"/>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39,920</w:t>
            </w:r>
          </w:p>
        </w:tc>
        <w:tc>
          <w:tcPr>
            <w:tcW w:w="10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33,819</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-556895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-205105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260" w:space="720"/>
            <w:col w:w="4440"/>
          </w:cols>
          <w:pgMar w:left="240" w:top="692" w:right="239" w:bottom="1440" w:gutter="0" w:footer="0" w:header="0"/>
          <w:type w:val="continuous"/>
        </w:sectPr>
      </w:pPr>
    </w:p>
    <w:p>
      <w:pPr>
        <w:ind w:right="20" w:firstLine="432"/>
        <w:spacing w:after="0" w:line="277" w:lineRule="auto"/>
        <w:rPr>
          <w:sz w:val="20"/>
          <w:szCs w:val="20"/>
          <w:color w:val="auto"/>
        </w:rPr>
      </w:pPr>
      <w:r>
        <w:rPr>
          <w:rFonts w:ascii="Arial" w:cs="Arial" w:eastAsia="Arial" w:hAnsi="Arial"/>
          <w:sz w:val="18"/>
          <w:szCs w:val="18"/>
          <w:color w:val="auto"/>
        </w:rPr>
        <w:t>Equity instruments to purchase 9 and 6 shares of common stock were not included in the calculation of diluted net earnings per share for the three and six months ended December 31, 2016 because the equity instruments were anti-dilutive.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type w:val="continuous"/>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instruments to purchase 2 and 25 shares of common stock were not included in the calculation of diluted net earnings per share for the three and six months ended December 31, 2015 because the equity instruments were anti-dilutive.</w:t>
      </w:r>
    </w:p>
    <w:p>
      <w:pPr>
        <w:spacing w:after="0" w:line="139"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ES</w:t>
      </w:r>
      <w:r>
        <w:rPr>
          <w:rFonts w:ascii="Arial" w:cs="Arial" w:eastAsia="Arial" w:hAnsi="Arial"/>
          <w:sz w:val="18"/>
          <w:szCs w:val="18"/>
          <w:color w:val="auto"/>
        </w:rPr>
        <w:t xml:space="preserve"> C</w:t>
      </w:r>
      <w:r>
        <w:rPr>
          <w:rFonts w:ascii="Arial" w:cs="Arial" w:eastAsia="Arial" w:hAnsi="Arial"/>
          <w:sz w:val="14"/>
          <w:szCs w:val="14"/>
          <w:color w:val="auto"/>
        </w:rPr>
        <w:t>REATIVE</w:t>
      </w:r>
      <w:r>
        <w:rPr>
          <w:rFonts w:ascii="Arial" w:cs="Arial" w:eastAsia="Arial" w:hAnsi="Arial"/>
          <w:sz w:val="18"/>
          <w:szCs w:val="18"/>
          <w:color w:val="auto"/>
        </w:rPr>
        <w:t xml:space="preserve"> E</w:t>
      </w:r>
      <w:r>
        <w:rPr>
          <w:rFonts w:ascii="Arial" w:cs="Arial" w:eastAsia="Arial" w:hAnsi="Arial"/>
          <w:sz w:val="14"/>
          <w:szCs w:val="14"/>
          <w:color w:val="auto"/>
        </w:rPr>
        <w:t>LECTRONIC</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On November 4, 2016, the Company and CES Creative Electronic Systems S.A. ("CES") entered into a Stock Purchase Agreement, pursuant to which, Mercury acquired CES for a total purchase price of $39,123, subject to net working capital and net debt adjustments. The acquisition and associated transaction expenses were funded with cash on hand. Based in Geneva, Switzerland, CES is a leading provider of embedded solutions for military and aerospace mission-critical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 assurance. CES products and solutions are used on platforms such as aerial refueling tankers and multi-mission aircraft, as well as the several types of unmanned platforms.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CES: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9140" w:type="dxa"/>
            <w:vAlign w:val="bottom"/>
            <w:vMerge w:val="restart"/>
          </w:tcPr>
          <w:p>
            <w:pPr>
              <w:ind w:left="40"/>
              <w:spacing w:after="0"/>
              <w:rPr>
                <w:sz w:val="20"/>
                <w:szCs w:val="20"/>
                <w:color w:val="auto"/>
              </w:rPr>
            </w:pPr>
            <w:r>
              <w:rPr>
                <w:rFonts w:ascii="Arial" w:cs="Arial" w:eastAsia="Arial" w:hAnsi="Arial"/>
                <w:sz w:val="18"/>
                <w:szCs w:val="18"/>
                <w:color w:val="auto"/>
              </w:rPr>
              <w:t>Consideration transferred</w:t>
            </w: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39,123</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Working capital adjustment</w:t>
            </w: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and non-current 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net tangible assets acquired</w:t>
            </w: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goodwill</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22,348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assets acquired</w:t>
            </w:r>
          </w:p>
        </w:tc>
        <w:tc>
          <w:tcPr>
            <w:tcW w:w="4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amounts above represent the preliminary fair value estimates as of December 31, 2016 and are subject to subsequent adjustment as the Company obtains additional information during the measurement period. The preliminary identifiable intangible asset estimates include customer relationships of $9,472 with a useful life of 9 years and developed technology of $5,662 with a useful life of 7 years. Any subsequent adjustments to these fair value estimates occurring during the measurement period will result in an adjustment to goodwill.</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goodwill of $22,348 largely reflects the potential synergies and expansion of the Company's offerings across product lines and markets complementary to the Company's existing products and markets. CES provides the Company with in mission computing, safety-critical avionics and platform management that are in demand from our customers. These new capabilities will also substantially expand Mercury’s addressable market into commercial aerospace, defense platform management, C4I and mission computing markets that are aligned to Mercury’s existing market focus. The acquisition is directly aligned with the Company's strategy of expanding its capabilities, services and offerings along the sensor processing chain. The goodwill from this acquisition is reported under the MCE reporting unit.</w:t>
      </w:r>
    </w:p>
    <w:p>
      <w:pPr>
        <w:spacing w:after="0" w:line="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revenues and net income from CES included in the Company's consolidated results for the three and six months ended December 31, 2016 were $3,956 and $207,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ARVE-</w:t>
      </w:r>
      <w:r>
        <w:rPr>
          <w:rFonts w:ascii="Arial" w:cs="Arial" w:eastAsia="Arial" w:hAnsi="Arial"/>
          <w:sz w:val="18"/>
          <w:szCs w:val="18"/>
          <w:color w:val="auto"/>
        </w:rPr>
        <w:t>O</w:t>
      </w:r>
      <w:r>
        <w:rPr>
          <w:rFonts w:ascii="Arial" w:cs="Arial" w:eastAsia="Arial" w:hAnsi="Arial"/>
          <w:sz w:val="14"/>
          <w:szCs w:val="14"/>
          <w:color w:val="auto"/>
        </w:rPr>
        <w:t>UT</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March 23, 2016, the Company and Microsemi Corporation (“Microsemi”) entered into a Stock Purchase Agreement, pursuant to which, Microsemi agreed to sell all the membership interests in its custom microelectronics, RF and microwave solutions and embedded security operations (the “Carve-Out Business”) to the Company for $300,000 in cash on a cash-free, debt-free basis, subject to a working capital adjustment. On May 2, 2016, the transaction closed and the Company acquired the Carve-Out Business. Pursuant to the terms of the Stock Purchase Agreement, all outstanding Carve-Out Business employee stock awards that were unvested at the closing were replaced by Mercury. The replacement stock awards granted were determined based on a conversion ratio provided in the Stock Purchase Agreement. Mercury funded the acquisition with a combination of a new $200,000 bank term loan facility (see Note I) and cash on hand, which included net proceeds of approximately $92,788 raised from an underwritten common stock public offering.</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the Carve-Out Business: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9140" w:type="dxa"/>
            <w:vAlign w:val="bottom"/>
            <w:vMerge w:val="restart"/>
          </w:tcPr>
          <w:p>
            <w:pPr>
              <w:ind w:left="40"/>
              <w:spacing w:after="0"/>
              <w:rPr>
                <w:sz w:val="20"/>
                <w:szCs w:val="20"/>
                <w:color w:val="auto"/>
              </w:rPr>
            </w:pPr>
            <w:r>
              <w:rPr>
                <w:rFonts w:ascii="Arial" w:cs="Arial" w:eastAsia="Arial" w:hAnsi="Arial"/>
                <w:sz w:val="18"/>
                <w:szCs w:val="18"/>
                <w:color w:val="auto"/>
              </w:rPr>
              <w:t>Consideration transferred</w:t>
            </w: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Value allocated to replacement awards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300,407</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17,092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and non-current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net tangible assets acquired</w:t>
            </w: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26,948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102,800</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goodwill</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170,659</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assets acquired</w:t>
            </w:r>
          </w:p>
        </w:tc>
        <w:tc>
          <w:tcPr>
            <w:tcW w:w="4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300,407</w:t>
            </w:r>
          </w:p>
        </w:tc>
        <w:tc>
          <w:tcPr>
            <w:tcW w:w="0" w:type="dxa"/>
            <w:vAlign w:val="bottom"/>
          </w:tcPr>
          <w:p>
            <w:pPr>
              <w:spacing w:after="0"/>
              <w:rPr>
                <w:sz w:val="1"/>
                <w:szCs w:val="1"/>
                <w:color w:val="auto"/>
              </w:rPr>
            </w:pP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300,407</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amounts above represent the preliminary fair value estimates as of December 31, 2016 and are subject to subsequent adjustment as the Company obtains additional information during the measurement period and finalizes its fair value estimates. The preliminary identifiable intangible asset estimates include customer relationships of $70,900, completed technology of $29,700 and backlog of $2,200. Any subsequent adjustments to these fair value estimates occurring during the measurement period will result in an adjustment to goodwill.</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goodwill of $170,659 largely reflects the potential synergies and expansion of the Company's offerings across product lines and markets complementary to the Company's existing products and markets. The Carve-Out Business provides the Company with additional capability and expertise related to embedded security custom microelectronics, and microwave and radio frequency technology. The acquisition is directly aligned with the Company's strategy of expanding its capabilities, services and offerings along the sensor processing chain. The goodwill from this acquisition is reported under the Carve-Out Business reporting unit. As of December 31, 2016, the Company had $29,461 of goodwill related to the Carve-Out Business deductible for tax purposes.</w:t>
      </w:r>
    </w:p>
    <w:p>
      <w:pPr>
        <w:spacing w:after="0" w:line="8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revenues and net loss from the Carve-Out Business included in the Company's consolidated results for the three months ended December 31, 2016 were $25,986 and $(1,495), respectively. The revenues and net loss from the Carve-Out Business included in the Company's consolidated results for the six months ended December 31, 2016 were $50,296 and $(3,913),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Carve-Out Business acquisition had occurred on July 1,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 December</w:t>
            </w:r>
          </w:p>
        </w:tc>
      </w:t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31,</w:t>
            </w:r>
          </w:p>
        </w:tc>
      </w:tr>
      <w:tr>
        <w:trPr>
          <w:trHeight w:val="264"/>
        </w:trPr>
        <w:tc>
          <w:tcPr>
            <w:tcW w:w="7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 forma 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85,393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168,496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 forma 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5,041</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7,080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Basic pro forma net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Diluted pro forma net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0.18</w:t>
            </w: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unaudited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I</w:t>
      </w:r>
      <w:r>
        <w:rPr>
          <w:rFonts w:ascii="Arial" w:cs="Arial" w:eastAsia="Arial" w:hAnsi="Arial"/>
          <w:sz w:val="14"/>
          <w:szCs w:val="14"/>
          <w:color w:val="auto"/>
        </w:rPr>
        <w:t>NNOVATIVE</w:t>
      </w:r>
      <w:r>
        <w:rPr>
          <w:rFonts w:ascii="Arial" w:cs="Arial" w:eastAsia="Arial" w:hAnsi="Arial"/>
          <w:sz w:val="18"/>
          <w:szCs w:val="18"/>
          <w:color w:val="auto"/>
        </w:rPr>
        <w:t xml:space="preserve"> T</w:t>
      </w:r>
      <w:r>
        <w:rPr>
          <w:rFonts w:ascii="Arial" w:cs="Arial" w:eastAsia="Arial" w:hAnsi="Arial"/>
          <w:sz w:val="14"/>
          <w:szCs w:val="14"/>
          <w:color w:val="auto"/>
        </w:rPr>
        <w: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16, 2015, the Company entered into a share purchase agreement (the “Share Purchase Agreement”) with Lewis Innovative Technologies, Inc. (“LIT”) and the holders of the equity interests of LIT. Pursuant to the Share Purchase Agreement, the Company completed its purchase of all of the equity interests in LIT, and LIT became a wholly-owned subsidiary of the Company. Based in Huntsville, Alabama, LIT provides advanced security technology and development services necessary for protecting systems critical to national security while meeting strict Department of Defense (“DoD”) program protection requirements.</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acquired LIT for a cash purchase price of $9,756. The Company funded the purchase with cash on hand. The purchase price was subject to a post-closing adjustment based on a determination of LIT's closing net working capital. In accordance with the Share Purchase Agreement, $1,000 of the purchase price was placed into escrow to support the post-closing working capital adjustment and the sellers' indemnification obligations. The escrow is available for indemnification claims through June 16, 2017. The Company acquired LIT free of debt.</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fair value estimates of LIT's assets and liabilities have not changed since June 30, 2016. On December 15, 2016, the measurement period for LIT expired with no further adjustments required.</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December 31, 2016:</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6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Company determined the face value of its long-term debt approximates fair value at December 31, 2016 due to the recent issuance and stability of interest rates during this period. The Company has an immaterial cost-method investment.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2016</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31,205</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15,967</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11,112</w:t>
            </w:r>
          </w:p>
        </w:tc>
      </w:tr>
      <w:tr>
        <w:trPr>
          <w:trHeight w:val="237"/>
        </w:trPr>
        <w:tc>
          <w:tcPr>
            <w:tcW w:w="892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70,088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58,284</w:t>
            </w:r>
          </w:p>
        </w:tc>
      </w:tr>
      <w:tr>
        <w:trPr>
          <w:trHeight w:val="27"/>
        </w:trPr>
        <w:tc>
          <w:tcPr>
            <w:tcW w:w="8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$11,804 increase in inventory was primarily due to the inclusion of inventory from CES. There are no amounts in inventory relating to contracts having production cycles longer than one year.</w:t>
      </w:r>
    </w:p>
    <w:p>
      <w:pPr>
        <w:spacing w:after="0" w:line="1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changes in the carrying amount of goodwill by reporting unit for the six months ended December 31, 2016:</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MCE</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MDS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Carve-Out</w:t>
            </w:r>
          </w:p>
        </w:tc>
        <w:tc>
          <w:tcPr>
            <w:tcW w:w="26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Business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344,027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adjustment for the Carve-Out Business acquisition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Goodwill arising from the CES acquisition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22,348</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156,726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39,406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170,659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366,791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six months ended December 31, 2016, the Company recorded a $416 adjustment to goodwill related to the acquisition of the Carve-Out Business. The adjustment was the result of changes in fair value estimates derived from additional information obtained during the measurement period.</w:t>
      </w:r>
    </w:p>
    <w:p>
      <w:pPr>
        <w:spacing w:after="0" w:line="16"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 xml:space="preserve">In the six months ended December 31, 2016, there were no triggering events, as defined by FASB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which required an interim goodwill impairment test. The Company performs its annual goodwill impairment test in the fourth quarter of each fiscal year.</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paid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December 31, 2016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six months ended December 31, 2016, the Company incurred net restructuring and other charges of $366. Restructuring and other charges are typically related to acquisitions and organizational redesign programs initiated as part of discrete post-acquisition integration activities.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and any remaining severance obligations are expected to be paid within the next twelve months. The restructuring liability is classified as accrued expenses in the Consolidated Balance Sheets.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2" w:name="page13"/>
    <w:bookmarkEnd w:id="12"/>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recorded an income tax provision of $1,779 and of $1,433 on income from operations before income taxes of $6,983 and $6,473 for the three months ended December 31, 2016 and 2015, respectively. The Company recorded an income tax provision of $520 and of $1,801 on income from operations before income taxes of $9,543 and $9,697 for the six months ended December 31, 2016 and 2015, respectively. The effective tax rate for the three and six months ended December 31, 2016 and 2015 differed from the federal statutory rate primarily due to federal research and development credits, domestic manufacturing deduction, excess tax benefits related to stock compensation, and state taxes.</w:t>
      </w:r>
    </w:p>
    <w:p>
      <w:pPr>
        <w:spacing w:after="0" w:line="6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No material changes in the Company’s unrecognized tax positions occurred during the six months ended December 31, 2016. The Company is currently under audit by the Internal Revenue Service for fiscal year 2013. There have been no significant changes to the status of this examination during the six months ended December 31, 2016. It is reasonably possible that within the next 12 months the Company’s unrecognized tax benefits, exclusive of interest, may decrease by up to $757 at the conclusion of the audit. The Company expects that the decrease, if recognized, would not affect the effective tax rate.</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xml:space="preserve"> L</w:t>
      </w:r>
      <w:r>
        <w:rPr>
          <w:rFonts w:ascii="Arial" w:cs="Arial" w:eastAsia="Arial" w:hAnsi="Arial"/>
          <w:sz w:val="14"/>
          <w:szCs w:val="14"/>
          <w:color w:val="auto"/>
        </w:rPr>
        <w:t>OAN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ACILITIES</w:t>
      </w:r>
    </w:p>
    <w:p>
      <w:pPr>
        <w:spacing w:after="0" w:line="13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May 2, 2016, the Company and certain of its subsidiaries, as guarantors, entered into a Credit Agreement (the “Credit Agreement”) with a syndicate of commercial banks and Bank of America, N.A acting as the administrative agent. The Credit Agreement provides for a $200,000 term loan facility ("Term Loan") and a $100,000 revolving credit facility ("Revolver"). As of December 31, 2016, the Company’s outstanding balance on the Term Loan was $197,500, before $6,790 of unamortized debt issuance costs. The stated interest rate of the Term Loan was 3.0% as of December 31, 2016.</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was in compliance with all covenants and conditions under the Credit Agreement. There were no borrowings against the Revolver; however, there were outstanding letters of credit of $5,624 as of December 31, 2016.</w:t>
      </w:r>
    </w:p>
    <w:p>
      <w:pPr>
        <w:spacing w:after="0" w:line="19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15,252 shares at December 31, 2016.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2,809 shares available for future grant under the 2005 Plan at December 31, 2016.</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Company's ongoing annual equity grant program for employees, the Company grants performance-based restricted stock awards to certain executives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50 and 46 shares issued under the ESPP during the six months ended December 31, 2016 and 2015, respectively. Shares available for future purchase under the ESPP totaled 348 at December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13.09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18.31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Company recognized the full expense of its share-based payment plans in the consolidated statements of operations for the six months ended December 31, 2016 and 2015 in accordance with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had $177 and $153 of capitalized stock-based compensation expense on the Consolidated Balance Sheets as of December 31, 2016 and 2015, respectively.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December</w:t>
            </w: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81"/>
              </w:rPr>
              <w:t>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65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7"/>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K.</w:t>
            </w:r>
          </w:p>
        </w:tc>
        <w:tc>
          <w:tcPr>
            <w:tcW w:w="65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Pension</w:t>
            </w: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EFINED</w:t>
      </w:r>
      <w:r>
        <w:rPr>
          <w:rFonts w:ascii="Arial" w:cs="Arial" w:eastAsia="Arial" w:hAnsi="Arial"/>
          <w:sz w:val="18"/>
          <w:szCs w:val="18"/>
          <w:color w:val="auto"/>
        </w:rPr>
        <w:t xml:space="preserve"> B</w:t>
      </w:r>
      <w:r>
        <w:rPr>
          <w:rFonts w:ascii="Arial" w:cs="Arial" w:eastAsia="Arial" w:hAnsi="Arial"/>
          <w:sz w:val="14"/>
          <w:szCs w:val="14"/>
          <w:color w:val="auto"/>
        </w:rPr>
        <w:t>ENEFIT</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With the acquisition of CES on November 4, 2016, the Company assumed a pension plan (the "Plan") for Swiss employees, mandated by Swiss law. The Plan meets the criteria for a defined benefit plan under U.S. GAAP. The Company recognizes a net asset or liability for this defined benefit pension plan equal to the difference between the projected benefit obligation of the Plan and the fair value of the Plan’s assets. The funded status may vary from year to year due to changes in the fair value of the Plan’s assets and variations on the underlying assumptions of the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jc w:val="both"/>
        <w:ind w:firstLine="405"/>
        <w:spacing w:after="0" w:line="273" w:lineRule="auto"/>
        <w:rPr>
          <w:sz w:val="20"/>
          <w:szCs w:val="20"/>
          <w:color w:val="auto"/>
        </w:rPr>
      </w:pPr>
      <w:r>
        <w:rPr>
          <w:rFonts w:ascii="Arial" w:cs="Arial" w:eastAsia="Arial" w:hAnsi="Arial"/>
          <w:sz w:val="17"/>
          <w:szCs w:val="17"/>
          <w:color w:val="auto"/>
        </w:rPr>
        <w:t>At the acquisition date, the Company recorded a liability of approximately $7,658 in other non-current liabilities representing the net funded status of the Plan. As described in Note C of the consolidated financial statements, the fair values of the assets acquired and liabilities assumed from CES are preliminary estimates, including the estimate of the net liability associated with the Plan. This estimate is subject to subsequent adjustment as the Company obtains additional information during the measurement period and any subsequent adjustments to this fair value estimate occurring during the measurement period will result in an adjustment to goodwill. The Company recognized net periodic benefit cost of $69 associated with the Plan from the acquisition date of November 4, 2016 through December 31, 2016. Fiscal 2017 cash contributions to the Plan are expected to be $325.</w:t>
      </w:r>
    </w:p>
    <w:p>
      <w:pPr>
        <w:spacing w:after="0" w:line="20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2016</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91,407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98,014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98,014</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58,211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60,417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60,417</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2016</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174,455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185,663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185,663</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115,573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118,826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118,776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118,826</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28,187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28,337</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w w:val="97"/>
              </w:rPr>
              <w:t>Six Months Ended December 31,</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2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540" w:type="dxa"/>
            <w:vAlign w:val="bottom"/>
            <w:vMerge w:val="restart"/>
          </w:tcPr>
          <w:p>
            <w:pPr>
              <w:jc w:val="right"/>
              <w:ind w:right="650"/>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7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gridSpan w:val="2"/>
          </w:tcPr>
          <w:p>
            <w:pPr>
              <w:ind w:left="7140"/>
              <w:spacing w:after="0"/>
              <w:rPr>
                <w:sz w:val="20"/>
                <w:szCs w:val="20"/>
                <w:color w:val="auto"/>
              </w:rPr>
            </w:pPr>
            <w:r>
              <w:rPr>
                <w:rFonts w:ascii="Arial" w:cs="Arial" w:eastAsia="Arial" w:hAnsi="Arial"/>
                <w:sz w:val="14"/>
                <w:szCs w:val="14"/>
                <w:b w:val="1"/>
                <w:bCs w:val="1"/>
                <w:color w:val="auto"/>
                <w:w w:val="89"/>
              </w:rPr>
              <w:t>2016</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31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F-35</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Aegis</w:t>
            </w:r>
          </w:p>
        </w:tc>
        <w:tc>
          <w:tcPr>
            <w:tcW w:w="3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SEWIP</w:t>
            </w: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Patriot</w:t>
            </w:r>
          </w:p>
        </w:tc>
        <w:tc>
          <w:tcPr>
            <w:tcW w:w="3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4"/>
              </w:rPr>
              <w:t>11%</w:t>
            </w:r>
          </w:p>
        </w:tc>
        <w:tc>
          <w:tcPr>
            <w:tcW w:w="120" w:type="dxa"/>
            <w:vAlign w:val="bottom"/>
          </w:tcPr>
          <w:p>
            <w:pPr>
              <w:spacing w:after="0"/>
              <w:rPr>
                <w:sz w:val="21"/>
                <w:szCs w:val="21"/>
                <w:color w:val="auto"/>
              </w:rPr>
            </w:pP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December 31, 2016, the Company has entered into non-cancelable purchase commitments for certain inventory components and services used in its normal operations. The purchase commitments covered by these agreements are for less than one year and aggregate to $41,603.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26, 2017, the Company entered into an underwriting agreement. Pursuant to the terms and conditions of the underwriting agreement, the Company agreed to sell 6,000 shares of its common stock, par value $0.01 per share, at a price to the public of $33.00 per share. Pursuant to the underwriting agreement, the Company granted the underwriters an option to purchase up to an additional 900 shares of its common stock within 30 days after the date of the underwriting agreement to cover the overallotment.</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offering was made pursuant to a shelf registration statement previously filed with the SEC on August 15, 2014. On February 1, 2017, the Company closed the offering, including the full over-allotment allocation, selling an aggregate of 6,900 shares of common stock for total proceeds of $216,315 before expenses, but after underwriting fees of $11,385.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intends to use the net proceeds for general corporate purposes, including but not limited to: the acquisition of other companies or businesses, the refinancing or repayment of debt, working capital, share repurchases and capital expenditures.</w:t>
      </w:r>
    </w:p>
    <w:p>
      <w:pPr>
        <w:spacing w:after="0" w:line="6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2016.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Mercury Systems, Inc. is a leading commercial provider of secure sensor and mission processing subsystems. Optimized for customer and mission success, our solutions power a wide variety of critical defense and intelligence programs. We are pioneering a next-generation defense electronics business model specifically designed to meet the industry’s current and emerging technology and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F-35, Predator, Reaper and Paveway. Our organizational structure allows us to deliver capabilities that combine technology building blocks and deep domain expertise in the aerospace and defense sector.</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all of this while addressing the packaging challenges, often referred to as “SWaP” (size, weight, and power), that are common in military applications. We have design, development, and manufacturing capabilities in mission computing, safety-critical avionics and platform management.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provide significant capabilities relating to pre-integrated EW,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quarter generally do not indicate a trend for future orders by that customer. Additionally, order patterns do not necessarily correlate amongst customers and, therefore, we generally cannot identify sequential quarterly trends.</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2016, we had 1,063 employees. Our consolidated revenues, net income, net earnings per share, adjusted earnings per share ("adjusted EPS"), and adjusted EBITDA for the three months ended December 31, 2016 were $98.0 million, $5.2 million, $0.13, $0.30, and $23.0 million, respectively. Our consolidated revenues, net income, net earnings per share, adjusted EPS, and adjusted EBITDA for the six months ended December 31, 2016 were $185.7 million, $9.0 million, $0.23, $0.52, and $41.2 million, respectively. See the Non-GAAP Financial Measures section for a reconciliation to our most directly comparable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Results of operations for the three and six month periods ended December 31, 2015 do not include results for CES Creative Electronic Systems S.A. (“CES”) and the acquired custom microelectronics, RF and microwave solutions, and embedded security operations from Microsemi Corporation (the “Carve-Out Business”) (since both businesses were acquired subsequent to December 31, 2015) and only include the results for Lewis Innovative Technologies, Inc. (“LIT”), acquired on December 16, 2015, for a portion of those periods. Accordingly, the periods presented below are not comparable.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2016 compared to the three months ended December 31, 2015</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As a % of</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4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2016</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Total Net</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2015</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480" w:type="dxa"/>
            <w:vAlign w:val="bottom"/>
            <w:gridSpan w:val="4"/>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Revenue</w:t>
            </w:r>
          </w:p>
        </w:tc>
        <w:tc>
          <w:tcPr>
            <w:tcW w:w="1460" w:type="dxa"/>
            <w:vAlign w:val="bottom"/>
            <w:gridSpan w:val="3"/>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50,625</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30,678</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23,370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8,958</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(expense)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2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$37.6 million, or 62%, to $98.0 million during the three months ended December 31, 2016 as compared to the same period in fiscal 2016. The increase in total revenues is primarily attributed to $26.0 million of revenue from the Carve-Out Business and $4.0 million from the newly acquired CES. The increase of $7.6 million organic revenue was due to higher revenues from the Reaper, Long Range Discrimination Radar ("LRDR"), F-35, and Filthy Buzzard programs, partially offset by lower Patriot and SEWIP program revenues. International revenues, which consist of foreign military sales through prime defense contractor customers and direct sales to non-U.S. based customers, increased $2.3 million to $15.0 million during the three months ended December 31, 2016, compared to $12.7 million in the same period in the prior fiscal year. International revenues represented 15% and 21% of total revenues during the three months ended December 31, 2016 and 2015,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margin was 48.3% for the three months ended December 31, 2016, a decrease of 90 basis points from the 49.2% gross margin achieved during the same period in fiscal 2016 with both periods benefiting from approximately $6.9 million and $6.5 million of high margin F-35 royalty revenues, respectively. The lower gross margin between years was driven by the amortization of $0.9 million in inventory step-up during the three months ended December 31, 2016 related to the acquisitions of the Carve-Out Business and CES, and changes in product mix.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increased $6.7 million, or 54%, to $19.3 million during the three months ended December 31, 2016, compared to $12.6 million in the same period in fiscal 2016. The increase was primarily due to higher compensation related costs driven by added headcount resulting from the acquisition of the Carve-Out Business in the fourth quarter of fiscal 2016 and the acquisition of CES in the second quarter of fiscal 2017. Additionally, during the three months ended December 31, 2016, we incurred $0.4 million in non-cash rent expense associated with our new corporate headquarters in Andover, Massachusetts. Selling, general and administrative expenses as a percentage of revenues slightly decreased for the three months ended December 31, 2016 as compared to the same period in fiscal 2016. The decrease was due to higher revenues in the first three months of fiscal 2017, as compared to the same period in fiscal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Research and development expenses increased approximately $4.3 million, or 49%, to $13.2 million during the three months ended December 31, 2016, compared to $8.8 million during the same period in fiscal 2016. The increase was primarily due to increased headcount resulting from the acquisition of the Carve-Out Business and the acquisition of CES driving higher compensation related costs, higher depreciation and increased prototype expenditures.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and other charges decreased to less than $0.1 million during the three months ended December 31, 2016, compared to $0.2 million during the same period in fiscal 2016. Restructuring and other charges are typically related to acquisitions and organizational redesign programs initiated as part of discrete post-acquisition integration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L</w:t>
      </w:r>
      <w:r>
        <w:rPr>
          <w:rFonts w:ascii="Arial" w:cs="Arial" w:eastAsia="Arial" w:hAnsi="Arial"/>
          <w:sz w:val="14"/>
          <w:szCs w:val="14"/>
          <w:color w:val="auto"/>
        </w:rPr>
        <w:t>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completion of the LIT acquisition, we incurred $0.2 million impairment expense related to a pre-existing relationship during the second quarter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$1.0 million of acquisition costs and other related expenses during the three months ended December 31, 2016, compared to ($0.1) million during the same period in fiscal 2016. The expense during the three months ended December 31, 2016 is primarily driven by the CES acquisition completed on November 4, 2016. We expect to incur acquisition costs and other related expenses periodically in the future as we continue to seek acquisition opportunities to expand our capabilities within the sensor processing chain.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incurred $1.9 million of interest expense during the three months ended December 31, 2016 compared to less than $0.1 million in the same period in fiscal 2016. The increase was driven by $1.4 million cash interest expense related to our Term Loan and $0.5 million of non-cash interest expense related to the amortization of debt issuance costs on our Term Loan, which was entered into during the fourth quarter of fiscal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(expense) income, net decreased $0.2 million to ($0.1) million during the three months ended December 31, 2016, as compared to $0.1 million in the same period in fiscal 2016. Both periods include $0.3 million related to the amortization of the gain on the sale leaseback of our corporate headquarters, partially offset by $0.1 million and $0.2 million in bank fees during the three months ended December 31, 2016 and 2015, respectively. In addition, there was $0.2 million in foreign exchange losses during the three months ended December 31,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recorded an income tax provision of $1.8 million during the three months ended December 31, 2016 as compared to a $1.4 million income tax provision for the same period in fiscal 2016. During the three months ended December 31, 2016, and 2015, we recognized a discrete tax benefit of $0.6 million and $0.2 million, respectively, related to excess tax benefits 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based compensation. Our effective tax rate for the three months ended December 31, 2016 and 2015 differed from the federal statutory tax rate of 35% primarily due to federal research and development credits, domestic manufacturing deduction, excess tax benefits related to stock compensation, and state taxes.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2016 compared to the six months ended December 31, 2015</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six months periods indicated, financial data from the consolidated statements of operations: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 % of</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2016</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Total Net</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2015</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w:t>
            </w:r>
          </w:p>
        </w:tc>
        <w:tc>
          <w:tcPr>
            <w:tcW w:w="1460" w:type="dxa"/>
            <w:vAlign w:val="bottom"/>
            <w:gridSpan w:val="3"/>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98,830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60,785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25,994</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17,711</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74,133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48,541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Total revenues increased $66.8 million, or 56%, to $185.7 million during the six months ended December 31, 2016 as compared to the same period in fiscal 2016. The increase in total revenues is primarily attributed to $50.3 million of revenue from the Carve-Out Business and $4.0 million from the newly acquired CES. The increase of $12.5 million organic revenue is primarily attributed to increases in the Aegis, LRDR, and F-35 programs, partially offset by lower revenues from the Patriot and SEWIP programs. International revenues, which consist of foreign military sales through prime defense contractor customers and direct sales to non-U.S. based customers, were $29.1 million during the six months ended December 31, 2016, compared to $21.1 million in the same period in the prior fiscal year. International revenues represented 16% and 18% of total revenues during the six months ended December 31, 2016 and 2015,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46.8% for the six months ended December 31, 2016, a decrease of 200 basis points from the 48.8% gross margin during the same period in fiscal 2016. The lower gross margin between years was driven by the amortization of $2.9 million in inventory step-up during the six months ended December 31, 2016 related to the acquisitions of the Carve-Out Business and CES, and changes in product mix.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Selling, general and administrative expenses increased $12.2 million, or 49%, to $36.9 million during the six months ended December 31, 2016, compared to $24.7 million in the same period in fiscal 2016. The increase was primarily due to higher compensation expense due to increased headcount from the acquisition of the Carve-Out Business and the acquisition of CES, coupled with $0.7 million in non-cash rent expense associated with our new corporate headquarters in Andover, Massachusetts and higher depreciation expense of $0.5 million due to the acquired businesses during the six months ended December 31, 2016. Selling, general and administrative expenses decreased as a percentage of revenues to 19.9% during the six months ended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December 31, 2016 from 20.8% during the same period in fiscal 2016. The decrease was due to higher revenues in the first six months of fiscal 2017, as compared to the same period in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Research and development expenses increased $8.3 million, or 47% to $26.0 million during the six months ended December 31, 2016, compared to $17.7 million during the same period in fiscal 2016. The increase was primarily due to increased headcount resulting from the acquisition of the Carve-Out Business and the acquisition of CES driving higher compensation related costs, higher depreciation and increased prototype expenditures.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Restructuring and other charges were $0.4 million for the six months ended December 31, 2016, as compared to $0.6 million during the same period in fiscal 2016. Restructuring and other charges are typically related to acquisitions and organizational redesign programs initiated as part of discrete post-acquisition integration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$1.4 million of acquisition costs and other related expenses during the six months ended December 31, 2016, compared to $2.0 million during the same period in fiscal 2016. We expect to incur acquisition costs and other related expenses periodically in the future as we continue to seek acquisition opportunities to expand our capabilities within the sensor processing chain.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incurred $3.7 million of interest expense during the six months ended December 31, 2016 compared to less than $0.1 million in the same period in fiscal 2016. The increase was driven by $2.8 million cash interest expense related to our Term Loan and $0.9 million of non-cash interest expense related to the amortization of debt issuance costs on our Term Loan, which was entered into during the fourth quarter of fiscal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net was $0.5 million during the six months ended December 31, 2016, compared to $0.2 million during the same period in fiscal 2016. Both periods include $0.6 million related to the amortization of the gain on the sale leaseback of our corporate headquarters. The gain was partially offset by $0.2 million and $0.4 million in bank fees during the six months ended December 31,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recorded an income tax provision of $0.5 million during the six months ended December 31, 2016 as compared to $1.8 million for the same period in fiscal 2016. During the six months ended December 31, 2016, and 2015, we recognized a discrete tax benefit of $2.8 million and $1.1 million, respectively, related to excess tax benefits on stock-based compensation. Our effective tax rates for the six months ended December 31, 2016 and 2015 differed from the federal statutory tax rate of 35% primarily due to federal research and development tax credits, domestic manufacturing deduction, excess benefits related to stock compensation, and state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primary sources of liquidity comes from existing cash and cash generated from operations and our revolving credit facility. Our near-term fixed commitments for cash expenditures consist primarily of payments under operating leases, inventory purchase commitments with our contract manufacturers, and interest and principal payments under our Term Loan. Additionally, we currently expect approximately $15.0 million to $16.0 million of capital expenditures related to the build-out of our new corporate headquarters, and integration activities associated with the Carve-Out Business in the third quarter of fiscal 2017.</w:t>
      </w:r>
    </w:p>
    <w:p>
      <w:pPr>
        <w:spacing w:after="0" w:line="8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and cash equivalents, available revolving credit facility, cash generated from operations, and financing capabilities will be sufficient to satisfy our anticipated cash requirements for at least the next twelve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Facilities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May 2, 2016, we entered into a $200.0 million senior secured term loan A and $100.0 million revolving credit facility (“Revolver”) with a syndicate of commercial banks, with Bank of America, N.A. acting as the administrative agent (collectively, the “Credit Agreement”). Pursuant to the Revolver we can, subject to compliance with the applicable financial covenants, borrow up to $100.0 million for working capital, acquisitions, and general corporate purposes of ours and our subsidiaries. As of December 31, 2016, there was $100.0 million of borrowing capacity available under the Revolver. As of December 31, 2016, there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were no borrowings outstanding on the Revolver; however, there were outstanding letters of credit of $5.6 million. The Company was in compliance with all covenants and conditions under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approximately $190.0 million of availability remaining under the shelf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26, 2017, we entered into an underwriting agreement. Pursuant to the terms and conditions of the underwriting agreement, we agreed to sell 6.0 million shares of its common stock, par value $0.01 per share, at a price to the public of $33.00 per share. Pursuant to the underwriting agreement, we granted the underwriters an option to purchase up to an additional 0.9 million shares of its common stock within 30 days after the date of the underwriting agreement to cover the overallotment.</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offering was made pursuant to a shelf registration statement previously filed with the SEC on August 15, 2014. On February 1, 2017, we closed the offering, including the full over-allotment allocation, selling an aggregate of 6.9 million shares of common stock for total proceeds of $216.3 million before expenses, but after underwriting fees of $11.4 million. We intend to use the net proceeds for general corporate purposes, including but not limited to: the acquisition of other companies or businesses, the refinancing or repayment of debt, working capital, share repurchases and capital expenditures.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4"/>
              </w:rPr>
              <w:t>As Of and For the Six</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24,521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(52,628)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(13,105)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3,968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46,185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81,554</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cash and cash equivalents decreased by $35.5 million from June 30, 2016 to December 31, 2016, primarily as a result of $38.8 million used in the acquisition of CES, $13.8 million in purchases of property and equipment, and $7.6 million for the retirement of common stock, partially offset by $24.5 million in cash generated from operating activities. The increase in purchases of property and equipment in fiscal 2017 is due to the ongoing needs in our existing business including the build-out of our new corporate headquarters and integration activities associated with the Carve-Out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six months ended December 31, 2016, we generated $24.5 million in cash from operating activities, an increase of $5.7 million when compared to the same period in fiscal 2016. During the six months ended December 31, 2016, we incurred $8.6 million higher depreciation and amortization expense, and we generated $7.4 million higher collections from accounts receivables as compared to the same period in fiscal 2016. The increases were partially offset by $7.8 million of cash used for accounts payable and accrued expenses, and $3.3 million decrease in deferred revenues and customer advances as compared to the same period in the prior year.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six months ended December 31, 2016, we used $52.6 million in investing activities compared to $13.1 million during the same period in fiscal 2016. The increase was primarily driven by $38.8 million in cash used to acquire CES as compared to $9.8 million in cash used to acquire LIT in the same period of fiscal 2016. Additionally, we incurred $10.6 million higher purchases of property and equipment in fiscal 2017 due to the ongoing needs in our existing business including the build-out of our new corporate headquarters and integration activities associated with the Carve-Out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December 31, 2016, we used $7.3 million in financing activities compared to $1.8 million during the same period in fiscal 2016. The $5.5 million increase in cash used in financing activities was primarily due to an additional $3.4 million for the retirement of common stock and a debt principal payment of $2.5 million during the six months ended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44,663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Debt principal payment obligations (1)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283,766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58,292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43,060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163,344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firstLine="8"/>
        <w:spacing w:after="0" w:line="273" w:lineRule="auto"/>
        <w:tabs>
          <w:tab w:leader="none" w:pos="20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payments are due quarterly on the outstanding term loan. Future interest payments are not included in the schedule of commitments and contractual obligations due to the variable nature of the interest rate.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$41.6 million at December 31, 2016.</w:t>
      </w:r>
    </w:p>
    <w:p>
      <w:pPr>
        <w:spacing w:after="0" w:line="13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7"/>
          <w:szCs w:val="17"/>
          <w:color w:val="auto"/>
        </w:rPr>
        <w:t>We have a liability at December 31, 2016 of $1.6 million for uncertain tax positions that have been taken or are expected to be taken in various income tax returns. It is reasonably possible that within the next 12 months this liability, exclusive of interest, may decrease by up to $0.8 million upon the conclusion of the Internal Revenue Service audit of fiscal year 2013. We do not know the ultimate resolution on these uncertain tax positions and as such, do not know the ultimate timing of payments related to this liability. Accordingly, these amounts are not included in the above table.</w:t>
      </w:r>
    </w:p>
    <w:p>
      <w:pPr>
        <w:spacing w:after="0" w:line="4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individual employees’ tax liability associated with vesting of a restricted stock award or exercise of stock options. These transactions would be treated as a use of cash in financing activities in our statement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our periodic communications, we discuss certain important measures that are not calculated according to U.S. generally accepted accounting principles (“GAAP”), adjusted EBITDA, adjusted income, adjusted earnings per share ("adjusted EPS") and free cash flow.</w:t>
      </w:r>
    </w:p>
    <w:p>
      <w:pPr>
        <w:spacing w:after="0" w:line="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Adjusted EBITDA is defined as net income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5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3,208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 (1)</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Acquisition and financing costs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2,323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adjustments from purchase accounting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Litigation and settlement expense (income), net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22,971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41,192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24,420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and six months ended December 31, 2016 relates to Carve-Out Business and CES inventory step up amortization.</w:t>
      </w:r>
    </w:p>
    <w:p>
      <w:pPr>
        <w:spacing w:after="0" w:line="10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as income before amortization of intangible assets, restructuring and other charges, impairment of long-lived assets, acquisition and financing costs, fair value adjustments from purchase accounting, litigation and settlement income and expense, and stock-based compensation expense. The impact to income taxes includes the impact to the effective tax rate, current tax provision and deferred tax provision. Adjusted EPS expresses adjusted income on a per share basis using weighted average diluted shares outstanding.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5" w:name="page26"/>
    <w:bookmarkEnd w:id="25"/>
    <w:p>
      <w:pPr>
        <w:jc w:val="both"/>
        <w:ind w:firstLine="432"/>
        <w:spacing w:after="0" w:line="302" w:lineRule="auto"/>
        <w:rPr>
          <w:sz w:val="20"/>
          <w:szCs w:val="20"/>
          <w:color w:val="auto"/>
        </w:rPr>
      </w:pPr>
      <w:r>
        <w:rPr>
          <w:rFonts w:ascii="Arial" w:cs="Arial" w:eastAsia="Arial" w:hAnsi="Arial"/>
          <w:sz w:val="16"/>
          <w:szCs w:val="16"/>
          <w:color w:val="auto"/>
        </w:rPr>
        <w:t>Adjusted income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reconciles net income and diluted earnings per share, the most directly comparable GAAP measures, to adjusted income and adjusted EPS: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6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6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and 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0.13</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r>
      <w:tr>
        <w:trPr>
          <w:trHeight w:val="243"/>
        </w:trPr>
        <w:tc>
          <w:tcPr>
            <w:tcW w:w="20" w:type="dxa"/>
            <w:vAlign w:val="bottom"/>
          </w:tcPr>
          <w:p>
            <w:pPr>
              <w:spacing w:after="0"/>
              <w:rPr>
                <w:sz w:val="21"/>
                <w:szCs w:val="21"/>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 (1)</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and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Impact to income taxes (3)</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69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Adjusted income and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39,985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33,831</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months ended December 31, 2016 relates to Carve-Out Business and CES inventory step up amortization.</w:t>
      </w:r>
    </w:p>
    <w:p>
      <w:pPr>
        <w:spacing w:after="0" w:line="1" w:lineRule="exact"/>
        <w:rPr>
          <w:rFonts w:ascii="Arial" w:cs="Arial" w:eastAsia="Arial" w:hAnsi="Arial"/>
          <w:sz w:val="14"/>
          <w:szCs w:val="14"/>
          <w:color w:val="auto"/>
        </w:rPr>
      </w:pPr>
    </w:p>
    <w:p>
      <w:pPr>
        <w:ind w:firstLine="8"/>
        <w:spacing w:after="0" w:line="293" w:lineRule="auto"/>
        <w:tabs>
          <w:tab w:leader="none" w:pos="206"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70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income and diluted earnings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0.23</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43"/>
        </w:trPr>
        <w:tc>
          <w:tcPr>
            <w:tcW w:w="40" w:type="dxa"/>
            <w:vAlign w:val="bottom"/>
          </w:tcPr>
          <w:p>
            <w:pPr>
              <w:spacing w:after="0"/>
              <w:rPr>
                <w:sz w:val="21"/>
                <w:szCs w:val="21"/>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Restructuring and other charges (1)</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Acquisition and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Impact to income taxes (3)</w:t>
            </w:r>
          </w:p>
        </w:tc>
        <w:tc>
          <w:tcPr>
            <w:tcW w:w="4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(5,188)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7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Adjusted income and adjusted earnings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14,266</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r>
      <w:tr>
        <w:trPr>
          <w:trHeight w:val="311"/>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39,920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33,819</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six months ended December 31, 2016 relates to Carve-Out Business and CES inventory step up amortization.</w:t>
      </w:r>
    </w:p>
    <w:p>
      <w:pPr>
        <w:spacing w:after="0" w:line="1" w:lineRule="exact"/>
        <w:rPr>
          <w:rFonts w:ascii="Arial" w:cs="Arial" w:eastAsia="Arial" w:hAnsi="Arial"/>
          <w:sz w:val="14"/>
          <w:szCs w:val="14"/>
          <w:color w:val="auto"/>
        </w:rPr>
      </w:pPr>
    </w:p>
    <w:p>
      <w:pPr>
        <w:ind w:firstLine="8"/>
        <w:spacing w:after="0" w:line="293" w:lineRule="auto"/>
        <w:tabs>
          <w:tab w:leader="none" w:pos="20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6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w w:val="89"/>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18,837</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July 1, 2018, and we do not plan to early adopt this ASU. The standard permits the use of either the retrospective or cumulative effect transition method. We are still evaluating the effect that ASU 2014-09 will have on our past and future revenue recognition and related disclosure.</w:t>
      </w:r>
    </w:p>
    <w:p>
      <w:pPr>
        <w:spacing w:after="0" w:line="8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ending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8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 amendment of the FASB Accounting Standards Codification. This ASU requires lessees to recognize a right-of-use asset and lease liability for most lease arrangements. This ASU is effective for public business entities for annual and interim periods in fiscal years beginning after December 15, 2018. The standard mandates a modified retrospective transition method for all entities and early adoption is permitted. We are evaluating the effect that ASU 2016-02 will have on our consolidated financial statements and related disclosures.</w:t>
      </w:r>
    </w:p>
    <w:p>
      <w:pPr>
        <w:spacing w:after="0" w:line="4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308" w:lineRule="auto"/>
        <w:rPr>
          <w:sz w:val="20"/>
          <w:szCs w:val="20"/>
          <w:color w:val="auto"/>
        </w:rPr>
      </w:pPr>
      <w:r>
        <w:rPr>
          <w:rFonts w:ascii="Arial" w:cs="Arial" w:eastAsia="Arial" w:hAnsi="Arial"/>
          <w:sz w:val="17"/>
          <w:szCs w:val="17"/>
          <w:color w:val="auto"/>
        </w:rPr>
        <w:t>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3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U.S.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We are evaluating the effect that ASU 2016-16 will have on our consolidated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Effective July 1, 2016, we adopted FASB ASU No. 2015-01, </w:t>
      </w:r>
      <w:r>
        <w:rPr>
          <w:rFonts w:ascii="Arial" w:cs="Arial" w:eastAsia="Arial" w:hAnsi="Arial"/>
          <w:sz w:val="18"/>
          <w:szCs w:val="18"/>
          <w:i w:val="1"/>
          <w:iCs w:val="1"/>
          <w:color w:val="auto"/>
        </w:rPr>
        <w:t>Simplifying Income Statement Presentation by Eliminating the Concept of Extraordinary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Items, </w:t>
      </w:r>
      <w:r>
        <w:rPr>
          <w:rFonts w:ascii="Arial" w:cs="Arial" w:eastAsia="Arial" w:hAnsi="Arial"/>
          <w:sz w:val="18"/>
          <w:szCs w:val="18"/>
          <w:color w:val="auto"/>
        </w:rPr>
        <w:t>an amendment of the FASB Accounting Standards Codification. This ASU eliminates the separate presentation of extraordinary items, net of tax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earnings per share, but does not affect the requirement to disclose material items that are unusual in nature or infrequently occurring. The ASU aligns U.S. GAAP more closely with International Financial Reporting Standards. We will continue to evaluate whether items are unusual in nature or infrequent in their occurrence for disclosure purposes and when estimating the annual effective tax rate for interim reporting purposes. Such adoption did not have any impact to our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2016 to December 31, 2016.</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2016.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December 31, 2016 that has materially affected, or is reasonably likely to materially affect, our internal control over financial reporting. However, management is in the process of integrating the recently acquired Carve-Out Business and CES into our overall internal control over financial reporting environment.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2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2016. There have been no material changes from the factors disclosed in our 2016 Annual Report on Form 10-K filed on August 16, 2016,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December 31, 2016</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9, 2017.</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240" w:top="580" w:right="9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December 31, 2016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upperLetter"/>
      <w:start w:val="1"/>
    </w:lvl>
  </w:abstractNum>
  <w:abstractNum w:abstractNumId="3">
    <w:nsid w:val="DED7263"/>
    <w:multiLevelType w:val="hybridMultilevel"/>
    <w:lvl w:ilvl="0">
      <w:lvlJc w:val="left"/>
      <w:lvlText w:val="%1."/>
      <w:numFmt w:val="upperLetter"/>
      <w:start w:val="2"/>
    </w:lvl>
  </w:abstractNum>
  <w:abstractNum w:abstractNumId="4">
    <w:nsid w:val="7FDCC233"/>
    <w:multiLevelType w:val="hybridMultilevel"/>
    <w:lvl w:ilvl="0">
      <w:lvlJc w:val="left"/>
      <w:lvlText w:val="%1."/>
      <w:numFmt w:val="upperLetter"/>
      <w:start w:val="3"/>
    </w:lvl>
  </w:abstractNum>
  <w:abstractNum w:abstractNumId="5">
    <w:nsid w:val="1BEFD79F"/>
    <w:multiLevelType w:val="hybridMultilevel"/>
    <w:lvl w:ilvl="0">
      <w:lvlJc w:val="left"/>
      <w:lvlText w:val="%1."/>
      <w:numFmt w:val="upperLetter"/>
      <w:start w:val="4"/>
    </w:lvl>
  </w:abstractNum>
  <w:abstractNum w:abstractNumId="6">
    <w:nsid w:val="41A7C4C9"/>
    <w:multiLevelType w:val="hybridMultilevel"/>
    <w:lvl w:ilvl="0">
      <w:lvlJc w:val="left"/>
      <w:lvlText w:val="%1."/>
      <w:numFmt w:val="upperLetter"/>
      <w:start w:val="5"/>
    </w:lvl>
  </w:abstractNum>
  <w:abstractNum w:abstractNumId="7">
    <w:nsid w:val="6B68079A"/>
    <w:multiLevelType w:val="hybridMultilevel"/>
    <w:lvl w:ilvl="0">
      <w:lvlJc w:val="left"/>
      <w:lvlText w:val="%1."/>
      <w:numFmt w:val="upperLetter"/>
      <w:start w:val="6"/>
    </w:lvl>
  </w:abstractNum>
  <w:abstractNum w:abstractNumId="8">
    <w:nsid w:val="4E6AFB66"/>
    <w:multiLevelType w:val="hybridMultilevel"/>
    <w:lvl w:ilvl="0">
      <w:lvlJc w:val="left"/>
      <w:lvlText w:val="%1."/>
      <w:numFmt w:val="upperLetter"/>
      <w:start w:val="7"/>
    </w:lvl>
  </w:abstractNum>
  <w:abstractNum w:abstractNumId="9">
    <w:nsid w:val="25E45D32"/>
    <w:multiLevelType w:val="hybridMultilevel"/>
    <w:lvl w:ilvl="0">
      <w:lvlJc w:val="left"/>
      <w:lvlText w:val="%1."/>
      <w:numFmt w:val="upperLetter"/>
      <w:start w:val="8"/>
    </w:lvl>
  </w:abstractNum>
  <w:abstractNum w:abstractNumId="10">
    <w:nsid w:val="519B500D"/>
    <w:multiLevelType w:val="hybridMultilevel"/>
    <w:lvl w:ilvl="0">
      <w:lvlJc w:val="left"/>
      <w:lvlText w:val="%1."/>
      <w:numFmt w:val="upperLetter"/>
      <w:start w:val="9"/>
    </w:lvl>
  </w:abstractNum>
  <w:abstractNum w:abstractNumId="11">
    <w:nsid w:val="431BD7B7"/>
    <w:multiLevelType w:val="hybridMultilevel"/>
    <w:lvl w:ilvl="0">
      <w:lvlJc w:val="left"/>
      <w:lvlText w:val="%1."/>
      <w:numFmt w:val="upperLetter"/>
      <w:start w:val="10"/>
    </w:lvl>
  </w:abstractNum>
  <w:abstractNum w:abstractNumId="12">
    <w:nsid w:val="3F2DBA31"/>
    <w:multiLevelType w:val="hybridMultilevel"/>
    <w:lvl w:ilvl="0">
      <w:lvlJc w:val="left"/>
      <w:lvlText w:val="%1."/>
      <w:numFmt w:val="upperLetter"/>
      <w:start w:val="1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upperLetter"/>
      <w:start w:val="13"/>
    </w:lvl>
  </w:abstractNum>
  <w:abstractNum w:abstractNumId="15">
    <w:nsid w:val="62BBD95A"/>
    <w:multiLevelType w:val="hybridMultilevel"/>
    <w:lvl w:ilvl="0">
      <w:lvlJc w:val="left"/>
      <w:lvlText w:val="%1."/>
      <w:numFmt w:val="upperLetter"/>
      <w:start w:val="1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2019-12-29T08:45:28Z</dcterms:created>
  <dcterms:modified xsi:type="dcterms:W3CDTF">2019-12-29T08:45:28Z</dcterms:modified>
</cp:coreProperties>
</file>