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50 MINUTEMAN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ANDOVER,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01810</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April 30, 2017: 47,992,802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1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50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March 31, 2017 and June 30, 2016</w:t>
              </w:r>
            </w:hyperlink>
          </w:p>
        </w:tc>
        <w:tc>
          <w:tcPr>
            <w:tcW w:w="3500" w:type="dxa"/>
            <w:vAlign w:val="bottom"/>
            <w:gridSpan w:val="4"/>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Consolidated Statements of Operations and Comprehensive Income for the three and nine months ended March 31,</w:t>
              </w:r>
            </w:hyperlink>
          </w:p>
        </w:tc>
        <w:tc>
          <w:tcPr>
            <w:tcW w:w="1020" w:type="dxa"/>
            <w:vAlign w:val="bottom"/>
          </w:tcPr>
          <w:p>
            <w:pPr>
              <w:spacing w:after="0"/>
              <w:rPr>
                <w:sz w:val="24"/>
                <w:szCs w:val="24"/>
                <w:color w:val="auto"/>
              </w:rPr>
            </w:pPr>
          </w:p>
        </w:tc>
      </w:tr>
      <w:tr>
        <w:trPr>
          <w:trHeight w:val="196"/>
        </w:trPr>
        <w:tc>
          <w:tcPr>
            <w:tcW w:w="1840" w:type="dxa"/>
            <w:vAlign w:val="bottom"/>
          </w:tcPr>
          <w:p>
            <w:pPr>
              <w:spacing w:after="0"/>
              <w:rPr>
                <w:sz w:val="17"/>
                <w:szCs w:val="17"/>
                <w:color w:val="auto"/>
              </w:rPr>
            </w:pPr>
          </w:p>
        </w:tc>
        <w:tc>
          <w:tcPr>
            <w:tcW w:w="82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2017 and 2016</w:t>
              </w:r>
            </w:hyperlink>
          </w:p>
        </w:tc>
        <w:tc>
          <w:tcPr>
            <w:tcW w:w="240" w:type="dxa"/>
            <w:vAlign w:val="bottom"/>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4"/>
                <w:szCs w:val="24"/>
                <w:color w:val="auto"/>
              </w:rPr>
            </w:pPr>
          </w:p>
        </w:tc>
        <w:tc>
          <w:tcPr>
            <w:tcW w:w="85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Cash Flows for the nine months ended March 31, 2017 and 2016</w:t>
              </w:r>
            </w:hyperlink>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574"/>
        </w:trPr>
        <w:tc>
          <w:tcPr>
            <w:tcW w:w="1840" w:type="dxa"/>
            <w:vAlign w:val="bottom"/>
          </w:tcPr>
          <w:p>
            <w:pPr>
              <w:spacing w:after="0"/>
              <w:rPr>
                <w:sz w:val="24"/>
                <w:szCs w:val="24"/>
                <w:color w:val="auto"/>
              </w:rPr>
            </w:pPr>
          </w:p>
        </w:tc>
        <w:tc>
          <w:tcPr>
            <w:tcW w:w="6680" w:type="dxa"/>
            <w:vAlign w:val="bottom"/>
            <w:tcBorders>
              <w:top w:val="single" w:sz="8" w:color="0000EE"/>
            </w:tcBorders>
            <w:gridSpan w:val="1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184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Management’s Discussion and Analysis of Financial Condition and Results of Operations</w:t>
              </w:r>
            </w:hyperlink>
          </w:p>
        </w:tc>
        <w:tc>
          <w:tcPr>
            <w:tcW w:w="20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3.</w:t>
            </w:r>
          </w:p>
        </w:tc>
        <w:tc>
          <w:tcPr>
            <w:tcW w:w="852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Controls and Procedures</w:t>
              </w:r>
            </w:hyperlink>
          </w:p>
        </w:tc>
        <w:tc>
          <w:tcPr>
            <w:tcW w:w="42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20"/>
        </w:trPr>
        <w:tc>
          <w:tcPr>
            <w:tcW w:w="1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840" w:type="dxa"/>
            <w:vAlign w:val="bottom"/>
          </w:tcPr>
          <w:p>
            <w:pPr>
              <w:spacing w:after="0"/>
              <w:rPr>
                <w:sz w:val="20"/>
                <w:szCs w:val="20"/>
                <w:color w:val="auto"/>
              </w:rPr>
            </w:pPr>
            <w:r>
              <w:rPr>
                <w:rFonts w:ascii="Arial" w:cs="Arial" w:eastAsia="Arial" w:hAnsi="Arial"/>
                <w:sz w:val="18"/>
                <w:szCs w:val="18"/>
                <w:color w:val="auto"/>
              </w:rPr>
              <w:t>Item 1.</w:t>
            </w:r>
          </w:p>
        </w:tc>
        <w:tc>
          <w:tcPr>
            <w:tcW w:w="852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Legal Proceedings</w:t>
              </w:r>
            </w:hyperlink>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420" w:type="dxa"/>
            <w:vAlign w:val="bottom"/>
            <w:tcBorders>
              <w:top w:val="single" w:sz="8" w:color="0000FF"/>
            </w:tcBorders>
            <w:gridSpan w:val="2"/>
          </w:tcPr>
          <w:p>
            <w:pPr>
              <w:spacing w:after="0"/>
              <w:rPr>
                <w:sz w:val="24"/>
                <w:szCs w:val="24"/>
                <w:color w:val="auto"/>
              </w:rPr>
            </w:pPr>
          </w:p>
        </w:tc>
        <w:tc>
          <w:tcPr>
            <w:tcW w:w="7200" w:type="dxa"/>
            <w:vAlign w:val="bottom"/>
            <w:gridSpan w:val="9"/>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8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rFonts w:ascii="Arial" w:cs="Arial" w:eastAsia="Arial" w:hAnsi="Arial"/>
                <w:sz w:val="18"/>
                <w:szCs w:val="18"/>
                <w:color w:val="0000FF"/>
                <w:w w:val="91"/>
              </w:rPr>
            </w:pPr>
            <w:hyperlink w:anchor="page30">
              <w:r>
                <w:rPr>
                  <w:rFonts w:ascii="Arial" w:cs="Arial" w:eastAsia="Arial" w:hAnsi="Arial"/>
                  <w:sz w:val="18"/>
                  <w:szCs w:val="18"/>
                  <w:color w:val="0000FF"/>
                  <w:w w:val="91"/>
                </w:rPr>
                <w:t>Exhibits</w:t>
              </w:r>
            </w:hyperlink>
          </w:p>
        </w:tc>
        <w:tc>
          <w:tcPr>
            <w:tcW w:w="7920" w:type="dxa"/>
            <w:vAlign w:val="bottom"/>
            <w:gridSpan w:val="1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574"/>
        </w:trPr>
        <w:tc>
          <w:tcPr>
            <w:tcW w:w="18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Signatures</w:t>
              </w:r>
            </w:hyperlink>
          </w:p>
        </w:tc>
        <w:tc>
          <w:tcPr>
            <w:tcW w:w="77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669"/>
        </w:trPr>
        <w:tc>
          <w:tcPr>
            <w:tcW w:w="1840" w:type="dxa"/>
            <w:vAlign w:val="bottom"/>
          </w:tcPr>
          <w:p>
            <w:pPr>
              <w:spacing w:after="0"/>
              <w:rPr>
                <w:sz w:val="24"/>
                <w:szCs w:val="24"/>
                <w:color w:val="auto"/>
              </w:rPr>
            </w:pPr>
          </w:p>
        </w:tc>
        <w:tc>
          <w:tcPr>
            <w:tcW w:w="4300" w:type="dxa"/>
            <w:vAlign w:val="bottom"/>
            <w:gridSpan w:val="9"/>
          </w:tcPr>
          <w:p>
            <w:pPr>
              <w:ind w:left="378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MERCURY SYSTEMS,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jc w:val="right"/>
        <w:ind w:right="440"/>
        <w:spacing w:after="0"/>
        <w:tabs>
          <w:tab w:leader="none" w:pos="48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June 30,</w:t>
      </w:r>
    </w:p>
    <w:p>
      <w:pPr>
        <w:spacing w:after="0" w:line="4" w:lineRule="exact"/>
        <w:rPr>
          <w:sz w:val="20"/>
          <w:szCs w:val="20"/>
          <w:color w:val="auto"/>
        </w:rPr>
      </w:pPr>
    </w:p>
    <w:p>
      <w:pPr>
        <w:jc w:val="both"/>
        <w:ind w:left="9120"/>
        <w:spacing w:after="0"/>
        <w:tabs>
          <w:tab w:leader="none" w:pos="105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20"/>
          </w:cols>
          <w:pgMar w:left="240" w:top="580" w:right="239" w:bottom="1440" w:gutter="0" w:footer="0" w:header="0"/>
        </w:sectPr>
      </w:pP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5200" w:type="dxa"/>
            <w:vAlign w:val="bottom"/>
          </w:tcPr>
          <w:p>
            <w:pPr>
              <w:spacing w:after="0"/>
              <w:rPr>
                <w:sz w:val="20"/>
                <w:szCs w:val="20"/>
                <w:color w:val="auto"/>
              </w:rPr>
            </w:pPr>
            <w:r>
              <w:rPr>
                <w:rFonts w:ascii="Arial" w:cs="Arial" w:eastAsia="Arial" w:hAnsi="Arial"/>
                <w:sz w:val="14"/>
                <w:szCs w:val="14"/>
                <w:color w:val="auto"/>
              </w:rPr>
              <w:t>Current assets:</w:t>
            </w:r>
          </w:p>
        </w:tc>
        <w:tc>
          <w:tcPr>
            <w:tcW w:w="3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3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52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rPr>
        <w:t>Accounts receivable, net of allowance for doubtful accounts of $67 and $92 at March 31, 2017 and June 30,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Unbilled receivables and costs in excess of billings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Prepaid income taxes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shd w:val="clear" w:color="auto" w:fill="CCEEFF"/>
        </w:rPr>
        <w:t>Total current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Property and equipment,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Intangible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4"/>
                <w:shd w:val="clear" w:color="auto" w:fill="CCEEFF"/>
              </w:rPr>
              <w:t>Total assets</w:t>
            </w:r>
          </w:p>
        </w:tc>
        <w:tc>
          <w:tcPr>
            <w:tcW w:w="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9"/>
        </w:trPr>
        <w:tc>
          <w:tcPr>
            <w:tcW w:w="54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3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00" w:type="dxa"/>
            <w:vAlign w:val="bottom"/>
            <w:gridSpan w:val="7"/>
            <w:vMerge w:val="continue"/>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tcPr>
          <w:p>
            <w:pPr>
              <w:spacing w:after="0"/>
              <w:rPr>
                <w:sz w:val="11"/>
                <w:szCs w:val="11"/>
                <w:color w:val="auto"/>
              </w:rPr>
            </w:pPr>
          </w:p>
        </w:tc>
        <w:tc>
          <w:tcPr>
            <w:tcW w:w="340" w:type="dxa"/>
            <w:vAlign w:val="bottom"/>
            <w:gridSpan w:val="2"/>
            <w:vMerge w:val="restart"/>
          </w:tcPr>
          <w:p>
            <w:pPr>
              <w:spacing w:after="0"/>
              <w:rPr>
                <w:sz w:val="11"/>
                <w:szCs w:val="11"/>
                <w:color w:val="auto"/>
              </w:rPr>
            </w:pPr>
          </w:p>
        </w:tc>
        <w:tc>
          <w:tcPr>
            <w:tcW w:w="4020" w:type="dxa"/>
            <w:vAlign w:val="bottom"/>
            <w:vMerge w:val="restart"/>
          </w:tcPr>
          <w:p>
            <w:pPr>
              <w:spacing w:after="0"/>
              <w:rPr>
                <w:sz w:val="11"/>
                <w:szCs w:val="11"/>
                <w:color w:val="auto"/>
              </w:rPr>
            </w:pPr>
          </w:p>
        </w:tc>
        <w:tc>
          <w:tcPr>
            <w:tcW w:w="3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shd w:val="clear" w:color="auto" w:fill="CCEEFF"/>
              </w:rPr>
              <w:t>Current liabilities:</w:t>
            </w:r>
          </w:p>
        </w:tc>
        <w:tc>
          <w:tcPr>
            <w:tcW w:w="340" w:type="dxa"/>
            <w:vAlign w:val="bottom"/>
            <w:gridSpan w:val="2"/>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60" w:type="dxa"/>
            <w:vAlign w:val="bottom"/>
            <w:gridSpan w:val="5"/>
          </w:tcPr>
          <w:p>
            <w:pPr>
              <w:spacing w:after="0"/>
              <w:rPr>
                <w:sz w:val="20"/>
                <w:szCs w:val="20"/>
                <w:color w:val="auto"/>
              </w:rPr>
            </w:pPr>
            <w:r>
              <w:rPr>
                <w:rFonts w:ascii="Arial" w:cs="Arial" w:eastAsia="Arial" w:hAnsi="Arial"/>
                <w:sz w:val="14"/>
                <w:szCs w:val="14"/>
                <w:color w:val="auto"/>
              </w:rPr>
              <w:t>Accounts payable</w:t>
            </w:r>
          </w:p>
        </w:tc>
        <w:tc>
          <w:tcPr>
            <w:tcW w:w="3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20" w:type="dxa"/>
            <w:vAlign w:val="bottom"/>
          </w:tcPr>
          <w:p>
            <w:pPr>
              <w:spacing w:after="0"/>
              <w:rPr>
                <w:sz w:val="5"/>
                <w:szCs w:val="5"/>
                <w:color w:val="auto"/>
              </w:rPr>
            </w:pPr>
          </w:p>
        </w:tc>
        <w:tc>
          <w:tcPr>
            <w:tcW w:w="3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gridSpan w:val="4"/>
          </w:tcPr>
          <w:p>
            <w:pPr>
              <w:spacing w:after="0"/>
              <w:rPr>
                <w:sz w:val="3"/>
                <w:szCs w:val="3"/>
                <w:color w:val="auto"/>
              </w:rPr>
            </w:pPr>
          </w:p>
        </w:tc>
        <w:tc>
          <w:tcPr>
            <w:tcW w:w="4020" w:type="dxa"/>
            <w:vAlign w:val="bottom"/>
            <w:vMerge w:val="restart"/>
          </w:tcPr>
          <w:p>
            <w:pPr>
              <w:spacing w:after="0"/>
              <w:rPr>
                <w:sz w:val="3"/>
                <w:szCs w:val="3"/>
                <w:color w:val="auto"/>
              </w:rPr>
            </w:pPr>
          </w:p>
        </w:tc>
        <w:tc>
          <w:tcPr>
            <w:tcW w:w="3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88"/>
                <w:shd w:val="clear" w:color="auto" w:fill="CCEEFF"/>
              </w:rPr>
              <w:t>Accrued expenses</w:t>
            </w:r>
          </w:p>
        </w:tc>
        <w:tc>
          <w:tcPr>
            <w:tcW w:w="4020" w:type="dxa"/>
            <w:vAlign w:val="bottom"/>
            <w:vMerge w:val="continue"/>
          </w:tcPr>
          <w:p>
            <w:pPr>
              <w:spacing w:after="0"/>
              <w:rPr>
                <w:sz w:val="12"/>
                <w:szCs w:val="12"/>
                <w:color w:val="auto"/>
              </w:rPr>
            </w:pPr>
          </w:p>
        </w:tc>
        <w:tc>
          <w:tcPr>
            <w:tcW w:w="3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-454025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Deferred revenues and customer advances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shd w:val="clear" w:color="auto" w:fill="CCEEFF"/>
        </w:rPr>
        <w:t>Total current liabilities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Income taxes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Other non-current liabilities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shd w:val="clear" w:color="auto" w:fill="CCEEFF"/>
        </w:rPr>
        <w:t>Commitments and contingencies (Note M)</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shd w:val="clear" w:color="auto" w:fill="CCEEFF"/>
        </w:rPr>
        <w:t>Preferred stock, $0.01 par value; 1,000,000 shares authorized; no shares issued or outstanding</w:t>
      </w:r>
    </w:p>
    <w:p>
      <w:pPr>
        <w:spacing w:after="0" w:line="109" w:lineRule="exact"/>
        <w:rPr>
          <w:sz w:val="20"/>
          <w:szCs w:val="20"/>
          <w:color w:val="auto"/>
        </w:rPr>
      </w:pPr>
    </w:p>
    <w:p>
      <w:pPr>
        <w:ind w:left="380" w:right="180"/>
        <w:spacing w:after="0" w:line="253" w:lineRule="auto"/>
        <w:rPr>
          <w:sz w:val="20"/>
          <w:szCs w:val="20"/>
          <w:color w:val="auto"/>
        </w:rPr>
      </w:pPr>
      <w:r>
        <w:rPr>
          <w:rFonts w:ascii="Arial" w:cs="Arial" w:eastAsia="Arial" w:hAnsi="Arial"/>
          <w:sz w:val="14"/>
          <w:szCs w:val="14"/>
          <w:color w:val="auto"/>
        </w:rPr>
        <w:t>Common stock, $0.01 par value; 85,000,000 shares authorized; 46,158,735 and 38,675,340 shares issued and outstanding at March 31, 2017 and June 30,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4"/>
          <w:szCs w:val="14"/>
          <w:color w:val="auto"/>
          <w:shd w:val="clear" w:color="auto" w:fill="CCEEFF"/>
        </w:rPr>
        <w:t>Additional paid-in capital</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82"/>
        </w:trPr>
        <w:tc>
          <w:tcPr>
            <w:tcW w:w="5440" w:type="dxa"/>
            <w:vAlign w:val="bottom"/>
          </w:tcPr>
          <w:p>
            <w:pPr>
              <w:spacing w:after="0"/>
              <w:rPr>
                <w:sz w:val="20"/>
                <w:szCs w:val="20"/>
                <w:color w:val="auto"/>
              </w:rPr>
            </w:pPr>
            <w:r>
              <w:rPr>
                <w:rFonts w:ascii="Arial" w:cs="Arial" w:eastAsia="Arial" w:hAnsi="Arial"/>
                <w:sz w:val="14"/>
                <w:szCs w:val="14"/>
                <w:color w:val="auto"/>
              </w:rPr>
              <w:t>Retained earnings</w:t>
            </w:r>
          </w:p>
        </w:tc>
        <w:tc>
          <w:tcPr>
            <w:tcW w:w="2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4"/>
                <w:szCs w:val="14"/>
                <w:color w:val="auto"/>
                <w:shd w:val="clear" w:color="auto" w:fill="CCEEFF"/>
              </w:rPr>
              <w:t>Accumulated other comprehensive income</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rPr>
              <w:t>Total shareholders’ equity</w:t>
            </w:r>
          </w:p>
        </w:tc>
        <w:tc>
          <w:tcPr>
            <w:tcW w:w="2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340"/>
              <w:spacing w:after="0"/>
              <w:rPr>
                <w:sz w:val="20"/>
                <w:szCs w:val="20"/>
                <w:color w:val="auto"/>
              </w:rPr>
            </w:pPr>
            <w:r>
              <w:rPr>
                <w:rFonts w:ascii="Arial" w:cs="Arial" w:eastAsia="Arial" w:hAnsi="Arial"/>
                <w:sz w:val="14"/>
                <w:szCs w:val="14"/>
                <w:color w:val="auto"/>
                <w:shd w:val="clear" w:color="auto" w:fill="CCEEFF"/>
              </w:rPr>
              <w:t>Total liabilities and shareholders’ equity</w:t>
            </w: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2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270,238</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81,691</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68,227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73,427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28,389</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22,467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72,096</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58,284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1,487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3,401</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7,916</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6,122</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448,353</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245,392</w:t>
            </w:r>
          </w:p>
        </w:tc>
      </w:tr>
    </w:tbl>
    <w:p>
      <w:pPr>
        <w:spacing w:after="0" w:line="8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264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47,356</w:t>
            </w:r>
          </w:p>
        </w:tc>
        <w:tc>
          <w:tcPr>
            <w:tcW w:w="44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28,337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365,713</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344,027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117,953</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116,673</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2,001</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1,803</w:t>
            </w:r>
          </w:p>
        </w:tc>
      </w:tr>
      <w:tr>
        <w:trPr>
          <w:trHeight w:val="23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981,376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736,496</w:t>
            </w:r>
          </w:p>
        </w:tc>
      </w:tr>
      <w:tr>
        <w:trPr>
          <w:trHeight w:val="20"/>
        </w:trPr>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85"/>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24,321</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26,723</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14,600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10,273</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17,888</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13,283</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6,556</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7,365</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10,000</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73,365</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67,644</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7,030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11,842</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700</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700</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176,137</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182,275</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12,762</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w:t>
            </w:r>
          </w:p>
        </w:tc>
      </w:tr>
      <w:tr>
        <w:trPr>
          <w:trHeight w:val="244"/>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269,994</w:t>
            </w:r>
          </w:p>
        </w:tc>
        <w:tc>
          <w:tcPr>
            <w:tcW w:w="4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263,452</w:t>
            </w:r>
          </w:p>
        </w:tc>
      </w:tr>
      <w:tr>
        <w:trPr>
          <w:trHeight w:val="810"/>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461</w:t>
            </w:r>
          </w:p>
        </w:tc>
        <w:tc>
          <w:tcPr>
            <w:tcW w:w="44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387</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579,893</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357,500</w:t>
            </w:r>
          </w:p>
        </w:tc>
      </w:tr>
      <w:tr>
        <w:trPr>
          <w:trHeight w:val="27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130,281</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114,210</w:t>
            </w:r>
          </w:p>
        </w:tc>
      </w:tr>
      <w:tr>
        <w:trPr>
          <w:trHeight w:val="276"/>
        </w:trPr>
        <w:tc>
          <w:tcPr>
            <w:tcW w:w="680" w:type="dxa"/>
            <w:vAlign w:val="bottom"/>
          </w:tcPr>
          <w:p>
            <w:pPr>
              <w:jc w:val="right"/>
              <w:ind w:right="148"/>
              <w:spacing w:after="0"/>
              <w:rPr>
                <w:sz w:val="20"/>
                <w:szCs w:val="20"/>
                <w:color w:val="auto"/>
              </w:rPr>
            </w:pPr>
            <w:r>
              <w:rPr>
                <w:rFonts w:ascii="Arial" w:cs="Arial" w:eastAsia="Arial" w:hAnsi="Arial"/>
                <w:sz w:val="14"/>
                <w:szCs w:val="14"/>
                <w:color w:val="auto"/>
              </w:rPr>
              <w:t>747</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w:t>
            </w:r>
          </w:p>
        </w:tc>
      </w:tr>
      <w:tr>
        <w:trPr>
          <w:trHeight w:val="250"/>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711,382</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473,044</w:t>
            </w:r>
          </w:p>
        </w:tc>
      </w:tr>
      <w:tr>
        <w:trPr>
          <w:trHeight w:val="237"/>
        </w:trPr>
        <w:tc>
          <w:tcPr>
            <w:tcW w:w="680" w:type="dxa"/>
            <w:vAlign w:val="bottom"/>
          </w:tcPr>
          <w:p>
            <w:pPr>
              <w:jc w:val="right"/>
              <w:ind w:right="148"/>
              <w:spacing w:after="0"/>
              <w:rPr>
                <w:sz w:val="20"/>
                <w:szCs w:val="20"/>
                <w:color w:val="auto"/>
              </w:rPr>
            </w:pPr>
            <w:r>
              <w:rPr>
                <w:rFonts w:ascii="Arial" w:cs="Arial" w:eastAsia="Arial" w:hAnsi="Arial"/>
                <w:sz w:val="14"/>
                <w:szCs w:val="14"/>
                <w:color w:val="auto"/>
                <w:w w:val="86"/>
              </w:rPr>
              <w:t>981,376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736,496</w:t>
            </w:r>
          </w:p>
        </w:tc>
      </w:tr>
      <w:tr>
        <w:trPr>
          <w:trHeight w:val="20"/>
        </w:trPr>
        <w:tc>
          <w:tcPr>
            <w:tcW w:w="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-8255</wp:posOffset>
            </wp:positionV>
            <wp:extent cx="8832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-359410</wp:posOffset>
            </wp:positionV>
            <wp:extent cx="8832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-1783080</wp:posOffset>
            </wp:positionV>
            <wp:extent cx="8832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-3850005</wp:posOffset>
            </wp:positionV>
            <wp:extent cx="883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60" w:space="720"/>
            <w:col w:w="2040"/>
          </w:cols>
          <w:pgMar w:left="240" w:top="580"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tcPr>
          <w:p>
            <w:pPr>
              <w:spacing w:after="0"/>
              <w:rPr>
                <w:sz w:val="22"/>
                <w:szCs w:val="22"/>
                <w:color w:val="auto"/>
              </w:rPr>
            </w:pPr>
          </w:p>
        </w:tc>
        <w:tc>
          <w:tcPr>
            <w:tcW w:w="53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184,724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56,534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155,364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95,281</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89,443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19,229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37,396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Restructuring and other charges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 w:type="dxa"/>
            <w:vAlign w:val="bottom"/>
            <w:tcBorders>
              <w:bottom w:val="single" w:sz="8" w:color="CCEEFF"/>
            </w:tcBorders>
            <w:shd w:val="clear" w:color="auto" w:fill="CCEEFF"/>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39,088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113,221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73,124</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11,695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16,319</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income,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10,218</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16,696</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Tax provision</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7,048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08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8"/>
                <w:szCs w:val="18"/>
                <w:color w:val="auto"/>
                <w:shd w:val="clear" w:color="auto" w:fill="CCEEFF"/>
              </w:rPr>
              <w:t>Basic net earnings per share</w:t>
            </w:r>
          </w:p>
        </w:tc>
        <w:tc>
          <w:tcPr>
            <w:tcW w:w="300" w:type="dxa"/>
            <w:vAlign w:val="bottom"/>
            <w:shd w:val="clear" w:color="auto" w:fill="CCEEFF"/>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2"/>
              <w:spacing w:after="0" w:line="183" w:lineRule="exact"/>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17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line="183" w:lineRule="exact"/>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line="183" w:lineRule="exact"/>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line="183" w:lineRule="exact"/>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68"/>
        </w:trPr>
        <w:tc>
          <w:tcPr>
            <w:tcW w:w="720" w:type="dxa"/>
            <w:vAlign w:val="bottom"/>
            <w:tcBorders>
              <w:bottom w:val="single" w:sz="8" w:color="CCEEFF"/>
            </w:tcBorders>
            <w:shd w:val="clear" w:color="auto" w:fill="CCEEFF"/>
          </w:tcPr>
          <w:p>
            <w:pPr>
              <w:spacing w:after="0"/>
              <w:rPr>
                <w:sz w:val="5"/>
                <w:szCs w:val="5"/>
                <w:color w:val="auto"/>
              </w:rPr>
            </w:pPr>
          </w:p>
        </w:tc>
        <w:tc>
          <w:tcPr>
            <w:tcW w:w="536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color w:val="auto"/>
              </w:rPr>
              <w:t>Diluted net earnings per share</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vMerge w:val="continue"/>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2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Basic</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33,052</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44,814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41,530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33,830</w:t>
            </w:r>
          </w:p>
        </w:tc>
        <w:tc>
          <w:tcPr>
            <w:tcW w:w="0" w:type="dxa"/>
            <w:vAlign w:val="bottom"/>
          </w:tcPr>
          <w:p>
            <w:pPr>
              <w:spacing w:after="0"/>
              <w:rPr>
                <w:sz w:val="1"/>
                <w:szCs w:val="1"/>
                <w:color w:val="auto"/>
              </w:rPr>
            </w:pPr>
          </w:p>
        </w:tc>
      </w:tr>
      <w:tr>
        <w:trPr>
          <w:trHeight w:val="67"/>
        </w:trPr>
        <w:tc>
          <w:tcPr>
            <w:tcW w:w="72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72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2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comprehensive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0"/>
        </w:trPr>
        <w:tc>
          <w:tcPr>
            <w:tcW w:w="72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88" w:right="239" w:bottom="1440" w:gutter="0" w:footer="0" w:header="0"/>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12,253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for deferred income taxes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goodwill and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Accounts receivable, unbilled receivables, and costs in excess of billings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Prepaid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Deferred revenues and customer advances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Income taxes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shd w:val="clear" w:color="auto" w:fill="CCEEFF"/>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49,410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Increase in 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(64,186)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employee stock plans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for retirement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Proceeds from equity offering,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203,453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188,547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81,691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77,586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84,245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Mercury Systems, Inc. (the “Company” or “Mercury”) is a leading commercial provider of secure sensor and mission processing subsystems. Optimized for customer and mission success, its solutions power a wide variety of critical defense and intelligence programs. The Company is pioneering a next-generation defense electronics business model specifically designed to meet the industry's current and emerging technology and business needs. The Company delivers affordable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F-35, Predator, Reaper, and Paveway. The Company's organizational structure allows it to deliver capabilities that combine technology building blocks and deep domain expertise in the aerospace and defense sector.</w:t>
      </w:r>
    </w:p>
    <w:p>
      <w:pPr>
        <w:spacing w:after="0" w:line="19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(“GAAP”) in the United States of America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2016 which are contained in the Company’s Annual Report on Form 10-K filed with the Securities and Exchange Commission (“SEC”) on August 16, 2016. The results for the three and nine months ended March 31, 2017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R</w:t>
      </w:r>
      <w:r>
        <w:rPr>
          <w:rFonts w:ascii="Arial" w:cs="Arial" w:eastAsia="Arial" w:hAnsi="Arial"/>
          <w:sz w:val="14"/>
          <w:szCs w:val="14"/>
          <w:color w:val="auto"/>
        </w:rPr>
        <w:t>ECLASSIFICATION</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Company has restated the income tax provision for the three and nine months ended March 31, 2016 by $(169) and $974, respectively, for the adoption of FASB Accounting Standards Update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The adoption resulted in an increase and a decrease in the income tax provision associated with excess tax benefits for the three and nine months ended March 31, 2016, respectively, which previously was reflected as a change in additional paid in capital before the adoption of this ASU. The Company’s Consolidated Statements of Operations and Comprehensive Income and Consolidated Statements of Cash Flows have been updated to reflect this change.</w:t>
      </w:r>
    </w:p>
    <w:p>
      <w:pPr>
        <w:spacing w:after="0" w:line="50"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Company included costs related to the sustainment of its product portfolio as research and development expense, which was previously included as costs of revenues on the Consolidated Statements of Operations and Comprehensive Income. For comparative purposes, for the three and nine months ended March 31, 2016, the Company has reclassified $911 and $2,845, respectively, from costs of revenues to research and development expense.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USINESS</w:t>
      </w:r>
      <w:r>
        <w:rPr>
          <w:rFonts w:ascii="Arial" w:cs="Arial" w:eastAsia="Arial" w:hAnsi="Arial"/>
          <w:sz w:val="18"/>
          <w:szCs w:val="18"/>
          <w:color w:val="auto"/>
        </w:rPr>
        <w:t xml:space="preserve"> C</w:t>
      </w:r>
      <w:r>
        <w:rPr>
          <w:rFonts w:ascii="Arial" w:cs="Arial" w:eastAsia="Arial" w:hAnsi="Arial"/>
          <w:sz w:val="14"/>
          <w:szCs w:val="14"/>
          <w:color w:val="auto"/>
        </w:rPr>
        <w:t>OMBINATIONS</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utilizes the acquisition method of accounting under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(“FASB ASC 805”), for all transactions and events which it obtains control over one or more other businesses, to recognize the fair value of all assets and liabilities acquired, even if less than one hundred percent ownership is acquired, and in establishing the acquisition date fair value as the measurement date for all assets and liabilities assumed. The Company also utilizes FASB ASC 805 for the initial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recognition and measurement, subsequent measurement and accounting, and disclosure of assets and liabilities arising from contingencies in business combinations.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OREIGN</w:t>
      </w:r>
      <w:r>
        <w:rPr>
          <w:rFonts w:ascii="Arial" w:cs="Arial" w:eastAsia="Arial" w:hAnsi="Arial"/>
          <w:sz w:val="18"/>
          <w:szCs w:val="18"/>
          <w:color w:val="auto"/>
        </w:rPr>
        <w:t xml:space="preserve"> C</w:t>
      </w:r>
      <w:r>
        <w:rPr>
          <w:rFonts w:ascii="Arial" w:cs="Arial" w:eastAsia="Arial" w:hAnsi="Arial"/>
          <w:sz w:val="14"/>
          <w:szCs w:val="14"/>
          <w:color w:val="auto"/>
        </w:rPr>
        <w:t>URRENCY</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Local currencies are the functional currency for the Company’s subsidiaries in Switzerland, the United Kingdom, and Japan. The accounts of foreign subsidiaries are translated using exchange rates in effect at period-end for assets and liabilities and at average exchange rates during the period for results of operations. Deferred taxes are not recognized for translation-related temporary differences of foreign subsidiaries as their undistributed earnings are considered to be permanently reinvested. The related translation adjustments are reported in accumulated other comprehensive income in shareholders’ equity. Gains (losses) resulting from foreign currency transactions are included in other income, net in the Consolidated Statements of Operations and Comprehensive Income and were immaterial for all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 if any, have been successfully demonstrated. Out-of-pocket expenses that are reimbursable by the customer are included in revenue and cost of revenue.</w:t>
      </w:r>
    </w:p>
    <w:p>
      <w:pPr>
        <w:spacing w:after="0" w:line="7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The Company uses FASB ASU No. 2009-13 (“FASB ASU 2009-13”), </w:t>
      </w:r>
      <w:r>
        <w:rPr>
          <w:rFonts w:ascii="Arial" w:cs="Arial" w:eastAsia="Arial" w:hAnsi="Arial"/>
          <w:sz w:val="17"/>
          <w:szCs w:val="17"/>
          <w:i w:val="1"/>
          <w:iCs w:val="1"/>
          <w:color w:val="auto"/>
        </w:rPr>
        <w:t>Multiple-Deliverable Revenue Arrangements</w:t>
      </w:r>
      <w:r>
        <w:rPr>
          <w:rFonts w:ascii="Arial" w:cs="Arial" w:eastAsia="Arial" w:hAnsi="Arial"/>
          <w:sz w:val="17"/>
          <w:szCs w:val="17"/>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is available. Additionally, FASB ASU 2009-13 expands the disclosure requirements related to a vendor’s multiple-deliverable revenue arrangements.</w:t>
      </w:r>
    </w:p>
    <w:p>
      <w:pPr>
        <w:spacing w:after="0" w:line="6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37% and 32% of total revenues in the three and nine months ended March 31, 2017, respectively. Total revenue recognized under multiple-deliverable revenue arrangements was 39% and 41% of total revenues in the three and nine months ended March 31, 2016, respectively.</w:t>
      </w:r>
    </w:p>
    <w:p>
      <w:pPr>
        <w:spacing w:after="0" w:line="8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 The objective of BESP is to determine the price at which the Company would transact if the product or service were sold by the Company on a standalone basis.</w:t>
      </w:r>
    </w:p>
    <w:p>
      <w:pPr>
        <w:spacing w:after="0" w:line="4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Selling prices will be analyzed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relative to delivered products. The Company considers a deliverable to have standalone value if the item is sold separately by the Company or another vendor or if the item could be resold by the customer.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 xml:space="preserve">The Company also engages in long-term contracts for development, production and services activities which it accounts for consistent with FASB ASC 605-35,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The risk to the Company on a fixed-price contract is that if estimates to complete the contract change from one period to the next, profit levels will vary from period to period.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6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also considers whether contracts should be combined or segmented in accordance with the applicable criteria under GAAP. The Company combines closely related contracts when all the applicable criteria under GAAP are met. The combination of two or more contracts requires judgment in determining whether the intent of entering into the contracts was effectively to enter into a single project, which should be combined to reflect an overall profit rate. Similarly, the Company may separate a project, which may consist of a single contract or group of contracts, with varying rates of profitability, only if the applicable criteria under GAAP are met. Judgment also is involved in determining whether a single contract or group of contracts may be segmented based on how the arrangement was negotiated and the performance criteria. The decision to combine a group of contracts or segment a contract could change the amount of revenue and gross profit recorded in a given period.</w:t>
      </w:r>
    </w:p>
    <w:p>
      <w:pPr>
        <w:spacing w:after="0" w:line="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 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Contract costs also may include estimated contract recoveries for matters such as contract changes and claims for unanticipated contract costs. The Company records revenue associated with these matters only when the amount of recovery can be estimated reliably and realization is probable.</w:t>
      </w:r>
    </w:p>
    <w:p>
      <w:pPr>
        <w:spacing w:after="0" w:line="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Examples of the Company's service revenues include: analyst services and systems engineering support, consulting, maintenance and other support, testing and installation. The Company combines its product and service revenues into a single class as service revenues are less than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214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43,773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33,251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40,573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33,052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778</w:t>
            </w: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44,814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33,991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41,530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33,830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9 and 13 shares of common stock were not included in the calculation of diluted net earnings per share for the three and nine months ended March 31, 2017 because the equity instruments were anti-dilutive. Equity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to purchase 26 and 4 shares of common stock were not included in the calculation of diluted net earnings per share for the three and nine months ended March 31, 2016 because the equity instruments were anti-dilutive.</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January 26, 2017, the Company entered into an underwriting agreement. Pursuant to the terms and conditions of the underwriting agreement, the Company agreed to sell 6,000 shares of common stock, par value $0.01 per share, at a price to the public of $33.00 per share and granted the underwriters an option to purchase up to an additional 900 shares of its common stock within 30 days after the date of the underwriting agreement to cover over-allotments. On February 1, 2017, the Company closed the offering, including the full over-allotment allocation, selling an aggregate of 6,900 shares of common stock for total net proceeds of $215,732.</w:t>
      </w:r>
    </w:p>
    <w:p>
      <w:pPr>
        <w:spacing w:after="0" w:line="157" w:lineRule="exact"/>
        <w:rPr>
          <w:sz w:val="20"/>
          <w:szCs w:val="20"/>
          <w:color w:val="auto"/>
        </w:rPr>
      </w:pPr>
    </w:p>
    <w:p>
      <w:pPr>
        <w:ind w:left="880" w:hanging="872"/>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ES</w:t>
      </w:r>
      <w:r>
        <w:rPr>
          <w:rFonts w:ascii="Arial" w:cs="Arial" w:eastAsia="Arial" w:hAnsi="Arial"/>
          <w:sz w:val="18"/>
          <w:szCs w:val="18"/>
          <w:color w:val="auto"/>
        </w:rPr>
        <w:t xml:space="preserve"> C</w:t>
      </w:r>
      <w:r>
        <w:rPr>
          <w:rFonts w:ascii="Arial" w:cs="Arial" w:eastAsia="Arial" w:hAnsi="Arial"/>
          <w:sz w:val="14"/>
          <w:szCs w:val="14"/>
          <w:color w:val="auto"/>
        </w:rPr>
        <w:t>REATIVE</w:t>
      </w:r>
      <w:r>
        <w:rPr>
          <w:rFonts w:ascii="Arial" w:cs="Arial" w:eastAsia="Arial" w:hAnsi="Arial"/>
          <w:sz w:val="18"/>
          <w:szCs w:val="18"/>
          <w:color w:val="auto"/>
        </w:rPr>
        <w:t xml:space="preserve"> E</w:t>
      </w:r>
      <w:r>
        <w:rPr>
          <w:rFonts w:ascii="Arial" w:cs="Arial" w:eastAsia="Arial" w:hAnsi="Arial"/>
          <w:sz w:val="14"/>
          <w:szCs w:val="14"/>
          <w:color w:val="auto"/>
        </w:rPr>
        <w:t>LECTRONIC</w:t>
      </w:r>
      <w:r>
        <w:rPr>
          <w:rFonts w:ascii="Arial" w:cs="Arial" w:eastAsia="Arial" w:hAnsi="Arial"/>
          <w:sz w:val="18"/>
          <w:szCs w:val="18"/>
          <w:color w:val="auto"/>
        </w:rPr>
        <w:t xml:space="preserve"> S</w:t>
      </w:r>
      <w:r>
        <w:rPr>
          <w:rFonts w:ascii="Arial" w:cs="Arial" w:eastAsia="Arial" w:hAnsi="Arial"/>
          <w:sz w:val="14"/>
          <w:szCs w:val="14"/>
          <w:color w:val="auto"/>
        </w:rPr>
        <w:t>YSTEMS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On November 4, 2016, the Company and the shareholders of CES Creative Electronic Systems S.A. ("CES") entered into a Stock Purchase Agreement, pursuant to which, Mercury acquired CES for a total purchase price of $39,123, subject to net working capital and net debt adjustments. The acquisition and associated transaction expenses were funded with cash on hand. Based in Geneva, Switzerland, CES is a leading provider of embedded solutions for military and aerospace mission-critical computing applications. CES specializes in the design, development and manufacture of safety-certifiable product and subsystems solutions including: primary flight control units, flight test computers, mission computers, command and control processors, graphics and video processing and avionics-certified Ethernet and IO. CES has decades of experience designing subsystems deployed in applications certified up to the highest levels of design assurance. CES products and solutions are used on platforms such as aerial refueling tankers and multi-mission aircraft, as well as the several types of unmanned platforms.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CES: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9140" w:type="dxa"/>
            <w:vAlign w:val="bottom"/>
            <w:vMerge w:val="restart"/>
          </w:tcPr>
          <w:p>
            <w:pPr>
              <w:ind w:left="40"/>
              <w:spacing w:after="0"/>
              <w:rPr>
                <w:sz w:val="20"/>
                <w:szCs w:val="20"/>
                <w:color w:val="auto"/>
              </w:rPr>
            </w:pPr>
            <w:r>
              <w:rPr>
                <w:rFonts w:ascii="Arial" w:cs="Arial" w:eastAsia="Arial" w:hAnsi="Arial"/>
                <w:sz w:val="18"/>
                <w:szCs w:val="18"/>
                <w:color w:val="auto"/>
              </w:rPr>
              <w:t>Consideration transferred</w:t>
            </w: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39,123</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Working capital adjustment</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38,793</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9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and non-current deferred tax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liabilities</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(8,031)</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15,134</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goodwill</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44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38,793</w:t>
            </w:r>
          </w:p>
        </w:tc>
        <w:tc>
          <w:tcPr>
            <w:tcW w:w="0" w:type="dxa"/>
            <w:vAlign w:val="bottom"/>
          </w:tcPr>
          <w:p>
            <w:pPr>
              <w:spacing w:after="0"/>
              <w:rPr>
                <w:sz w:val="1"/>
                <w:szCs w:val="1"/>
                <w:color w:val="auto"/>
              </w:rPr>
            </w:pP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38,793</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amounts above represent the preliminary fair value estimates as of March 31, 2017 and are subject to subsequent adjustment as the Company obtains additional information during the measurement period. The preliminary identifiable intangible asset estimates include customer relationships of $9,472 with a useful life of 9 years and developed technology of $5,662 with a useful life of 7 years. Any subsequent adjustments to these fair value estimates occurring during the measurement period will result in an adjustment to goodwill.</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goodwill of $23,173 largely reflects the potential synergies and expansion of the Company's offerings across product lines and markets complementary to the Company's existing products and markets. CES provides the Company with capabilities in mission computing, safety-critical avionics and platform management that are in demand from its customers. These new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jc w:val="both"/>
        <w:ind w:right="20"/>
        <w:spacing w:after="0" w:line="286" w:lineRule="auto"/>
        <w:rPr>
          <w:sz w:val="20"/>
          <w:szCs w:val="20"/>
          <w:color w:val="auto"/>
        </w:rPr>
      </w:pPr>
      <w:r>
        <w:rPr>
          <w:rFonts w:ascii="Arial" w:cs="Arial" w:eastAsia="Arial" w:hAnsi="Arial"/>
          <w:sz w:val="17"/>
          <w:szCs w:val="17"/>
          <w:color w:val="auto"/>
        </w:rPr>
        <w:t>capabilities will also substantially expand Mercury’s addressable market into commercial aerospace, defense platform management, C4I and mission computing markets that are aligned to Mercury’s existing market focus. The acquisition is directly aligned with the Company's strategy of expanding its capabilities, services and offerings along the sensor processing chain. The goodwill from this acquisition is reported under the MCE reporting unit.</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revenues and income before income taxes from CES included in the Company's consolidated results for the three months ended March 31, 2017 were $6,367 and $668, respectively. The revenues and income before income taxes from CES included in the Company's consolidated results for the nine months ended March 31, 2017 were $10,323 and $923,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ARVE-</w:t>
      </w:r>
      <w:r>
        <w:rPr>
          <w:rFonts w:ascii="Arial" w:cs="Arial" w:eastAsia="Arial" w:hAnsi="Arial"/>
          <w:sz w:val="18"/>
          <w:szCs w:val="18"/>
          <w:color w:val="auto"/>
        </w:rPr>
        <w:t>O</w:t>
      </w:r>
      <w:r>
        <w:rPr>
          <w:rFonts w:ascii="Arial" w:cs="Arial" w:eastAsia="Arial" w:hAnsi="Arial"/>
          <w:sz w:val="14"/>
          <w:szCs w:val="14"/>
          <w:color w:val="auto"/>
        </w:rPr>
        <w:t>UT</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 xml:space="preserve"> A</w:t>
      </w:r>
      <w:r>
        <w:rPr>
          <w:rFonts w:ascii="Arial" w:cs="Arial" w:eastAsia="Arial" w:hAnsi="Arial"/>
          <w:sz w:val="14"/>
          <w:szCs w:val="14"/>
          <w:color w:val="auto"/>
        </w:rPr>
        <w:t>QUISITION</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On March 23, 2016, the Company and Microsemi Corporation (“Microsemi”) entered into a Stock Purchase Agreement, pursuant to which Microsemi agreed to sell all the membership interests in its custom microelectronics, RF and microwave solutions and embedded security operations (the “Carve-Out Business”) to the Company for $300,000 in cash on a cash-free, debt-free basis, subject to a working capital adjustment. On May 2, 2016, the transaction closed and the Company acquired the Carve-Out Business. Pursuant to the terms of the Stock Purchase Agreement, all outstanding Carve-Out Business employee stock awards that were unvested at the closing were replaced by Mercury. The replacement stock awards granted were determined based on a conversion ratio provided in the Stock Purchase Agreement. Mercury funded the acquisition with a combination of a new $200,000 bank term loan facility (see Note I) and cash on hand, which included net proceeds of approximately $92,788 raised from an underwritten common stock public offering. In February 2017, the Company received a $1,838 cash payment from Microsemi relating to a working capital adjustment pursuant to the terms of the Stock Purchase Agreement. The payout has been reflected as an adjustment to the net purchase price, resulting in a net decrease to goodwill in an equal amount.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net purchase price and the preliminary fair values of the assets and liabilities of the Carve-Out Business: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7"/>
        </w:trPr>
        <w:tc>
          <w:tcPr>
            <w:tcW w:w="9140" w:type="dxa"/>
            <w:vAlign w:val="bottom"/>
            <w:vMerge w:val="restart"/>
          </w:tcPr>
          <w:p>
            <w:pPr>
              <w:ind w:left="40"/>
              <w:spacing w:after="0"/>
              <w:rPr>
                <w:sz w:val="20"/>
                <w:szCs w:val="20"/>
                <w:color w:val="auto"/>
              </w:rPr>
            </w:pPr>
            <w:r>
              <w:rPr>
                <w:rFonts w:ascii="Arial" w:cs="Arial" w:eastAsia="Arial" w:hAnsi="Arial"/>
                <w:sz w:val="18"/>
                <w:szCs w:val="18"/>
                <w:color w:val="auto"/>
              </w:rPr>
              <w:t>Consideration transferred</w:t>
            </w: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paid at closing</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Value allocated to replacement awards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Working capital adjustment</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97"/>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298,569</w:t>
            </w:r>
          </w:p>
        </w:tc>
        <w:tc>
          <w:tcPr>
            <w:tcW w:w="0" w:type="dxa"/>
            <w:vAlign w:val="bottom"/>
          </w:tcPr>
          <w:p>
            <w:pPr>
              <w:spacing w:after="0"/>
              <w:rPr>
                <w:sz w:val="1"/>
                <w:szCs w:val="1"/>
                <w:color w:val="auto"/>
              </w:rPr>
            </w:pPr>
          </w:p>
        </w:tc>
      </w:tr>
      <w:tr>
        <w:trPr>
          <w:trHeight w:val="257"/>
        </w:trPr>
        <w:tc>
          <w:tcPr>
            <w:tcW w:w="9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tangible assets acquired and liabilities assumed</w:t>
            </w:r>
          </w:p>
        </w:tc>
        <w:tc>
          <w:tcPr>
            <w:tcW w:w="4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and cost in excess of billings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17,157</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assets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Other current and non-current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43"/>
        </w:trPr>
        <w:tc>
          <w:tcPr>
            <w:tcW w:w="9140" w:type="dxa"/>
            <w:vAlign w:val="bottom"/>
          </w:tcPr>
          <w:p>
            <w:pPr>
              <w:ind w:left="360"/>
              <w:spacing w:after="0"/>
              <w:rPr>
                <w:sz w:val="20"/>
                <w:szCs w:val="20"/>
                <w:color w:val="auto"/>
              </w:rPr>
            </w:pPr>
            <w:r>
              <w:rPr>
                <w:rFonts w:ascii="Arial" w:cs="Arial" w:eastAsia="Arial" w:hAnsi="Arial"/>
                <w:sz w:val="18"/>
                <w:szCs w:val="18"/>
                <w:color w:val="auto"/>
              </w:rPr>
              <w:t>Non-current deferred tax liabilities</w:t>
            </w:r>
          </w:p>
        </w:tc>
        <w:tc>
          <w:tcPr>
            <w:tcW w:w="4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(25,449)</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fair value of net tangible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27,013</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identifiable intangible assets</w:t>
            </w:r>
          </w:p>
        </w:tc>
        <w:tc>
          <w:tcPr>
            <w:tcW w:w="44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102,800</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goodwill</w:t>
            </w:r>
          </w:p>
        </w:tc>
        <w:tc>
          <w:tcPr>
            <w:tcW w:w="4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168,756</w:t>
            </w:r>
          </w:p>
        </w:tc>
        <w:tc>
          <w:tcPr>
            <w:tcW w:w="0" w:type="dxa"/>
            <w:vAlign w:val="bottom"/>
          </w:tcPr>
          <w:p>
            <w:pPr>
              <w:spacing w:after="0"/>
              <w:rPr>
                <w:sz w:val="1"/>
                <w:szCs w:val="1"/>
                <w:color w:val="auto"/>
              </w:rPr>
            </w:pP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Estimated fair value of net assets acquired</w:t>
            </w:r>
          </w:p>
        </w:tc>
        <w:tc>
          <w:tcPr>
            <w:tcW w:w="4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298,569</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298,569</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amounts above represent the preliminary fair value estimates as of March 31, 2017 and are subject to subsequent adjustment as the Company obtains additional information during the measurement period and finalizes its fair value estimates. The preliminary identifiable intangible asset estimates include customer relationships of $70,900, completed technology of $29,700 and backlog of $2,200. Any subsequent adjustments to these fair value estimates occurring during the measurement period, which ends on May 1, 2017, will result in an adjustment to goodwill.</w:t>
      </w:r>
    </w:p>
    <w:p>
      <w:pPr>
        <w:spacing w:after="0" w:line="6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goodwill of $168,756 largely reflects the potential synergies and expansion of the Company's offerings across product lines and markets complementary to the Company's existing products and markets. The Carve-Out Business provides the Company with additional capability and expertise related to embedded security, custom microelectronics, and microwave and radio frequency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("RF") technology. The acquisition is directly aligned with the Company's strategy of expanding its capabilities, services and offerings along the sensor processing chain. The goodwill from this acquisition is reported under the Carve-Out Business reporting unit. As of March 31, 2017, the Company had $27,166 of goodwill related to the Carve-Out Business deductible for tax purposes.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revenues and income before income taxes from the Carve-Out Business included in the Company's consolidated results for the three months ended March 31, 2017 were $25,870 and $(284), respectively. The revenues and income before income taxes from the Carve-Out Business included in the Company's consolidated results for the nine months ended March 31, 2017 were $76,108 and $(4,197),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Carve-Out Business acquisition had occurred on July 1,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March</w:t>
            </w: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Nine Months ended March</w:t>
            </w:r>
          </w:p>
        </w:tc>
      </w:t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31,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b w:val="1"/>
                <w:bCs w:val="1"/>
                <w:color w:val="auto"/>
              </w:rPr>
              <w:t>31,</w:t>
            </w:r>
          </w:p>
        </w:tc>
      </w:tr>
      <w:tr>
        <w:trPr>
          <w:trHeight w:val="264"/>
        </w:trPr>
        <w:tc>
          <w:tcPr>
            <w:tcW w:w="766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Pro forma net revenues</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90,023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258,519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 forma net income</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4,081</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11,161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Basic pro forma net earnings per share</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Diluted pro forma net earnings per share</w:t>
            </w:r>
          </w:p>
        </w:tc>
        <w:tc>
          <w:tcPr>
            <w:tcW w:w="440" w:type="dxa"/>
            <w:vAlign w:val="bottom"/>
          </w:tcPr>
          <w:p>
            <w:pPr>
              <w:ind w:left="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1"/>
                <w:szCs w:val="21"/>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0.29</w:t>
            </w:r>
          </w:p>
        </w:tc>
      </w:tr>
    </w:tbl>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unaudited pro forma results presented above are for illustrative purposes only for the applicable periods and do not purport to be indicative of the actual results which would have occurred had the transaction been completed as of the beginning of the period, nor are they indicative of results of operations which may occur in the future.</w:t>
      </w:r>
    </w:p>
    <w:p>
      <w:pPr>
        <w:spacing w:after="0" w:line="20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March 31, 2017:</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60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100,057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100,057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
        </w:trPr>
        <w:tc>
          <w:tcPr>
            <w:tcW w:w="38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100,057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5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carrying values of cash and cash equivalents, including money market funds, restricted cash, accounts receivable and payable, and accrued liabilities approximate fair value due to the short-term maturities of these assets and liabilities. The fair value of the Company’s certificates of deposit are determined through quoted prices for identical or similar instruments in markets that are not active or are directly or indirectly observable. The Company determined the face value of its long-term debt approximates fair value at March 31, 2017 due to the recent issuance and stability of interest rates during this period. The Company has an immaterial cost-method investment. The cost-method investment, which is presented within other non-current assets in the accompanying Consolidated Balance Sheets, does not have a readily determinable fair value, as such the Company recorded the investment at cost and will continue to evaluate the asset for impairment on a quarterly basis.</w:t>
      </w:r>
    </w:p>
    <w:p>
      <w:pPr>
        <w:spacing w:after="0" w:line="20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2016</w:t>
            </w: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31,205</w:t>
            </w: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22,964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15,967</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11,112</w:t>
            </w:r>
          </w:p>
        </w:tc>
      </w:tr>
      <w:tr>
        <w:trPr>
          <w:trHeight w:val="237"/>
        </w:trPr>
        <w:tc>
          <w:tcPr>
            <w:tcW w:w="892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72,096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58,284</w:t>
            </w:r>
          </w:p>
        </w:tc>
      </w:tr>
      <w:tr>
        <w:trPr>
          <w:trHeight w:val="27"/>
        </w:trPr>
        <w:tc>
          <w:tcPr>
            <w:tcW w:w="8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The $13,812 increase in inventory was primarily due to the inclusion of inventory from CES. There are no amounts in inventory relating to contracts having production cycles longer than one year.</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692" w:right="239" w:bottom="1440" w:gutter="0" w:footer="0" w:header="0"/>
          <w:type w:val="continuous"/>
        </w:sectPr>
      </w:pPr>
    </w:p>
    <w:bookmarkStart w:id="11" w:name="page12"/>
    <w:bookmarkEnd w:id="11"/>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changes in the carrying amount of goodwill by reporting unit for the nine months ended March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MCE</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MDS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Carve-Out</w:t>
            </w:r>
          </w:p>
        </w:tc>
        <w:tc>
          <w:tcPr>
            <w:tcW w:w="26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Business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170,243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344,027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Goodwill adjustment for the Carve-Out Business acquisition</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Goodwill arising from the CES acquisition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23,173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Balance at March 31, 2017</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157,551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39,406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168,756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365,713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During the nine months ended March 31, 2017, the Company recorded a $(1,487) adjustment to goodwill related to the acquisition of the Carve-Out Business. The adjustments were related to the finalization of a working capital adjustment offset by changes in fair value estimates derived from additional information obtained during the measurement period.</w:t>
      </w:r>
    </w:p>
    <w:p>
      <w:pPr>
        <w:spacing w:after="0" w:line="73"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 xml:space="preserve">In the nine months ended March 31, 2017, there were no triggering events, as defined by FASB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which required an interim goodwill impairment test. The Company performs its annual goodwill impairment test in the fourth quarter of each fiscal year.</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Facilities</w:t>
            </w:r>
          </w:p>
        </w:tc>
        <w:tc>
          <w:tcPr>
            <w:tcW w:w="340" w:type="dxa"/>
            <w:vAlign w:val="bottom"/>
          </w:tcPr>
          <w:p>
            <w:pPr>
              <w:spacing w:after="0"/>
              <w:rPr>
                <w:sz w:val="14"/>
                <w:szCs w:val="14"/>
                <w:color w:val="auto"/>
              </w:rPr>
            </w:pPr>
          </w:p>
        </w:tc>
        <w:tc>
          <w:tcPr>
            <w:tcW w:w="108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Related</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&amp; Other</w:t>
            </w: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2016</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Cash paid</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Restructuring liability at March 31, 2017</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nine months ended March 31, 2017, the Company incurred net restructuring and other charges of $825. Restructuring and other charges are typically related to acquisitions and organizational redesign programs initiated as part of discrete post-acquisition integration activities.</w:t>
      </w:r>
    </w:p>
    <w:p>
      <w:pPr>
        <w:spacing w:after="0" w:line="3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and any remaining severance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recorded an income tax provision of $3,170 and $2,642 on income from operations before income taxes of $10,218 and $6,999 for the three months ended March 31, 2017 and 2016, respectively. The Company recorded an income tax provision of $3,690 and $4,443 on income from operations before income taxes of $19,761 and $16,696 for the nine months ended March 31, 2017 and 2016, respectively. The effective tax rate for the three and nine months ended March 31, 2017 and 2016 differed from the federal statutory rate primarily due to federal research and development credits, domestic manufacturing deduction, excess tax benefits related to stock compensation, and state taxes.</w:t>
      </w:r>
    </w:p>
    <w:p>
      <w:pPr>
        <w:spacing w:after="0" w:line="6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No material changes in the Company’s unrecognized tax positions occurred during the nine months ended March 31, 2017. The Company is currently under audit by the Internal Revenue Service for fiscal year 2013. There have been no significant changes to the status of this examination during the nine months ended March 31, 2017. It is reasonably possible that within the next 12 months the Company’s unrecognized tax benefits, exclusive of interest, may decrease by up to $757 at the conclusion of the audit. The Company expects that the decrease, if recognized, would not affect the effective tax rate.</w:t>
      </w:r>
    </w:p>
    <w:p>
      <w:pPr>
        <w:spacing w:after="0" w:line="17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w:t>
      </w:r>
      <w:r>
        <w:rPr>
          <w:rFonts w:ascii="Arial" w:cs="Arial" w:eastAsia="Arial" w:hAnsi="Arial"/>
          <w:sz w:val="18"/>
          <w:szCs w:val="18"/>
          <w:color w:val="auto"/>
        </w:rPr>
        <w:t xml:space="preserve"> L</w:t>
      </w:r>
      <w:r>
        <w:rPr>
          <w:rFonts w:ascii="Arial" w:cs="Arial" w:eastAsia="Arial" w:hAnsi="Arial"/>
          <w:sz w:val="14"/>
          <w:szCs w:val="14"/>
          <w:color w:val="auto"/>
        </w:rPr>
        <w:t>OAN</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R</w:t>
      </w:r>
      <w:r>
        <w:rPr>
          <w:rFonts w:ascii="Arial" w:cs="Arial" w:eastAsia="Arial" w:hAnsi="Arial"/>
          <w:sz w:val="14"/>
          <w:szCs w:val="14"/>
          <w:color w:val="auto"/>
        </w:rPr>
        <w:t>EVOLVING</w:t>
      </w:r>
      <w:r>
        <w:rPr>
          <w:rFonts w:ascii="Arial" w:cs="Arial" w:eastAsia="Arial" w:hAnsi="Arial"/>
          <w:sz w:val="18"/>
          <w:szCs w:val="18"/>
          <w:color w:val="auto"/>
        </w:rPr>
        <w:t xml:space="preserve"> C</w:t>
      </w:r>
      <w:r>
        <w:rPr>
          <w:rFonts w:ascii="Arial" w:cs="Arial" w:eastAsia="Arial" w:hAnsi="Arial"/>
          <w:sz w:val="14"/>
          <w:szCs w:val="14"/>
          <w:color w:val="auto"/>
        </w:rPr>
        <w:t>REDIT</w:t>
      </w:r>
      <w:r>
        <w:rPr>
          <w:rFonts w:ascii="Arial" w:cs="Arial" w:eastAsia="Arial" w:hAnsi="Arial"/>
          <w:sz w:val="18"/>
          <w:szCs w:val="18"/>
          <w:color w:val="auto"/>
        </w:rPr>
        <w:t xml:space="preserve"> F</w:t>
      </w:r>
      <w:r>
        <w:rPr>
          <w:rFonts w:ascii="Arial" w:cs="Arial" w:eastAsia="Arial" w:hAnsi="Arial"/>
          <w:sz w:val="14"/>
          <w:szCs w:val="14"/>
          <w:color w:val="auto"/>
        </w:rPr>
        <w:t>ACILITIES</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2, 2016, the Company and certain of its subsidiaries, as guarantors, entered into a Credit Agreement (the “Credit Agreement”) with a syndicate of commercial banks and Bank of America, N.A acting as the administrative agent. The Credit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t>Agreement provides for a $200,000 term loan facility ("Term Loan") and a $100,000 revolving credit facility ("Revolver"). As of March 31, 2017, the Company’s outstanding balance on the Term Loan was $192,500, before $6,363 of unamortized debt issuance costs. The stated interest rate of the Term Loan was 3.2% as of March 31, 2017.</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was in compliance with all covenants and conditions under the Credit Agreement and there were no borrowings against the Revolver.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outstanding letters of credit of $5,168 as of March 31, 2017.</w:t>
      </w:r>
    </w:p>
    <w:p>
      <w:pPr>
        <w:spacing w:after="0" w:line="23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number of shares authorized for issuance under the Company’s 2005 Stock Incentive Plan, as amended and restated (the “2005 Plan”), is 15,252 shares at March 31, 2017.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2,823 shares available for future grant under the 2005 Plan at March 31, 2017.</w:t>
      </w:r>
    </w:p>
    <w:p>
      <w:pPr>
        <w:spacing w:after="0" w:line="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the Company's ongoing annual equity grant program for employees, the Company grants performance-based restricted stock awards to certain executives pursuant to the 2005 Plan. Performance awards vest based on the requisite service period subject to the achievement of specific financial performance targets. Based on the performance targets, some of these awards require graded vesting which results in more rapid expense recognition compared to traditional time-based vesting over the same vesting period. The Company monitors the probability of achieving the performance targets on a quarterly basis and may adjust periodic stock compensation expense accordingly.</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1,800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50 and 46 shares issued under the ESPP during the nine months ended March 31, 2017 and 2016, respectively. Shares available for future purchase under the ESPP totaled 348 at March 31, 2017.</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1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color w:val="auto"/>
              </w:rPr>
              <w:t>Canceled</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2017</w:t>
            </w:r>
          </w:p>
        </w:tc>
        <w:tc>
          <w:tcPr>
            <w:tcW w:w="122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4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2016</w:t>
            </w:r>
          </w:p>
        </w:tc>
        <w:tc>
          <w:tcPr>
            <w:tcW w:w="58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1,666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13.09</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Granted</w:t>
            </w:r>
          </w:p>
        </w:tc>
        <w:tc>
          <w:tcPr>
            <w:tcW w:w="5820" w:type="dxa"/>
            <w:vAlign w:val="bottom"/>
            <w:gridSpan w:val="2"/>
          </w:tcPr>
          <w:p>
            <w:pPr>
              <w:jc w:val="right"/>
              <w:ind w:right="28"/>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March 31, 2017</w:t>
            </w:r>
          </w:p>
        </w:tc>
        <w:tc>
          <w:tcPr>
            <w:tcW w:w="5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1,592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18.54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13</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0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Company recognized the full expense of its share-based payment plans in the consolidated statements of operations for the nine months ended March 31, 2017 and 2016 in accordance with FASB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had $177 and $114 of capitalized stock-based compensation expense on the Consolidated Balance Sheets as of March 31, 2017 and 2016, respectively.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Pr>
          <w:p>
            <w:pPr>
              <w:spacing w:after="0"/>
              <w:rPr>
                <w:sz w:val="16"/>
                <w:szCs w:val="16"/>
                <w:color w:val="auto"/>
              </w:rPr>
            </w:pPr>
          </w:p>
        </w:tc>
        <w:tc>
          <w:tcPr>
            <w:tcW w:w="6560" w:type="dxa"/>
            <w:vAlign w:val="bottom"/>
          </w:tcPr>
          <w:p>
            <w:pPr>
              <w:spacing w:after="0"/>
              <w:rPr>
                <w:sz w:val="16"/>
                <w:szCs w:val="16"/>
                <w:color w:val="auto"/>
              </w:rPr>
            </w:pPr>
          </w:p>
        </w:tc>
        <w:tc>
          <w:tcPr>
            <w:tcW w:w="22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6"/>
                <w:szCs w:val="16"/>
                <w:color w:val="auto"/>
              </w:rPr>
            </w:pPr>
          </w:p>
        </w:tc>
        <w:tc>
          <w:tcPr>
            <w:tcW w:w="2020" w:type="dxa"/>
            <w:vAlign w:val="bottom"/>
            <w:gridSpan w:val="4"/>
          </w:tcPr>
          <w:p>
            <w:pPr>
              <w:jc w:val="right"/>
              <w:ind w:right="33"/>
              <w:spacing w:after="0"/>
              <w:rPr>
                <w:sz w:val="20"/>
                <w:szCs w:val="20"/>
                <w:color w:val="auto"/>
              </w:rPr>
            </w:pPr>
            <w:r>
              <w:rPr>
                <w:rFonts w:ascii="Arial" w:cs="Arial" w:eastAsia="Arial" w:hAnsi="Arial"/>
                <w:sz w:val="14"/>
                <w:szCs w:val="14"/>
                <w:b w:val="1"/>
                <w:bCs w:val="1"/>
                <w:color w:val="auto"/>
                <w:w w:val="94"/>
              </w:rPr>
              <w:t>Nine Months Ended March 31,</w:t>
            </w:r>
          </w:p>
        </w:tc>
        <w:tc>
          <w:tcPr>
            <w:tcW w:w="0" w:type="dxa"/>
            <w:vAlign w:val="bottom"/>
          </w:tcPr>
          <w:p>
            <w:pPr>
              <w:spacing w:after="0"/>
              <w:rPr>
                <w:sz w:val="1"/>
                <w:szCs w:val="1"/>
                <w:color w:val="auto"/>
              </w:rPr>
            </w:pPr>
          </w:p>
        </w:tc>
      </w:tr>
      <w:tr>
        <w:trPr>
          <w:trHeight w:val="264"/>
        </w:trPr>
        <w:tc>
          <w:tcPr>
            <w:tcW w:w="420" w:type="dxa"/>
            <w:vAlign w:val="bottom"/>
            <w:tcBorders>
              <w:bottom w:val="single" w:sz="8" w:color="CCEEFF"/>
            </w:tcBorders>
          </w:tcPr>
          <w:p>
            <w:pPr>
              <w:spacing w:after="0"/>
              <w:rPr>
                <w:sz w:val="22"/>
                <w:szCs w:val="22"/>
                <w:color w:val="auto"/>
              </w:rPr>
            </w:pPr>
          </w:p>
        </w:tc>
        <w:tc>
          <w:tcPr>
            <w:tcW w:w="65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9,848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11,440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7"/>
        </w:trPr>
        <w:tc>
          <w:tcPr>
            <w:tcW w:w="6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37"/>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Share-based compensation expense, net of income taxes</w:t>
            </w:r>
          </w:p>
        </w:tc>
        <w:tc>
          <w:tcPr>
            <w:tcW w:w="2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7"/>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K.</w:t>
            </w:r>
          </w:p>
        </w:tc>
        <w:tc>
          <w:tcPr>
            <w:tcW w:w="65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Pension</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 w:type="dxa"/>
            <w:vAlign w:val="bottom"/>
            <w:vMerge w:val="continue"/>
          </w:tcPr>
          <w:p>
            <w:pPr>
              <w:spacing w:after="0" w:line="20" w:lineRule="exact"/>
              <w:rPr>
                <w:sz w:val="1"/>
                <w:szCs w:val="1"/>
                <w:color w:val="auto"/>
              </w:rPr>
            </w:pPr>
          </w:p>
        </w:tc>
        <w:tc>
          <w:tcPr>
            <w:tcW w:w="65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 w:type="dxa"/>
            <w:vAlign w:val="bottom"/>
            <w:vMerge w:val="continue"/>
          </w:tcPr>
          <w:p>
            <w:pPr>
              <w:spacing w:after="0"/>
              <w:rPr>
                <w:sz w:val="24"/>
                <w:szCs w:val="24"/>
                <w:color w:val="auto"/>
              </w:rPr>
            </w:pPr>
          </w:p>
        </w:tc>
        <w:tc>
          <w:tcPr>
            <w:tcW w:w="6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EFINED</w:t>
      </w:r>
      <w:r>
        <w:rPr>
          <w:rFonts w:ascii="Arial" w:cs="Arial" w:eastAsia="Arial" w:hAnsi="Arial"/>
          <w:sz w:val="18"/>
          <w:szCs w:val="18"/>
          <w:color w:val="auto"/>
        </w:rPr>
        <w:t xml:space="preserve"> B</w:t>
      </w:r>
      <w:r>
        <w:rPr>
          <w:rFonts w:ascii="Arial" w:cs="Arial" w:eastAsia="Arial" w:hAnsi="Arial"/>
          <w:sz w:val="14"/>
          <w:szCs w:val="14"/>
          <w:color w:val="auto"/>
        </w:rPr>
        <w:t>ENEFIT</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With the acquisition of CES on November 4, 2016, the Company assumed a pension plan (the "Plan") for Swiss employees, mandated by Swiss law. The Plan meets the criteria for a defined benefit plan under U.S. GAAP. The Company recognizes a net asset or liability for this defined benefit pension plan equal to the difference between the projected benefit obligation of the Plan and the fair value of the Plan’s assets. The funded status may vary from year to year due to changes in the fair value of the Plan’s assets and variations on the underlying assumptions of the Plan.</w:t>
      </w:r>
    </w:p>
    <w:p>
      <w:pPr>
        <w:spacing w:after="0" w:line="6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At the acquisition date, the Company recorded a liability of approximately $7,658 in other non-current liabilities representing the net funded status of the Plan. As described in Note C of the consolidated financial statements, the fair values of the assets acquired and liabilities assumed from CES are preliminary estimates, including the estimate of the net liability associated with the Plan. This estimate is subject to subsequent adjustment as the Company obtains additional information during the measurement period and any subsequent adjustments to this fair value estimate occurring during the measurement period will result in an adjustment to goodwill. The Company recognized net periodic benefit costs of $199 associated with the Plan from the acquisition date of November 4, 2016 through March 31, 2017. Fiscal 2017 cash contributions to the Plan are expected to be $330.</w:t>
      </w:r>
    </w:p>
    <w:p>
      <w:pPr>
        <w:spacing w:after="0" w:line="20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Operating segments are defined as components of an enterprise evaluated regularly by the Company's chief operating decision maker (“CODM”) in deciding how to allocate resources and assess performance. The Company is comprised of one operating and reportable segment. The Company utilized the management approach for determining its operating segment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ind w:right="720" w:firstLine="432"/>
        <w:spacing w:after="0" w:line="277" w:lineRule="auto"/>
        <w:rPr>
          <w:sz w:val="20"/>
          <w:szCs w:val="20"/>
          <w:color w:val="auto"/>
        </w:rPr>
      </w:pPr>
      <w:r>
        <w:rPr>
          <w:rFonts w:ascii="Arial" w:cs="Arial" w:eastAsia="Arial" w:hAnsi="Arial"/>
          <w:sz w:val="18"/>
          <w:szCs w:val="18"/>
          <w:color w:val="auto"/>
        </w:rPr>
        <w:t>The geographic distribution of the Company’s revenues as determined by order origination based on the country in which the Company's legal subsidiary is domiciled is summarized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U.S.</w:t>
            </w:r>
          </w:p>
        </w:tc>
        <w:tc>
          <w:tcPr>
            <w:tcW w:w="260" w:type="dxa"/>
            <w:vAlign w:val="bottom"/>
          </w:tcPr>
          <w:p>
            <w:pPr>
              <w:spacing w:after="0"/>
              <w:rPr>
                <w:sz w:val="16"/>
                <w:szCs w:val="16"/>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6"/>
                <w:szCs w:val="16"/>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8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MARCH 31, 2017</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98,599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107,317</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100,344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107,317</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 MARCH 31, 2016</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62,675</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65,898</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64,273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65,898</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MARCH 31, 2017</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273,054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292,980</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279,979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14,783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292,980</w:t>
            </w:r>
          </w:p>
        </w:tc>
      </w:tr>
      <w:tr>
        <w:trPr>
          <w:trHeight w:val="67"/>
        </w:trPr>
        <w:tc>
          <w:tcPr>
            <w:tcW w:w="47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3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NINE MONTHS ENDED MARCH 31, 2016</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178,249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184,724</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183,049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184,724</w:t>
            </w:r>
          </w:p>
        </w:tc>
      </w:tr>
      <w:tr>
        <w:trPr>
          <w:trHeight w:val="27"/>
        </w:trPr>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recent years, the Company completed a series of acquisitions that changed its technological capabilities, applications and end markets. As these acquisitions and changes occurred, the Company increased the proportion of its revenue derived from the sale of components in different technological areas, and also increased the amount of revenue associated with combining technologies into more complex and diverse products including modules, sub-assemblies and integrated subsystems. The following tables present revenue consistent with the Company's strategy of expanding its technological capabilities and program content.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214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7"/>
              </w:rPr>
              <w:t>Nine Months Ended March 31,</w:t>
            </w:r>
          </w:p>
        </w:tc>
      </w:tr>
      <w:tr>
        <w:trPr>
          <w:trHeight w:val="270"/>
        </w:trPr>
        <w:tc>
          <w:tcPr>
            <w:tcW w:w="6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3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4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Domestic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87,765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52,054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244,343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149,826</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International/Foreign Military Sales (2)</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19,552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48,637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34,898</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107,317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292,980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184,724</w:t>
            </w:r>
          </w:p>
        </w:tc>
      </w:tr>
      <w:tr>
        <w:trPr>
          <w:trHeight w:val="27"/>
        </w:trPr>
        <w:tc>
          <w:tcPr>
            <w:tcW w:w="6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Domestic revenues consist of sales where the end user is within the U.S., as well as sales to prime defense contractor customers where the ultimate end user location is not defined.</w:t>
      </w:r>
    </w:p>
    <w:p>
      <w:pPr>
        <w:spacing w:after="0" w:line="13" w:lineRule="exact"/>
        <w:rPr>
          <w:rFonts w:ascii="Arial" w:cs="Arial" w:eastAsia="Arial" w:hAnsi="Arial"/>
          <w:sz w:val="14"/>
          <w:szCs w:val="14"/>
          <w:color w:val="auto"/>
        </w:rPr>
      </w:pPr>
    </w:p>
    <w:p>
      <w:pPr>
        <w:ind w:right="20" w:firstLine="8"/>
        <w:spacing w:after="0" w:line="255" w:lineRule="auto"/>
        <w:tabs>
          <w:tab w:leader="none" w:pos="2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International/Foreign Military Sales consist of sales to U.S. prime defense contractor customers where the end user is outside the U.S., foreign military sales through the U.S. government, and direct sales to non-U.S. based customers intended for end use outside of the U.S.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below presents the Company's net revenue by end application for the periods presented:</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21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6"/>
              </w:rPr>
              <w:t>Nine Months Ended March 31,</w:t>
            </w:r>
          </w:p>
        </w:tc>
      </w:tr>
      <w:tr>
        <w:trPr>
          <w:trHeight w:val="270"/>
        </w:trPr>
        <w:tc>
          <w:tcPr>
            <w:tcW w:w="6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Radar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33,017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39,207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115,308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103,925</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Electronic Warfare (2)</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35,920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78,204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51,136</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Other (3)</w:t>
            </w:r>
          </w:p>
        </w:tc>
        <w:tc>
          <w:tcPr>
            <w:tcW w:w="14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38,380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8,776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99,468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29,663</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107,317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184,724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Radar includes end-use applications where radio frequency signals are utilized to detect, track, and identify objects.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Electronic Warfare includes end-use applications comprising the offensive and defensive use of the electromagnetic spectrum.</w:t>
      </w:r>
    </w:p>
    <w:p>
      <w:pPr>
        <w:spacing w:after="0" w:line="1" w:lineRule="exact"/>
        <w:rPr>
          <w:rFonts w:ascii="Arial" w:cs="Arial" w:eastAsia="Arial" w:hAnsi="Arial"/>
          <w:sz w:val="14"/>
          <w:szCs w:val="14"/>
          <w:color w:val="auto"/>
        </w:rPr>
      </w:pPr>
    </w:p>
    <w:p>
      <w:pPr>
        <w:ind w:right="20" w:firstLine="8"/>
        <w:spacing w:after="0" w:line="255" w:lineRule="auto"/>
        <w:tabs>
          <w:tab w:leader="none" w:pos="207"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products include all end markets other than Radar and Electronic Warfare. Examples include but are not limited to various commercial and other end-use applications and technologies, as well as various component and other sales where the end use is not specified.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92" w:right="23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t>The following table below presents the Company's net revenue by product grouping for the periods presented:</w:t>
      </w:r>
    </w:p>
    <w:p>
      <w:pPr>
        <w:spacing w:after="0" w:line="338"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6"/>
                <w:szCs w:val="16"/>
                <w:color w:val="auto"/>
              </w:rPr>
            </w:pPr>
          </w:p>
        </w:tc>
        <w:tc>
          <w:tcPr>
            <w:tcW w:w="212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w w:val="96"/>
              </w:rPr>
              <w:t>Nine Months Ended March 31,</w:t>
            </w:r>
          </w:p>
        </w:tc>
      </w:tr>
      <w:tr>
        <w:trPr>
          <w:trHeight w:val="270"/>
        </w:trPr>
        <w:tc>
          <w:tcPr>
            <w:tcW w:w="61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Components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26,920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5,179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74,126</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16,838</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Modules and Sub-assemblies (2)</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115,744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90,680</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Integrated Subsystems (3)</w:t>
            </w:r>
          </w:p>
        </w:tc>
        <w:tc>
          <w:tcPr>
            <w:tcW w:w="14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37,067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26,658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103,110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77,206</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Total Net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107,317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65,898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184,724</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8"/>
        <w:spacing w:after="0" w:line="247" w:lineRule="auto"/>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Components include technology elements typically performing a single, discrete technological function, which when physically combined with other components may be used to create a module or sub-assembly. Examples include but are not limited to power amplifiers and limiters, switches, oscillators, filters, equalizers, digital and analog converters, chips, MMICs (monolithic microwave integrated circuits), and memory and storage devices.</w:t>
      </w:r>
    </w:p>
    <w:p>
      <w:pPr>
        <w:spacing w:after="0" w:line="1" w:lineRule="exact"/>
        <w:rPr>
          <w:rFonts w:ascii="Arial" w:cs="Arial" w:eastAsia="Arial" w:hAnsi="Arial"/>
          <w:sz w:val="14"/>
          <w:szCs w:val="14"/>
          <w:color w:val="auto"/>
        </w:rPr>
      </w:pPr>
    </w:p>
    <w:p>
      <w:pPr>
        <w:jc w:val="both"/>
        <w:ind w:firstLine="8"/>
        <w:spacing w:after="0" w:line="241" w:lineRule="auto"/>
        <w:tabs>
          <w:tab w:leader="none" w:pos="209" w:val="left"/>
        </w:tabs>
        <w:numPr>
          <w:ilvl w:val="0"/>
          <w:numId w:val="17"/>
        </w:numPr>
        <w:rPr>
          <w:rFonts w:ascii="Arial" w:cs="Arial" w:eastAsia="Arial" w:hAnsi="Arial"/>
          <w:sz w:val="14"/>
          <w:szCs w:val="14"/>
          <w:color w:val="auto"/>
        </w:rPr>
      </w:pPr>
      <w:r>
        <w:rPr>
          <w:rFonts w:ascii="Arial" w:cs="Arial" w:eastAsia="Arial" w:hAnsi="Arial"/>
          <w:sz w:val="14"/>
          <w:szCs w:val="14"/>
          <w:color w:val="auto"/>
        </w:rPr>
        <w:t>Modules and Sub-assemblies include combinations of multiple functional technology elements and/or components that work together to perform multiple functions but are typically resident on or within a single board or housing. Modules and sub-assemblies may in turn be combined to form an integrated subsystem. Examples of modules and sub-assemblies include but are not limited to embedded processing modules, embedded processing boards, switch fabric boards, high speed input/output boards, digital receiver boards, graphics and video processing and Ethernet and IO (input-output) boards, multi-chip modules, integrated radio frequency and microwave multi-function assemblies, tuners, and transceivers.</w:t>
      </w:r>
    </w:p>
    <w:p>
      <w:pPr>
        <w:spacing w:after="0" w:line="1" w:lineRule="exact"/>
        <w:rPr>
          <w:rFonts w:ascii="Arial" w:cs="Arial" w:eastAsia="Arial" w:hAnsi="Arial"/>
          <w:sz w:val="14"/>
          <w:szCs w:val="14"/>
          <w:color w:val="auto"/>
        </w:rPr>
      </w:pPr>
    </w:p>
    <w:p>
      <w:pPr>
        <w:jc w:val="both"/>
        <w:ind w:firstLine="8"/>
        <w:spacing w:after="0" w:line="246" w:lineRule="auto"/>
        <w:tabs>
          <w:tab w:leader="none" w:pos="215"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Integrated Subsystems include multiple modules and/or subassemblies combined with a backplane or similar functional element and software to enable a solution. These are typically but not always integrated within a chassis and with cooling, power and other elements to address various requirements and are also often combined with additional technologies for interaction with other parts of a complete system or platform. Integrated subsystems also include spare and replacement modules and sub-assemblies sold as part of the same program for use in or with integrated subsystems sold by the Company.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47,356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28,187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28,337</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Customers comprising 10% or more of the Company’s revenues for the periods shown below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6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226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654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12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22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226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Nine Months Ended March 31,</w:t>
            </w:r>
          </w:p>
        </w:tc>
      </w:tr>
      <w:tr>
        <w:trPr>
          <w:trHeight w:val="264"/>
        </w:trPr>
        <w:tc>
          <w:tcPr>
            <w:tcW w:w="7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80" w:type="dxa"/>
            <w:vAlign w:val="bottom"/>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2016</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SEWIP</w:t>
            </w: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80" w:type="dxa"/>
            <w:vAlign w:val="bottom"/>
            <w:gridSpan w:val="2"/>
          </w:tcPr>
          <w:p>
            <w:pPr>
              <w:ind w:left="40"/>
              <w:spacing w:after="0"/>
              <w:rPr>
                <w:sz w:val="20"/>
                <w:szCs w:val="20"/>
                <w:color w:val="auto"/>
              </w:rPr>
            </w:pPr>
            <w:r>
              <w:rPr>
                <w:rFonts w:ascii="Arial" w:cs="Arial" w:eastAsia="Arial" w:hAnsi="Arial"/>
                <w:sz w:val="18"/>
                <w:szCs w:val="18"/>
                <w:color w:val="auto"/>
              </w:rPr>
              <w:t>Patriot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 w:lineRule="exact"/>
        <w:rPr>
          <w:sz w:val="20"/>
          <w:szCs w:val="20"/>
          <w:color w:val="auto"/>
        </w:rPr>
      </w:pPr>
    </w:p>
    <w:p>
      <w:pPr>
        <w:ind w:left="7480"/>
        <w:spacing w:after="0"/>
        <w:tabs>
          <w:tab w:leader="none" w:pos="8660" w:val="left"/>
          <w:tab w:leader="none" w:pos="9840" w:val="left"/>
          <w:tab w:leader="none" w:pos="110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48895</wp:posOffset>
            </wp:positionV>
            <wp:extent cx="2950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73" w:lineRule="exact"/>
        <w:rPr>
          <w:sz w:val="20"/>
          <w:szCs w:val="20"/>
          <w:color w:val="auto"/>
        </w:rPr>
      </w:pPr>
    </w:p>
    <w:p>
      <w:pPr>
        <w:ind w:left="5620" w:right="3880" w:hanging="5612"/>
        <w:spacing w:after="0" w:line="559"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 16</w:t>
      </w:r>
    </w:p>
    <w:p>
      <w:pPr>
        <w:sectPr>
          <w:pgSz w:w="11900" w:h="16838" w:orient="portrait"/>
          <w:cols w:equalWidth="0" w:num="1">
            <w:col w:w="11420"/>
          </w:cols>
          <w:pgMar w:left="240" w:top="692" w:right="239" w:bottom="1440" w:gutter="0" w:footer="0" w:header="0"/>
        </w:sectPr>
      </w:pPr>
    </w:p>
    <w:bookmarkStart w:id="16" w:name="page17"/>
    <w:bookmarkEnd w:id="16"/>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 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March 31, 2017, the Company has entered into non-cancelable purchase commitments for certain inventory components and services used in its normal operations. The purchase commitments covered by these agreements are for less than one year and aggregate to $36,688.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part of the Company's strategy for growth, the Company continues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elect from time to time to purchase and subsequently retire shares of common stock in order to settle an individual employees’ tax liability associated with vesting of a restricted stock award or exercise of stock options. These transactions would be treated as a use of cash in financing activities in the Company's statement of cash flows.</w:t>
      </w:r>
    </w:p>
    <w:p>
      <w:pPr>
        <w:spacing w:after="0" w:line="20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April 3, 2017, the Company entered into a membership interest purchase agreement with Delta Microwave, LLC ("Delta"), pursuant to which, Mercury acquired Delta on a cash-free, debt-free basis for a total purchase price of $40,500, subject to net working capital and net debt adjustments. Delta is a leading designer and manufacturer of high-value RF, microwave and millimeter wave sub-assemblies and components for the military, aerospace and space markets. The acquisition and transaction related expenses were funded with cash on hand.</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23" w:right="239" w:bottom="1440" w:gutter="0" w:footer="0" w:header="0"/>
        </w:sectPr>
      </w:pPr>
    </w:p>
    <w:bookmarkStart w:id="17" w:name="page18"/>
    <w:bookmarkEnd w:id="17"/>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or unanticipated expenses due to performance quality issues with outsourced components, inability to fully realize the expected benefits from acquisitions and restructurings, or delays in realizing such benefits, challenges in integrating acquired businesses and achieving anticipated synergies, increases in interest rates,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2016.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Mercury Systems, Inc. is a leading commercial provider of secure sensor and mission processing subsystems. Optimized for customer and mission success, our solutions power a wide variety of critical defense and intelligence programs. We are pioneering a next-generation defense electronics business model specifically designed to meet the industry’s current and emerging technology and business needs. We deliver affordable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F-35, Predator, Reaper, and Paveway. Our organizational structure allows us to deliver capabilities that combine technology building blocks and deep domain expertise in the aerospace and defense sector.</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technologies and capabilities include secure embedded processing modules and subsystems, mission computers, safety-critical avionics, radio frequency (“RF”) components, multi-function assemblies and subsystems. We utilize leading edge, high performance computing technologies architected by leveraging open standards and open architectures to address highly data-intensive applications that include data signal, sensor and image processing; all of this while addressing the packaging challenges, often referred to as “SWaP” (size, weight, and power), that are common in military applications. We have design, development, and manufacturing capabilities in mission computing, safety-critical avionics and platform management. In addition, we design and manufacture RF, microwave and millimeter wave components and subsystems to meet the needs of the radar, electronic warfare (“EW”), signals intelligence (“SIGINT”) and other high bandwidth communications requirements and applications.</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provide significant capabilities relating to pre-integrated EW, electronic attack (“EA”) and electronic counter measure (“ECM”) subsystems, SIGINT and electro-optical/infrared (“EO/IR”) processing technologies, and radar environment test and simulation systems. We deploy these solutions on behalf of defense prime contractors and the Department of Defense (“DoD”), leveraging commercially available technologies and solutions (or “building blocks”) from our business and other commercial suppliers. We leverage this technology to design and build integrated sensor processing subsystems, often including classified application-specific software and intellectual property (“IP”) for the C4ISR (command, control, communications, computers, intelligence, surveillance and reconnaissance), EW, and ECM markets. We bring significant domain expertise to customers, drawing on over 25 years of experience in EW, SIGINT, and radar environment test and simulation.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jc w:val="both"/>
        <w:ind w:firstLine="432"/>
        <w:spacing w:after="0" w:line="276" w:lineRule="auto"/>
        <w:rPr>
          <w:sz w:val="20"/>
          <w:szCs w:val="20"/>
          <w:color w:val="auto"/>
        </w:rPr>
      </w:pPr>
      <w:r>
        <w:rPr>
          <w:rFonts w:ascii="Arial" w:cs="Arial" w:eastAsia="Arial" w:hAnsi="Arial"/>
          <w:sz w:val="17"/>
          <w:szCs w:val="17"/>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w:t>
      </w:r>
    </w:p>
    <w:p>
      <w:pPr>
        <w:spacing w:after="0" w:line="6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2017, we had 1,075 employees. Our consolidated revenues, net income, net earnings per share, adjusted earnings per share ("adjusted EPS"), and adjusted EBITDA for the three months ended March 31, 2017 were $107.3 million, $7.0 million, $0.16, $0.29, and $25.0 million, respectively. Our consolidated revenues, net income, net earnings per share, adjusted EPS, and adjusted EBITDA for the nine months ended March 31, 2017 were $293.0 million, $16.1 million, $0.39, $0.82, and $66.1 million, respectively. See the Non-GAAP Financial Measures section for a reconciliation to our most directly comparable 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Results of operations for the three and nine month periods ended March 31, 2016 do not include results for CES Creative Electronic Systems S.A. (“CES”) and the acquired custom microelectronics, RF and microwave solutions, and embedded security operations from Microsemi Corporation (the “Carve-Out Business”) (since both businesses were acquired subsequent to March 31, 2016). Accordingly, the periods presented below are not comparable.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compared to the three months ended March 31, 2016</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 a %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As a % of</w:t>
            </w:r>
          </w:p>
        </w:tc>
        <w:tc>
          <w:tcPr>
            <w:tcW w:w="0" w:type="dxa"/>
            <w:vAlign w:val="bottom"/>
          </w:tcPr>
          <w:p>
            <w:pPr>
              <w:spacing w:after="0"/>
              <w:rPr>
                <w:sz w:val="1"/>
                <w:szCs w:val="1"/>
                <w:color w:val="auto"/>
              </w:rPr>
            </w:pPr>
          </w:p>
        </w:tc>
      </w:tr>
      <w:tr>
        <w:trPr>
          <w:trHeight w:val="149"/>
        </w:trPr>
        <w:tc>
          <w:tcPr>
            <w:tcW w:w="5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Total Net</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Total Net</w:t>
            </w:r>
          </w:p>
        </w:tc>
        <w:tc>
          <w:tcPr>
            <w:tcW w:w="0" w:type="dxa"/>
            <w:vAlign w:val="bottom"/>
          </w:tcPr>
          <w:p>
            <w:pPr>
              <w:spacing w:after="0"/>
              <w:rPr>
                <w:sz w:val="1"/>
                <w:szCs w:val="1"/>
                <w:color w:val="auto"/>
              </w:rPr>
            </w:pPr>
          </w:p>
        </w:tc>
      </w:tr>
      <w:tr>
        <w:trPr>
          <w:trHeight w:val="158"/>
        </w:trPr>
        <w:tc>
          <w:tcPr>
            <w:tcW w:w="54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56,534</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31,402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14,198</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8,180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4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shd w:val="clear" w:color="auto" w:fill="CCEEFF"/>
              </w:rPr>
              <w:t>Acquisition costs and other related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440" w:type="dxa"/>
            <w:vAlign w:val="bottom"/>
            <w:gridSpan w:val="2"/>
          </w:tcPr>
          <w:p>
            <w:pPr>
              <w:ind w:left="6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39,088</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24,583</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6,819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5480" w:type="dxa"/>
            <w:vAlign w:val="bottom"/>
            <w:gridSpan w:val="3"/>
          </w:tcPr>
          <w:p>
            <w:pPr>
              <w:ind w:left="4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21"/>
                <w:szCs w:val="21"/>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Net income</w:t>
            </w:r>
          </w:p>
        </w:tc>
        <w:tc>
          <w:tcPr>
            <w:tcW w:w="45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2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$41.4 million, or 63%, to $107.3 million during the three months ended March 31, 2017 as compared to the same period in fiscal 2016. The increase in total revenues is primarily attributed to $25.9 million of revenue from the Carve-Out Business and $6.4 million from the newly acquired CES. The $9.1 million organic revenue increase was due to higher revenues from the SEWIP, Long Range Discrimination Radar ("LRDR"), Patriot, and Filthy Buzzard programs, partially offset by lower Aegis, F16/SABR and ASARS program revenues. International revenues, which consist of foreign military sales through prime defense contractor customers and direct sales to non-U.S. based customers, increased $5.8 million to $19.6 million during the three months ended March 31, 2017, compared to $13.8 million in the same period in the prior fiscal year. International revenues represented 18% and 21% of total revenues during the three months ended March 31, 2017 and 2016,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Gross margin was 47.3% for the three months ended March 31, 2017, a decrease of 40 basis points from the 47.7% gross margin achieved during the same period in fiscal 2016. The lower gross margin between years was driven by the amortization of $0.3 million, or 28 basis points, in inventory step-up during the three months ended March 31, 2017 related to the acquisition of CES, and changes in product mix.</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increased $6.5 million, or 52%, to $19.2 million during the three months ended March 31, 2017, compared to $12.7 million in the same period in fiscal 2016. The increase was primarily related to higher compensation related costs due to added headcount from the acquisition of the Carve-Out Business and the acquisition of CES in the fourth quarter of fiscal 2016 and second quarter of fiscal 2017, respectively. Additionally, during the three months ended March 31, 2017, we incurred $0.3 million in non-cash rent expense associated with our new corporate headquarters in Andover, Massachusetts. Selling, general and administrative expenses as a percentage of revenues decreased slightly for the three months ended March 31, 2017 as compared to the same period in fiscal 2016. The decrease was due to higher revenues in the three months ended March 31, 2017, as compared to the same period in fiscal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Research and development expenses increased approximately $6.0 million, or 74%, to $14.2 million during the three months ended March 31, 2017, compared to $8.2 million during the same period in fiscal 2016. The increase was primarily due to increased headcount from the acquisitions of the Carve-Out Business and CES driving higher compensation related costs, higher depreciation and increased prototype expenditures.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and other charges increased less than $0.1 million to $0.5 million during the three months ended March 31, 2017, compared to $0.4 million during the same period in fiscal 2016.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incurred $0.5 million of acquisition costs and other related expenses during the three months ended March 31, 2017, compared to $1.6 million during the same period in fiscal 2016. The acquisition costs and other related expenses we incurred during the three months ended March 31, 2017 relate to the acquisition of Delta Microwave, LLC ("Delta") completed on April 3, 2017, while the acquisition costs and other related expenses we incurred during the three months ended March 31, 2016 related to the acquisition of the Carve-Out Business completed on May 2, 2016. We expect to incur acquisition costs and other related expenses periodically in the future as we continue to seek acquisition opportunities to expand our capabilities and new end markets within the sensor processing chain.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$1.9 million of interest expense during the three months ended March 31, 2017 compared to less than $0.1 million in the same period in fiscal 2016. The increase was driven by $1.5 million cash interest expense and $0.4 million of amortization of debt issuance costs related to our Term Loan, which was entered into during the fourth quarter of fiscal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Other income, net increased $0.2 million to $0.3 million during the three months ended March 31, 2017, as compared to $0.1 million in the same period in fiscal 2016. Both periods include $0.3 million related to the amortization of the gain on the sale leaseback of our former corporate headquarters, partially offset by $0.1 million and $0.2 million in bank operating fees during the three months ended March 31, 2017 and 2016,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recorded an income tax provision of $3.2 million during the three months ended March 31, 2017 as compared to a $2.6 million income tax provision for the same period in fiscal 2016. During the three months ended March 31, 2017, and 2016, we recognized a discrete tax benefit (expense) of $0.2 million and ($0.2) million, respectively, related to excess tax benefits (shortfalls) on stock-based compensation. Our effective tax rate for the three months ended March 31, 2017 and 2016 differed from the federal statutory tax rate of 35% primarily due to federal research and development credits, domestic manufacturing deduction, excess tax benefits related to stock compensation, and state taxes.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Nine months ended March 31, 2017 compared to the nine months ended March 31, 2016</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nine months periods indicated, financial data from the consolidated statements of operations:</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As a % of</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6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 2016</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292,980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184,724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155,364</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95,281</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137,616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56,093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37,396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40,192</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25,891</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Impairment of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ind w:left="360"/>
              <w:spacing w:after="0"/>
              <w:rPr>
                <w:sz w:val="20"/>
                <w:szCs w:val="20"/>
                <w:color w:val="auto"/>
              </w:rPr>
            </w:pPr>
            <w:r>
              <w:rPr>
                <w:rFonts w:ascii="Arial" w:cs="Arial" w:eastAsia="Arial" w:hAnsi="Arial"/>
                <w:sz w:val="18"/>
                <w:szCs w:val="18"/>
                <w:color w:val="auto"/>
              </w:rPr>
              <w:t>Acquisition costs and other related expenses</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1,889</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shd w:val="clear" w:color="auto" w:fill="CCEEFF"/>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113,221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73,124</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24,395</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16,319</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1460" w:type="dxa"/>
            <w:vAlign w:val="bottom"/>
          </w:tcPr>
          <w:p>
            <w:pPr>
              <w:jc w:val="right"/>
              <w:ind w:right="7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19,761</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16,696</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Tax provision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p>
      <w:pPr>
        <w:spacing w:after="0" w:line="13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Total revenues increased $108.3 million, or 59%, to $293.0 million during the nine months ended March 31, 2017 as compared to the same period in fiscal 2016. The increase in total revenues is primarily attributed to $76.1 million of revenue from the Carve-Out Business and $10.3 million from the newly acquired CES. The $21.9 million organic revenue increase was primarily attributed to increases in the LRDR, Filthy Buzzard, Aegis, SEWIP and F-35 programs, partially offset by lower revenues from the Patriot, F16/SABR, ASARS and P8 programs. International revenues, which consist of foreign military sales through prime defense contractor customers and direct sales to non-U.S. based customers, were $48.6 million during the nine months ended March 31, 2017, compared to $34.9 million in the same period in the prior fiscal year. International revenues represented 17% and 19% of total revenues during the nine months ended March 31,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margin was 47.0% for the nine months ended March 31, 2017, a decrease of 140 basis points from the 48.4% gross margin during the same period in fiscal 2016. The lower gross margin between years was driven by the amortization of $3.2 million, or 109 basis points, in inventory step-up during the nine months ended March 31, 2017 related to the acquisitions of the Carve-Out Business and CES, and changes in product mix.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general and administrative expenses increased $18.7 million, or 50%, to $56.1 million during the nine months ended March 31, 2017, compared to $37.4 million in the same period in fiscal 2016. The increase was primarily due to higher compensation expense due to increased headcount from the acquisitions of the Carve-Out Business and CES, coupled with $1.0 million in non-cash rent expense associated with our new corporate headquarters in Andover, Massachusetts and higher depreciation expense of $0.8 million due to the acquired businesses during the nine months ended March 31, 2017. Selling, general and administrative expenses decreased as a percentage of revenues to 19.2% during the nine months ended March 31, 2017 from 20.2% during the same period in fiscal 2016. The decrease was due to higher revenues in the first nine months of fiscal 2017, as compared to the same period in fiscal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increased $14.3 million, or 55%, to $40.2 million during the nine months ended March 31, 2017, compared to $25.9 million during the same period in fiscal 2016. The increase was primarily due to increased headcount from the acquisitions of the Carve-Out Business and CES driving higher compensation related costs and increased prototype expenditures.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Restructuring and other charges were $0.8 million for the nine months ended March 31, 2017, as compared to $1.0 million during the same period in fiscal 2016. Restructuring and other charges are typically related to acquisitions and organizational redesign programs initiated as part of discrete post-acquisition integration activities.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CQUISITION</w:t>
      </w:r>
      <w:r>
        <w:rPr>
          <w:rFonts w:ascii="Arial" w:cs="Arial" w:eastAsia="Arial" w:hAnsi="Arial"/>
          <w:sz w:val="18"/>
          <w:szCs w:val="18"/>
          <w:color w:val="auto"/>
        </w:rPr>
        <w:t xml:space="preserve"> C</w:t>
      </w:r>
      <w:r>
        <w:rPr>
          <w:rFonts w:ascii="Arial" w:cs="Arial" w:eastAsia="Arial" w:hAnsi="Arial"/>
          <w:sz w:val="14"/>
          <w:szCs w:val="14"/>
          <w:color w:val="auto"/>
        </w:rPr>
        <w:t>OSTS AND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R</w:t>
      </w:r>
      <w:r>
        <w:rPr>
          <w:rFonts w:ascii="Arial" w:cs="Arial" w:eastAsia="Arial" w:hAnsi="Arial"/>
          <w:sz w:val="14"/>
          <w:szCs w:val="14"/>
          <w:color w:val="auto"/>
        </w:rPr>
        <w:t>ELATED</w:t>
      </w:r>
      <w:r>
        <w:rPr>
          <w:rFonts w:ascii="Arial" w:cs="Arial" w:eastAsia="Arial" w:hAnsi="Arial"/>
          <w:sz w:val="18"/>
          <w:szCs w:val="18"/>
          <w:color w:val="auto"/>
        </w:rPr>
        <w:t xml:space="preserve"> E</w:t>
      </w:r>
      <w:r>
        <w:rPr>
          <w:rFonts w:ascii="Arial" w:cs="Arial" w:eastAsia="Arial" w:hAnsi="Arial"/>
          <w:sz w:val="14"/>
          <w:szCs w:val="14"/>
          <w:color w:val="auto"/>
        </w:rPr>
        <w:t>XPENSES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incurred $1.9 million of acquisition costs and other related expenses during the nine months ended March 31, 2017, compared to $3.5 million during the same period in fiscal 2016. The acquisition costs and other related expenses we incurred during the nine months ended March 31, 2017 relate to the acquisitions of CES, completed in the second fiscal quarter, and Delta, completed on April 3, 2017. The acquisition costs and other related expenses we incurred during the nine months ended March 31, 2016 principally related to the acquisition of the Carve-Out Business in fiscal 2016. We expect to incur acquisition costs and other related expenses periodically in the future as we continue to seek acquisition opportunities to expand our capabilities and new end markets within the sensor processing chain.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NTEREST</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$5.6 million of interest expense during the nine months ended March 31, 2017 compared to less than $0.1 million in the same period in fiscal 2016. The increase was driven by $4.2 million cash interest expense and $1.4 million of amortization of debt issuance costs related to our Term Loan, which was entered into during the fourth quarter of fiscal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Other income, net was $0.8 million during the nine months ended March 31, 2017, compared to $0.3 million during the same period in fiscal 2016. Both periods include $0.9 million related to the amortization of the gain on the sale leaseback of our former corporate headquarters. The increase was driven by a $0.4 million foreign exchange gain during the nine months ended March 31, 2017, compared to a $0.1 million foreign exchange loss during the same period in fiscal 2016. The gain was partially offset by $0.3 million and $0.5 million in bank operating fees during the nine months ended March 31, 2017 and 2016,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recorded an income tax provision of $3.7 million during the nine months ended March 31, 2017 as compared to $4.4 million for the same period in fiscal 2016. During the nine months ended March 31, 2017, and 2016, we recognized a discrete tax benefit of $3.0 million and $1.0 million, respectively, related to excess tax benefits on stock-based compensation. Our effective tax rates for the nine months ended March 31, 2017 and 2016 differed from the federal statutory tax rate of 35% primarily due to federal research and development tax credits, domestic manufacturing deduction, excess benefits related to stock compensation, and state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sources of liquidity comes from existing cash and cash generated from operations, our revolving credit facility and our ability to raise capital under our universal shelf registration statement. Our near-term fixed commitments for cash expenditures consist primarily of payments under operating leases, inventory purchase commitments with our contract manufacturers, and interest and principal payments under our Term Loan. Additionally, we currently expect approximately $7.0 million to $8.0 million of capital expenditures in the fourth quarter of fiscal 2017.</w:t>
      </w:r>
    </w:p>
    <w:p>
      <w:pPr>
        <w:spacing w:after="0" w:line="6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our current plans and business conditions, we believe that existing cash and cash equivalents, available revolving credit facility, cash generated from operations, our universal shelf registration statement and our debt financing capabilities will be sufficient to satisfy our anticipated cash requirements for at least the next twelve months.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and Revolving Credit Facilities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May 2, 2016, we entered into a $200.0 million senior secured term loan A ("Term Loan") and $100.0 million revolving credit facility (“Revolver”) with a syndicate of commercial banks, with Bank of America, N.A. acting as the administrative agent (collectively, the “Credit Agreement”). Pursuant to the Revolver we can, subject to compliance with the applicable financial covenants, borrow up to $100.0 million for working capital, acquisitions, and general corporate purposes of ours and our subsidiaries.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color w:val="auto"/>
        </w:rPr>
        <w:t>of March 31, 2017, there was $94.8 million of borrowing capacity available under the Revolver as there were no borrowings outstanding; however, there were outstanding letters of credit of $5.2 million. The Company was in compliance with all covenants and conditions under the Credit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"Universal Shelf"). The Universal Shelf, which has been declared effective by the SEC, registered up to $500.0 million of debt securities, preferred stock, common stock, warrants and units. We intend to use the proceeds from financings using the Universal Shelf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approximately $173.0 million of availability remaining under the Universal Shelf.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On January 26, 2017, we entered into an underwriting agreement. Pursuant to the terms and conditions of the underwriting agreement, we agreed to sell 6.0 million shares of our common stock, par value $0.01 per share, at a price to the public of $33.00 per share and granted the underwriters an option to purchase up to an additional 0.9 million shares of our common stock within 30 days after the date of the underwriting agreement to cover over-allotments.</w:t>
      </w:r>
    </w:p>
    <w:p>
      <w:pPr>
        <w:spacing w:after="0" w:line="3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offering was made pursuant to the Universal Shelf. On February 1, 2017, we closed the offering, including the full over-allotment allocation, selling an aggregate of 6.9 million shares of common stock for total net proceeds of $215.7 million. We intend to use the net proceeds for general corporate purposes, including but not limited to: the acquisition of other companies or businesses, the refinancing or repayment of debt, working capital, share repurchases and capital expenditures. On April 3, 2017, we used $40.5 million of the proceeds to fund the acquisition of Delta.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4"/>
              </w:rPr>
              <w:t>As Of and For the Nine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00" w:type="dxa"/>
            <w:vAlign w:val="bottom"/>
            <w:gridSpan w:val="4"/>
          </w:tcPr>
          <w:p>
            <w:pPr>
              <w:jc w:val="center"/>
              <w:ind w:right="253"/>
              <w:spacing w:after="0" w:line="149" w:lineRule="exact"/>
              <w:rPr>
                <w:sz w:val="20"/>
                <w:szCs w:val="20"/>
                <w:color w:val="auto"/>
              </w:rPr>
            </w:pPr>
            <w:r>
              <w:rPr>
                <w:rFonts w:ascii="Arial" w:cs="Arial" w:eastAsia="Arial" w:hAnsi="Arial"/>
                <w:sz w:val="14"/>
                <w:szCs w:val="14"/>
                <w:b w:val="1"/>
                <w:bCs w:val="1"/>
                <w:color w:val="auto"/>
                <w:w w:val="93"/>
              </w:rPr>
              <w:t>Month Period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18"/>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49,410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23,192</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(64,186)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(15,231)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203,453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188,547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6,659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270,238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84,245</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cash and cash equivalents increased by $188.5 million from June 30, 2016 to March 31, 2017, primarily the result of our equity offering which yielded $215.7 million in net proceeds and $49.4 million in cash generated from operating activities, partially offset by $36.9 million of acquisition related activity, $26.8 million in purchases of property and equipment, and $7.7 million for the retirement of common stock. The increase in purchases of property and equipment in fiscal 2017 is due to the ongoing needs in our existing business including the build-out of our new corporate headquarters and integration activities associated with the Carve-Out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nine months ended March 31, 2017, we generated $49.4 million in cash from operating activities, an increase of $26.2 million when compared to the same period in fiscal 2016. During the nine months ended March 31, 2017, we generated $16.9 million higher collections from accounts receivables, we incurred $13.3 million higher depreciation and amortization expense, we incurred $4.2 million in higher stock compensation expense and we generated $3.8 million higher comparable net income as compared to the same period in fiscal 2016. The increases were partially offset by $8.6 million of cash used for accounts payable and accrued expenses, and $5.2 million more cash used for prepaid expenses and other current assets as compared to the same period in the prior year. Our ability to generate cash from operations in future periods will depend in large part on profitability,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the rate and timing of collections of accounts receivable, our inventory turns and our ability to manage other areas of working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During the nine months ended March 31, 2017, we used $64.2 million in investing activities compared to $15.2 million during the same period in fiscal 2016. The increase was primarily driven by $38.8 million in cash used to acquire CES as compared to $9.8 million in cash used to acquire LIT in the same period of fiscal 2016. Additionally, we incurred $21.9 million higher purchases of property and equipment in fiscal 2017 due to the ongoing needs in our existing business including the build-out of our new corporate headquarters and integration activities associated with the Carve-Out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nine months ended March 31, 2017, we generated $203.5 million in financing activities compared to $1.4 million in cash used during the same period in fiscal 2016. The $204.9 million increase in cash generated by financing activities was primarily due to $215.7 million of net proceeds from our equity offering, partially offset by $7.7 million for the retirement of common stock and debt principal payments of $7.5 million during the nine months ended March 31, 2017.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ONTINGENCIES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March 31, 2017: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43,796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10,673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7,894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Debt principal payment obligations (1)</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272,984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52,932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43,173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157,894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18,985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firstLine="8"/>
        <w:spacing w:after="0" w:line="273" w:lineRule="auto"/>
        <w:tabs>
          <w:tab w:leader="none" w:pos="215"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Interest payments are due quarterly on the Term Loan. Future interest payments are not included in the schedule of commitments and contractual obligations due to the variable nature of the interest rate.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purchase commitments covered by these agreements are for less than one year and aggregated approximately $36.7 million at March 31, 2017.</w:t>
      </w:r>
    </w:p>
    <w:p>
      <w:pPr>
        <w:spacing w:after="0" w:line="128"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7"/>
          <w:szCs w:val="17"/>
          <w:color w:val="auto"/>
        </w:rPr>
        <w:t>We have a liability at March 31, 2017 of $1.6 million for uncertain tax positions that have been taken or are expected to be taken in various income tax returns. It is reasonably possible that within the next 12 months this liability, exclusive of interest, may decrease by up to $0.8 million upon the conclusion of the Internal Revenue Service audit of fiscal year 2013. We do not know the ultimate resolution on these uncertain tax positions and as such, do not know the ultimate timing of payments related to this liability. Accordingly, these amounts are not included in the above table.</w:t>
      </w:r>
    </w:p>
    <w:p>
      <w:pPr>
        <w:spacing w:after="0" w:line="4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part of our strategy for growth, we continue to explore acquisitions or strategic alliances. The associated acquisition costs incurred in the form of professional fees and services may be material to the future periods in which they occur, regardless of whether the acquisition is ultimately completed.</w:t>
      </w:r>
    </w:p>
    <w:p>
      <w:pPr>
        <w:spacing w:after="0" w:line="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elect from time to time to purchase and subsequently retire shares of common stock in order to settle individual employees’ tax liability associated with vesting of a restricted stock award or exercise of stock options. These transactions would be treated as a use of cash in financing activities in our statement of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 our periodic communications, we discuss certain important measures that are not calculated according to U.S. generally accepted accounting principles (“GAAP”), adjusted EBITDA, adjusted income, adjusted earnings per share ("adjusted EPS") and free cash flow.</w:t>
      </w:r>
    </w:p>
    <w:p>
      <w:pPr>
        <w:spacing w:after="0" w:line="62"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Adjusted EBITDA is defined as net income before interest income and expense, income taxes, depreciation, amortization of intangible assets, restructuring and other charges, impairment of long-lived assets, acquisition and financing costs, fair value adjustments from purchase accounting, litigation and settlement income and expense, and stock-based compensation expense.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and equity compensation for executive officers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5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reconciles our net income, the most directly comparable GAAP financial measure, to our adjusted EBITDA:</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12,253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1,756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5,426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4,773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 (1)</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Acquisition and financing costs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4,048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Fair value adjustments from purchase accounting (2)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40"/>
              <w:spacing w:after="0"/>
              <w:rPr>
                <w:sz w:val="20"/>
                <w:szCs w:val="20"/>
                <w:color w:val="auto"/>
              </w:rPr>
            </w:pPr>
            <w:r>
              <w:rPr>
                <w:rFonts w:ascii="Arial" w:cs="Arial" w:eastAsia="Arial" w:hAnsi="Arial"/>
                <w:sz w:val="18"/>
                <w:szCs w:val="18"/>
                <w:color w:val="auto"/>
              </w:rPr>
              <w:t>Litigation and settlement expense (income), net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11,440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w:t>
            </w:r>
          </w:p>
        </w:tc>
      </w:tr>
      <w:tr>
        <w:trPr>
          <w:trHeight w:val="237"/>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24,952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14,566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66,144</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38,986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and nine months ended March 31, 2017 relates to Carve-Out Business and CES inventory step-up amortization.</w:t>
      </w:r>
    </w:p>
    <w:p>
      <w:pPr>
        <w:spacing w:after="0" w:line="10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Adjusted income and adjusted EPS exclude the impact of certain items and, therefore, have not been calculated in accordance with GAAP. We believe that exclusion of these items assists in providing a more complete understanding of our underlying results and trends and allows for comparability with our peer company index and industry. We use these measures along with the corresponding GAAP financial measures to manage our business and to evaluate our performance compared to prior periods and the marketplace. We define adjusted income as income before amortization of intangible assets, restructuring and other charges, impairment of long-lived assets, acquisition and financing costs, fair value adjustments from purchase accounting, litigation and settlement income and expense, and stock-based compensation expense. The impact to income taxes includes the impact to the effective tax rate, current tax provision and deferred tax provision. Adjusted EPS expresses adjusted income on a per share basis using weighted average diluted shares outstanding.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23" w:right="239" w:bottom="1440" w:gutter="0" w:footer="0" w:header="0"/>
        </w:sectPr>
      </w:pPr>
    </w:p>
    <w:bookmarkStart w:id="25" w:name="page26"/>
    <w:bookmarkEnd w:id="25"/>
    <w:p>
      <w:pPr>
        <w:jc w:val="both"/>
        <w:ind w:firstLine="432"/>
        <w:spacing w:after="0" w:line="302" w:lineRule="auto"/>
        <w:rPr>
          <w:sz w:val="20"/>
          <w:szCs w:val="20"/>
          <w:color w:val="auto"/>
        </w:rPr>
      </w:pPr>
      <w:r>
        <w:rPr>
          <w:rFonts w:ascii="Arial" w:cs="Arial" w:eastAsia="Arial" w:hAnsi="Arial"/>
          <w:sz w:val="16"/>
          <w:szCs w:val="16"/>
          <w:color w:val="auto"/>
        </w:rPr>
        <w:t>Adjusted income and adjusted EPS are non-GAAP financial measures and should not be considered in isolation or as a substitute for financial information provided in accordance with GAAP. These non-GAAP financial measures may not be computed in the same manner as similarly titled measures used by other companies. We expect to continue to incur expenses similar to the adjusted income and adjusted EPS financial adjustments described above, and investors should not infer from our presentation of these non-GAAP financial measures that these costs are unusual, infrequent or non-recurring.</w:t>
      </w:r>
    </w:p>
    <w:p>
      <w:pPr>
        <w:spacing w:after="0" w:line="4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reconciles net income and diluted earnings per share, the most directly comparable GAAP measures, to adjusted income and adjusted EPS: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69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6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and 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48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0.16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r>
      <w:tr>
        <w:trPr>
          <w:trHeight w:val="243"/>
        </w:trPr>
        <w:tc>
          <w:tcPr>
            <w:tcW w:w="20" w:type="dxa"/>
            <w:vAlign w:val="bottom"/>
          </w:tcPr>
          <w:p>
            <w:pPr>
              <w:spacing w:after="0"/>
              <w:rPr>
                <w:sz w:val="21"/>
                <w:szCs w:val="21"/>
                <w:color w:val="auto"/>
              </w:rPr>
            </w:pPr>
          </w:p>
        </w:tc>
        <w:tc>
          <w:tcPr>
            <w:tcW w:w="692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 (1)</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and financing costs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Impact to income taxes (3)</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69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Adjusted income and adjusted earnings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13,217</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r>
      <w:tr>
        <w:trPr>
          <w:trHeight w:val="311"/>
        </w:trPr>
        <w:tc>
          <w:tcPr>
            <w:tcW w:w="2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6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6940" w:type="dxa"/>
            <w:vAlign w:val="bottom"/>
            <w:gridSpan w:val="3"/>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44,814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33,991</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three months ended March 31, 2017 relate to CES inventory step-up amortization.</w:t>
      </w:r>
    </w:p>
    <w:p>
      <w:pPr>
        <w:spacing w:after="0" w:line="1" w:lineRule="exact"/>
        <w:rPr>
          <w:rFonts w:ascii="Arial" w:cs="Arial" w:eastAsia="Arial" w:hAnsi="Arial"/>
          <w:sz w:val="14"/>
          <w:szCs w:val="14"/>
          <w:color w:val="auto"/>
        </w:rPr>
      </w:pPr>
    </w:p>
    <w:p>
      <w:pPr>
        <w:ind w:firstLine="8"/>
        <w:spacing w:after="0" w:line="293" w:lineRule="auto"/>
        <w:tabs>
          <w:tab w:leader="none" w:pos="206" w:val="left"/>
        </w:tabs>
        <w:numPr>
          <w:ilvl w:val="0"/>
          <w:numId w:val="24"/>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29"/>
        </w:trPr>
        <w:tc>
          <w:tcPr>
            <w:tcW w:w="70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w w:val="89"/>
              </w:rPr>
              <w:t>2017</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9"/>
              </w:rPr>
              <w:t>2016</w:t>
            </w:r>
          </w:p>
        </w:tc>
        <w:tc>
          <w:tcPr>
            <w:tcW w:w="760" w:type="dxa"/>
            <w:vAlign w:val="bottom"/>
          </w:tcPr>
          <w:p>
            <w:pPr>
              <w:spacing w:after="0"/>
              <w:rPr>
                <w:sz w:val="19"/>
                <w:szCs w:val="19"/>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income and diluted earnings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16,071</w:t>
            </w:r>
          </w:p>
        </w:tc>
        <w:tc>
          <w:tcPr>
            <w:tcW w:w="48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0.39</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r>
      <w:tr>
        <w:trPr>
          <w:trHeight w:val="243"/>
        </w:trPr>
        <w:tc>
          <w:tcPr>
            <w:tcW w:w="40" w:type="dxa"/>
            <w:vAlign w:val="bottom"/>
          </w:tcPr>
          <w:p>
            <w:pPr>
              <w:spacing w:after="0"/>
              <w:rPr>
                <w:sz w:val="21"/>
                <w:szCs w:val="21"/>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shd w:val="clear" w:color="auto" w:fill="CCEEFF"/>
              </w:rPr>
              <w:t>Restructuring and other charges (1)</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Impairment of long-lived assets</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shd w:val="clear" w:color="auto" w:fill="CCEEFF"/>
              </w:rPr>
              <w:t>Acquisition and financing costs</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Fair value adjustments from purchase accounting (2)</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Litigation and settlement expenses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96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7,244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9"/>
              </w:rPr>
              <w:t>Impact to income taxes (3)</w:t>
            </w:r>
          </w:p>
        </w:tc>
        <w:tc>
          <w:tcPr>
            <w:tcW w:w="4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97"/>
        </w:trPr>
        <w:tc>
          <w:tcPr>
            <w:tcW w:w="70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Adjusted income and adjusted earnings per share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34,009</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r>
      <w:tr>
        <w:trPr>
          <w:trHeight w:val="311"/>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264"/>
        </w:trPr>
        <w:tc>
          <w:tcPr>
            <w:tcW w:w="7000" w:type="dxa"/>
            <w:vAlign w:val="bottom"/>
            <w:gridSpan w:val="3"/>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41,530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33,830</w:t>
            </w: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20" w:firstLine="8"/>
        <w:spacing w:after="0" w:line="250" w:lineRule="auto"/>
        <w:tabs>
          <w:tab w:leader="none" w:pos="225"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Restructuring and other charges are typically related to acquisitions and organizational redesign programs initiated as part of discrete post-acquisition integration activities. The Company believes these items are non-routine and may not be indicative of ongoing operating results.</w:t>
      </w: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Fair value adjustments from purchase accounting for the nine months ended March 31, 2017 relates to Carve-Out Business and CES inventory step-up amortization.</w:t>
      </w:r>
    </w:p>
    <w:p>
      <w:pPr>
        <w:spacing w:after="0" w:line="1" w:lineRule="exact"/>
        <w:rPr>
          <w:rFonts w:ascii="Arial" w:cs="Arial" w:eastAsia="Arial" w:hAnsi="Arial"/>
          <w:sz w:val="14"/>
          <w:szCs w:val="14"/>
          <w:color w:val="auto"/>
        </w:rPr>
      </w:pPr>
    </w:p>
    <w:p>
      <w:pPr>
        <w:ind w:firstLine="8"/>
        <w:spacing w:after="0" w:line="293" w:lineRule="auto"/>
        <w:tabs>
          <w:tab w:leader="none" w:pos="20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Impact to income taxes is calculated by recasting income before income taxes to include the add-backs involved in determining adjusted income and recalculating the income tax provision using this adjusted income from operations before income taxes. The impact to income taxes includes the impact to the effective tax rate, current tax provision and deferred tax provision.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jc w:val="both"/>
        <w:ind w:firstLine="432"/>
        <w:spacing w:after="0" w:line="279" w:lineRule="auto"/>
        <w:rPr>
          <w:sz w:val="20"/>
          <w:szCs w:val="20"/>
          <w:color w:val="auto"/>
        </w:rPr>
      </w:pPr>
      <w:r>
        <w:rPr>
          <w:rFonts w:ascii="Arial" w:cs="Arial" w:eastAsia="Arial" w:hAnsi="Arial"/>
          <w:sz w:val="17"/>
          <w:szCs w:val="17"/>
          <w:color w:val="auto"/>
        </w:rPr>
        <w:t>Free cash flow, a non-GAAP measure for reporting cash flow, is defined as cash provided by operating activities less capital expenditures for property and equipment, which includes capitalized software development costs.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6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514"/>
              <w:spacing w:after="0"/>
              <w:rPr>
                <w:sz w:val="20"/>
                <w:szCs w:val="20"/>
                <w:color w:val="auto"/>
              </w:rPr>
            </w:pPr>
            <w:r>
              <w:rPr>
                <w:rFonts w:ascii="Arial" w:cs="Arial" w:eastAsia="Arial" w:hAnsi="Arial"/>
                <w:sz w:val="14"/>
                <w:szCs w:val="14"/>
                <w:b w:val="1"/>
                <w:bCs w:val="1"/>
                <w:color w:val="auto"/>
                <w:w w:val="89"/>
              </w:rPr>
              <w:t>2016</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24,889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49,410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23,192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(13,036)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11,853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22,621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18,284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the Company on July 1, 2018, and we do not plan to early adopt this ASU. The standard permits the use of either the retrospective or cumulative effect transition method. We are still evaluating the effect that ASU 2014-09 will have on our past and future revenue recognition and related disclosure.</w:t>
      </w:r>
    </w:p>
    <w:p>
      <w:pPr>
        <w:spacing w:after="0" w:line="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ending after December 15, 2016, and interim periods thereafter, with early adoption permitted. We do not expect a going concern uncertainty in the foreseeable future, and therefore this guidance is not expected to have a material impact to our consolidated financial statements.</w:t>
      </w:r>
    </w:p>
    <w:p>
      <w:pPr>
        <w:spacing w:after="0" w:line="8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an amendment of the FASB Accounting Standards Codification. This ASU changes the measurement principle for inventory from the lower of cost or market to lower of cost and net realizable value for entities that do not measure inventory using the last-in, first-out or retail inventory method. The ASU also eliminates the requirement for these entities to consider replacement cost or net realizable value less an approximately normal profit margin when measuring inventory. The ASU is effective for public business entities for fiscal years beginning after December 15, 2016, and interim periods within those years. The ASU requires prospective adoption and permits early adoption. We are evaluating the effect that ASU 2015-11 will have on our consolidated financial statements.</w:t>
      </w:r>
    </w:p>
    <w:p>
      <w:pPr>
        <w:spacing w:after="0" w:line="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 amendment of the FASB Accounting Standards Codification. This ASU requires lessees to recognize a right-of-use asset and lease liability for most lease arrangements. This ASU is effective for public business entities for annual and interim periods in fiscal years beginning after December 15, 2018. The standard mandates a modified retrospective transition method for all entities and early adoption is permitted. We are evaluating the effect that ASU 2016-02 will have on our consolidated financial statements and related disclosures.</w:t>
      </w:r>
    </w:p>
    <w:p>
      <w:pPr>
        <w:spacing w:after="0" w:line="4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an amendment of the FASB Accounting Standards Codification. This ASU will reduce diversity in practice for classifying cash payments and receipts in the statement of cash flows for a number of common transactions. It will also clarify when identifiable cash flows should be separated versus classified based on their predominant source or use. This ASU is effective for public business entities for fiscal years beginning after December 15, 2017, and interim periods within those fiscal years. Early adoption is permitted, including adoption in an interim period. If an entity early adopts the amendments in an interim period, any adjustments should be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308" w:lineRule="auto"/>
        <w:rPr>
          <w:sz w:val="20"/>
          <w:szCs w:val="20"/>
          <w:color w:val="auto"/>
        </w:rPr>
      </w:pPr>
      <w:r>
        <w:rPr>
          <w:rFonts w:ascii="Arial" w:cs="Arial" w:eastAsia="Arial" w:hAnsi="Arial"/>
          <w:sz w:val="17"/>
          <w:szCs w:val="17"/>
          <w:color w:val="auto"/>
        </w:rPr>
        <w:t>reflected as of the beginning of the fiscal year that includes that interim period. An entity that elects early adoption must adopt all of the amendments in the same period. We are evaluating the effect that ASU 2016-15 will have on our consolidated financial statements and related disclosures.</w:t>
      </w:r>
    </w:p>
    <w:p>
      <w:pPr>
        <w:spacing w:after="0" w:line="3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 xml:space="preserve">In October 2016, the FASB issued ASU No. 2016-16, </w:t>
      </w:r>
      <w:r>
        <w:rPr>
          <w:rFonts w:ascii="Arial" w:cs="Arial" w:eastAsia="Arial" w:hAnsi="Arial"/>
          <w:sz w:val="16"/>
          <w:szCs w:val="16"/>
          <w:i w:val="1"/>
          <w:iCs w:val="1"/>
          <w:color w:val="auto"/>
        </w:rPr>
        <w:t>Intra-Entity Transfers of Assets Other Than Inventory,</w:t>
      </w:r>
      <w:r>
        <w:rPr>
          <w:rFonts w:ascii="Arial" w:cs="Arial" w:eastAsia="Arial" w:hAnsi="Arial"/>
          <w:sz w:val="16"/>
          <w:szCs w:val="16"/>
          <w:color w:val="auto"/>
        </w:rPr>
        <w:t xml:space="preserve"> an amendment of the FASB Accounting Standards Codification. This ASU requires the seller and buyer to recognize at the transaction date the current and deferred income tax consequences of intercompany asset transfers (except transfers of inventory). Under current U.S. GAAP, the seller and buyer defer the consolidated tax consequences of an intercompany asset transfer from the period of the transfer to a future period when the asset is transferred out of the consolidated group, or otherwise affects consolidated earnings. This standard will cause volatility in companies’ effective tax rates, particularly for those that transfer intangible assets to foreign subsidiaries. For public entities, the new standard is effective for annual and interim periods in fiscal years beginning after December 15, 2017. An entity may early adopt the standard but only at the beginning of an annual period for which it has not issued or made available for issuance financial statements (interim or annual). We are evaluating the effect that ASU 2016-16 will have on our consolidated financial statements and related disclosures.</w:t>
      </w:r>
    </w:p>
    <w:p>
      <w:pPr>
        <w:spacing w:after="0" w:line="5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an amendment of the FASB Accounting Standards Codification. This ASU eliminated the requirements for any reporting unit with a zero or negative carrying amount to perform a qualitative assessment and, if it fails that qualitative test, to perform Step 2 of the goodwill impairment test. Therefore, the same impairment assessment applies to all reporting units. An entity is required to disclose the amount of goodwill allocated to each reporting unit with a zero or negative carrying amount of net assets.For public business entities, the new standard is effective for its annual or any interim goodwill impairment tests in fiscal years beginning after December 15, 2019. The ASU requires prospective adoption and permits early adoption for interim or annual goodwill impairment tests performed on testing dates after January 1, 2017. We do not expect this guidance to have a material impact to our consolidated financial statements.</w:t>
      </w:r>
    </w:p>
    <w:p>
      <w:pPr>
        <w:spacing w:after="0" w:line="84"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Retirement Benefits (Topic 715): Improving the Presentation of Net Periodic</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Cost and Net Periodic Postretirement Benefit Cost</w:t>
      </w:r>
      <w:r>
        <w:rPr>
          <w:rFonts w:ascii="Arial" w:cs="Arial" w:eastAsia="Arial" w:hAnsi="Arial"/>
          <w:sz w:val="17"/>
          <w:szCs w:val="17"/>
          <w:color w:val="auto"/>
        </w:rPr>
        <w:t>, an amendment of the FASB Accounting Standards Codification. This ASU requires employers</w:t>
      </w:r>
      <w:r>
        <w:rPr>
          <w:rFonts w:ascii="Arial" w:cs="Arial" w:eastAsia="Arial" w:hAnsi="Arial"/>
          <w:sz w:val="17"/>
          <w:szCs w:val="17"/>
          <w:i w:val="1"/>
          <w:iCs w:val="1"/>
          <w:color w:val="auto"/>
        </w:rPr>
        <w:t xml:space="preserve"> </w:t>
      </w:r>
      <w:r>
        <w:rPr>
          <w:rFonts w:ascii="Arial" w:cs="Arial" w:eastAsia="Arial" w:hAnsi="Arial"/>
          <w:sz w:val="17"/>
          <w:szCs w:val="17"/>
          <w:color w:val="auto"/>
        </w:rPr>
        <w:t>that sponsor defined benefit pension and/or other post-retirement benefit plans to report the service cost component of net benefit cost in the same line item as other compensation costs arising from services rendered by the pertinent employees during the period. Employers are required to present the other components of net benefit costs in the income statement separately from the service cost component and outside a subtotal of income from operations. Additionally, only the service cost component of net periodic pension cost will be eligible for asset capitalization. For public entities, the new standard is effective for annual periods beginning after December 15, 2017, including interim periods within that annual period. Early adoption is permitted as of the beginning of an annual period for which financial statements (interim or annual) have not been issued or made available for issuance. This ASU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assets.We are evaluating the effect that ASU 2017-07 will have on our consolidated financial statements and related disclosures.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Effective July 1, 2016, we adopted FASB ASU No. 2015-01, </w:t>
      </w:r>
      <w:r>
        <w:rPr>
          <w:rFonts w:ascii="Arial" w:cs="Arial" w:eastAsia="Arial" w:hAnsi="Arial"/>
          <w:sz w:val="18"/>
          <w:szCs w:val="18"/>
          <w:i w:val="1"/>
          <w:iCs w:val="1"/>
          <w:color w:val="auto"/>
        </w:rPr>
        <w:t>Simplifying Income Statement Presentation by Eliminating the Concept of Extraordinary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Items, </w:t>
      </w:r>
      <w:r>
        <w:rPr>
          <w:rFonts w:ascii="Arial" w:cs="Arial" w:eastAsia="Arial" w:hAnsi="Arial"/>
          <w:sz w:val="18"/>
          <w:szCs w:val="18"/>
          <w:color w:val="auto"/>
        </w:rPr>
        <w:t>an amendment of the FASB Accounting Standards Codification. This ASU eliminates the separate presentation of extraordinary items, net of tax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related earnings per share, but does not affect the requirement to disclose material items that are unusual in nature or infrequently occurring. The ASU aligns U.S. GAAP more closely with International Financial Reporting Standards. We will continue to evaluate whether items are unusual in nature or infrequent in their occurrence for disclosure purposes and when estimating the annual effective tax rate for interim reporting purposes. Such adoption did not have any impact to our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92" w:right="239" w:bottom="1440" w:gutter="0" w:footer="0" w:header="0"/>
        </w:sectPr>
      </w:pPr>
    </w:p>
    <w:bookmarkStart w:id="28" w:name="page29"/>
    <w:bookmarkEnd w:id="28"/>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2016 to March 31, 2017.</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March 31, 2017.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March 31, 2017 that has materially affected, or is reasonably likely to materially affect, our internal control over financial reporting. However, management is in the process of integrating the recently acquired Carve-Out Business and CES into our overall internal control over financial reporting environment.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2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2016. There have been no material changes from the factors disclosed in our 2016 Annual Report on Form 10-K filed on August 16, 2016,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5"/>
              </w:rPr>
              <w:t>The following materials from the Company’s Quarterly Report on the Form 10-Q for the quarter ended March 31, 2017</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May 4, 2017.</w:t>
      </w:r>
    </w:p>
    <w:p>
      <w:pPr>
        <w:spacing w:after="0" w:line="2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20"/>
          </w:cols>
          <w:pgMar w:left="240" w:top="580" w:right="9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March 31, 2017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emdash "/>
      <w:numFmt w:val="bullet"/>
      <w:start w:val="1"/>
    </w:lvl>
  </w:abstractNum>
  <w:abstractNum w:abstractNumId="3">
    <w:nsid w:val="6B68079A"/>
    <w:multiLevelType w:val="hybridMultilevel"/>
    <w:lvl w:ilvl="0">
      <w:lvlJc w:val="left"/>
      <w:lvlText w:val="%1."/>
      <w:numFmt w:val="upperLetter"/>
      <w:start w:val="1"/>
    </w:lvl>
  </w:abstractNum>
  <w:abstractNum w:abstractNumId="4">
    <w:nsid w:val="4E6AFB66"/>
    <w:multiLevelType w:val="hybridMultilevel"/>
    <w:lvl w:ilvl="0">
      <w:lvlJc w:val="left"/>
      <w:lvlText w:val="%1."/>
      <w:numFmt w:val="upperLetter"/>
      <w:start w:val="2"/>
    </w:lvl>
  </w:abstractNum>
  <w:abstractNum w:abstractNumId="5">
    <w:nsid w:val="25E45D32"/>
    <w:multiLevelType w:val="hybridMultilevel"/>
    <w:lvl w:ilvl="0">
      <w:lvlJc w:val="left"/>
      <w:lvlText w:val="%1."/>
      <w:numFmt w:val="upperLetter"/>
      <w:start w:val="3"/>
    </w:lvl>
  </w:abstractNum>
  <w:abstractNum w:abstractNumId="6">
    <w:nsid w:val="519B500D"/>
    <w:multiLevelType w:val="hybridMultilevel"/>
    <w:lvl w:ilvl="0">
      <w:lvlJc w:val="left"/>
      <w:lvlText w:val="%1."/>
      <w:numFmt w:val="upperLetter"/>
      <w:start w:val="4"/>
    </w:lvl>
  </w:abstractNum>
  <w:abstractNum w:abstractNumId="7">
    <w:nsid w:val="431BD7B7"/>
    <w:multiLevelType w:val="hybridMultilevel"/>
    <w:lvl w:ilvl="0">
      <w:lvlJc w:val="left"/>
      <w:lvlText w:val="%1."/>
      <w:numFmt w:val="upperLetter"/>
      <w:start w:val="5"/>
    </w:lvl>
  </w:abstractNum>
  <w:abstractNum w:abstractNumId="8">
    <w:nsid w:val="3F2DBA31"/>
    <w:multiLevelType w:val="hybridMultilevel"/>
    <w:lvl w:ilvl="0">
      <w:lvlJc w:val="left"/>
      <w:lvlText w:val="%1."/>
      <w:numFmt w:val="upperLetter"/>
      <w:start w:val="6"/>
    </w:lvl>
  </w:abstractNum>
  <w:abstractNum w:abstractNumId="9">
    <w:nsid w:val="7C83E458"/>
    <w:multiLevelType w:val="hybridMultilevel"/>
    <w:lvl w:ilvl="0">
      <w:lvlJc w:val="left"/>
      <w:lvlText w:val="%1."/>
      <w:numFmt w:val="upperLetter"/>
      <w:start w:val="7"/>
    </w:lvl>
  </w:abstractNum>
  <w:abstractNum w:abstractNumId="10">
    <w:nsid w:val="257130A3"/>
    <w:multiLevelType w:val="hybridMultilevel"/>
    <w:lvl w:ilvl="0">
      <w:lvlJc w:val="left"/>
      <w:lvlText w:val="%1."/>
      <w:numFmt w:val="upperLetter"/>
      <w:start w:val="8"/>
    </w:lvl>
  </w:abstractNum>
  <w:abstractNum w:abstractNumId="11">
    <w:nsid w:val="62BBD95A"/>
    <w:multiLevelType w:val="hybridMultilevel"/>
    <w:lvl w:ilvl="0">
      <w:lvlJc w:val="left"/>
      <w:lvlText w:val="%1."/>
      <w:numFmt w:val="upperLetter"/>
      <w:start w:val="9"/>
    </w:lvl>
  </w:abstractNum>
  <w:abstractNum w:abstractNumId="12">
    <w:nsid w:val="436C6125"/>
    <w:multiLevelType w:val="hybridMultilevel"/>
    <w:lvl w:ilvl="0">
      <w:lvlJc w:val="left"/>
      <w:lvlText w:val="%1."/>
      <w:numFmt w:val="upperLetter"/>
      <w:start w:val="10"/>
    </w:lvl>
  </w:abstractNum>
  <w:abstractNum w:abstractNumId="13">
    <w:nsid w:val="628C895D"/>
    <w:multiLevelType w:val="hybridMultilevel"/>
    <w:lvl w:ilvl="0">
      <w:lvlJc w:val="left"/>
      <w:lvlText w:val="%1."/>
      <w:numFmt w:val="upperLetter"/>
      <w:start w:val="1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upperLetter"/>
      <w:start w:val="13"/>
    </w:lvl>
  </w:abstractNum>
  <w:abstractNum w:abstractNumId="19">
    <w:nsid w:val="75A2A8D4"/>
    <w:multiLevelType w:val="hybridMultilevel"/>
    <w:lvl w:ilvl="0">
      <w:lvlJc w:val="left"/>
      <w:lvlText w:val="%1."/>
      <w:numFmt w:val="upperLetter"/>
      <w:start w:val="14"/>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2019-12-29T06:30:55Z</dcterms:created>
  <dcterms:modified xsi:type="dcterms:W3CDTF">2019-12-29T06:30:55Z</dcterms:modified>
</cp:coreProperties>
</file>