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30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2011</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 FOR THE TRANSITION</w:t>
      </w:r>
    </w:p>
    <w:p>
      <w:pPr>
        <w:spacing w:after="0" w:line="203" w:lineRule="exact"/>
        <w:rPr>
          <w:sz w:val="24"/>
          <w:szCs w:val="24"/>
          <w:color w:val="auto"/>
        </w:rPr>
      </w:pPr>
    </w:p>
    <w:p>
      <w:pPr>
        <w:ind w:left="460"/>
        <w:spacing w:after="0"/>
        <w:tabs>
          <w:tab w:leader="none" w:pos="2620" w:val="left"/>
          <w:tab w:leader="none" w:pos="378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MERCURY COMPUTER SYSTEMS,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0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96"/>
              </w:rPr>
              <w:t>MASSACHUSETTS</w:t>
            </w:r>
          </w:p>
        </w:tc>
        <w:tc>
          <w:tcPr>
            <w:tcW w:w="208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04-2741391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000" w:type="dxa"/>
            <w:vAlign w:val="bottom"/>
            <w:gridSpan w:val="6"/>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080" w:type="dxa"/>
            <w:vAlign w:val="bottom"/>
            <w:gridSpan w:val="2"/>
          </w:tcPr>
          <w:p>
            <w:pPr>
              <w:jc w:val="center"/>
              <w:ind w:left="50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00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0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9"/>
              </w:rPr>
              <w:t>Identification No.)</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7000" w:type="dxa"/>
            <w:vAlign w:val="bottom"/>
            <w:gridSpan w:val="6"/>
          </w:tcPr>
          <w:p>
            <w:pPr>
              <w:jc w:val="center"/>
              <w:ind w:right="1980"/>
              <w:spacing w:after="0"/>
              <w:rPr>
                <w:sz w:val="20"/>
                <w:szCs w:val="20"/>
                <w:color w:val="auto"/>
              </w:rPr>
            </w:pPr>
            <w:r>
              <w:rPr>
                <w:rFonts w:ascii="Arial" w:cs="Arial" w:eastAsia="Arial" w:hAnsi="Arial"/>
                <w:sz w:val="18"/>
                <w:szCs w:val="18"/>
                <w:b w:val="1"/>
                <w:bCs w:val="1"/>
                <w:color w:val="auto"/>
                <w:w w:val="97"/>
              </w:rPr>
              <w:t>201 RIVERNECK ROAD</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99"/>
              </w:rPr>
              <w:t>CHELMSFORD, MA</w:t>
            </w:r>
          </w:p>
        </w:tc>
        <w:tc>
          <w:tcPr>
            <w:tcW w:w="20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01824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00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0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9"/>
              </w:rPr>
              <w:t>(Zip Code)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40" w:type="dxa"/>
            <w:vAlign w:val="bottom"/>
            <w:gridSpan w:val="4"/>
          </w:tcPr>
          <w:p>
            <w:pPr>
              <w:jc w:val="center"/>
              <w:ind w:left="4098"/>
              <w:spacing w:after="0"/>
              <w:rPr>
                <w:sz w:val="20"/>
                <w:szCs w:val="20"/>
                <w:color w:val="auto"/>
              </w:rPr>
            </w:pPr>
            <w:r>
              <w:rPr>
                <w:rFonts w:ascii="Arial" w:cs="Arial" w:eastAsia="Arial" w:hAnsi="Arial"/>
                <w:sz w:val="18"/>
                <w:szCs w:val="18"/>
                <w:b w:val="1"/>
                <w:bCs w:val="1"/>
                <w:color w:val="auto"/>
                <w:w w:val="89"/>
              </w:rPr>
              <w:t>978-256-1300</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2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940" w:type="dxa"/>
            <w:vAlign w:val="bottom"/>
          </w:tcPr>
          <w:p>
            <w:pPr>
              <w:spacing w:after="0"/>
              <w:rPr>
                <w:sz w:val="24"/>
                <w:szCs w:val="24"/>
                <w:color w:val="auto"/>
              </w:rPr>
            </w:pPr>
          </w:p>
        </w:tc>
        <w:tc>
          <w:tcPr>
            <w:tcW w:w="6460" w:type="dxa"/>
            <w:vAlign w:val="bottom"/>
            <w:gridSpan w:val="6"/>
          </w:tcPr>
          <w:p>
            <w:pPr>
              <w:jc w:val="center"/>
              <w:ind w:left="299"/>
              <w:spacing w:after="0"/>
              <w:rPr>
                <w:sz w:val="20"/>
                <w:szCs w:val="20"/>
                <w:color w:val="auto"/>
              </w:rPr>
            </w:pPr>
            <w:r>
              <w:rPr>
                <w:rFonts w:ascii="Arial" w:cs="Arial" w:eastAsia="Arial" w:hAnsi="Arial"/>
                <w:sz w:val="18"/>
                <w:szCs w:val="18"/>
                <w:b w:val="1"/>
                <w:bCs w:val="1"/>
                <w:color w:val="auto"/>
                <w:w w:val="96"/>
              </w:rPr>
              <w:t>SECURITIES REGISTERED PURSUANT TO SECTION 12(b) OF THE</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20" w:type="dxa"/>
            <w:vAlign w:val="bottom"/>
            <w:gridSpan w:val="4"/>
          </w:tcPr>
          <w:p>
            <w:pPr>
              <w:jc w:val="center"/>
              <w:ind w:left="557"/>
              <w:spacing w:after="0"/>
              <w:rPr>
                <w:sz w:val="20"/>
                <w:szCs w:val="20"/>
                <w:color w:val="auto"/>
              </w:rPr>
            </w:pPr>
            <w:r>
              <w:rPr>
                <w:rFonts w:ascii="Arial" w:cs="Arial" w:eastAsia="Arial" w:hAnsi="Arial"/>
                <w:sz w:val="18"/>
                <w:szCs w:val="18"/>
                <w:b w:val="1"/>
                <w:bCs w:val="1"/>
                <w:color w:val="auto"/>
                <w:w w:val="97"/>
              </w:rPr>
              <w:t>SECURITIES EXCHANGE ACT OF 1934:</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1"/>
        </w:trPr>
        <w:tc>
          <w:tcPr>
            <w:tcW w:w="3080" w:type="dxa"/>
            <w:vAlign w:val="bottom"/>
            <w:gridSpan w:val="2"/>
          </w:tcPr>
          <w:p>
            <w:pPr>
              <w:ind w:left="1040"/>
              <w:spacing w:after="0" w:line="201" w:lineRule="exact"/>
              <w:rPr>
                <w:sz w:val="20"/>
                <w:szCs w:val="20"/>
                <w:color w:val="auto"/>
              </w:rPr>
            </w:pPr>
            <w:r>
              <w:rPr>
                <w:rFonts w:ascii="Arial" w:cs="Arial" w:eastAsia="Arial" w:hAnsi="Arial"/>
                <w:sz w:val="18"/>
                <w:szCs w:val="18"/>
                <w:color w:val="auto"/>
                <w:w w:val="88"/>
              </w:rPr>
              <w:t>Common Stock, Par Value $</w:t>
            </w:r>
          </w:p>
        </w:tc>
        <w:tc>
          <w:tcPr>
            <w:tcW w:w="3920" w:type="dxa"/>
            <w:vAlign w:val="bottom"/>
            <w:gridSpan w:val="4"/>
          </w:tcPr>
          <w:p>
            <w:pPr>
              <w:spacing w:after="0" w:line="201" w:lineRule="exact"/>
              <w:rPr>
                <w:sz w:val="20"/>
                <w:szCs w:val="20"/>
                <w:color w:val="auto"/>
              </w:rPr>
            </w:pPr>
            <w:r>
              <w:rPr>
                <w:rFonts w:ascii="Arial" w:cs="Arial" w:eastAsia="Arial" w:hAnsi="Arial"/>
                <w:sz w:val="18"/>
                <w:szCs w:val="18"/>
                <w:color w:val="auto"/>
              </w:rPr>
              <w:t>.01 Per Share</w:t>
            </w:r>
          </w:p>
        </w:tc>
        <w:tc>
          <w:tcPr>
            <w:tcW w:w="2740" w:type="dxa"/>
            <w:vAlign w:val="bottom"/>
            <w:gridSpan w:val="3"/>
          </w:tcPr>
          <w:p>
            <w:pPr>
              <w:jc w:val="center"/>
              <w:ind w:right="12"/>
              <w:spacing w:after="0" w:line="201" w:lineRule="exact"/>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22"/>
        </w:trPr>
        <w:tc>
          <w:tcPr>
            <w:tcW w:w="7000" w:type="dxa"/>
            <w:vAlign w:val="bottom"/>
            <w:gridSpan w:val="6"/>
          </w:tcPr>
          <w:p>
            <w:pPr>
              <w:jc w:val="center"/>
              <w:ind w:right="2000"/>
              <w:spacing w:after="0"/>
              <w:rPr>
                <w:sz w:val="20"/>
                <w:szCs w:val="20"/>
                <w:color w:val="auto"/>
              </w:rPr>
            </w:pPr>
            <w:r>
              <w:rPr>
                <w:rFonts w:ascii="Arial" w:cs="Arial" w:eastAsia="Arial" w:hAnsi="Arial"/>
                <w:sz w:val="18"/>
                <w:szCs w:val="18"/>
                <w:color w:val="auto"/>
                <w:w w:val="86"/>
              </w:rPr>
              <w:t>Preferred Stock Purchase Rights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940" w:type="dxa"/>
            <w:vAlign w:val="bottom"/>
          </w:tcPr>
          <w:p>
            <w:pPr>
              <w:spacing w:after="0"/>
              <w:rPr>
                <w:sz w:val="23"/>
                <w:szCs w:val="23"/>
                <w:color w:val="auto"/>
              </w:rPr>
            </w:pPr>
          </w:p>
        </w:tc>
        <w:tc>
          <w:tcPr>
            <w:tcW w:w="6460" w:type="dxa"/>
            <w:vAlign w:val="bottom"/>
            <w:gridSpan w:val="6"/>
          </w:tcPr>
          <w:p>
            <w:pPr>
              <w:jc w:val="center"/>
              <w:ind w:left="299"/>
              <w:spacing w:after="0"/>
              <w:rPr>
                <w:sz w:val="20"/>
                <w:szCs w:val="20"/>
                <w:color w:val="auto"/>
              </w:rPr>
            </w:pPr>
            <w:r>
              <w:rPr>
                <w:rFonts w:ascii="Arial" w:cs="Arial" w:eastAsia="Arial" w:hAnsi="Arial"/>
                <w:sz w:val="18"/>
                <w:szCs w:val="18"/>
                <w:b w:val="1"/>
                <w:bCs w:val="1"/>
                <w:color w:val="auto"/>
                <w:w w:val="96"/>
              </w:rPr>
              <w:t>SECURITIES REGISTERED PURSUANT TO SECTION 12(g) OF THE</w:t>
            </w: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20" w:type="dxa"/>
            <w:vAlign w:val="bottom"/>
            <w:gridSpan w:val="5"/>
          </w:tcPr>
          <w:p>
            <w:pPr>
              <w:jc w:val="center"/>
              <w:ind w:right="704"/>
              <w:spacing w:after="0"/>
              <w:rPr>
                <w:sz w:val="20"/>
                <w:szCs w:val="20"/>
                <w:color w:val="auto"/>
              </w:rPr>
            </w:pPr>
            <w:r>
              <w:rPr>
                <w:rFonts w:ascii="Arial" w:cs="Arial" w:eastAsia="Arial" w:hAnsi="Arial"/>
                <w:sz w:val="18"/>
                <w:szCs w:val="18"/>
                <w:b w:val="1"/>
                <w:bCs w:val="1"/>
                <w:color w:val="auto"/>
                <w:w w:val="96"/>
              </w:rPr>
              <w:t>SECURITIES EXCHANGE ACT OF 1934: NONE</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860" w:type="dxa"/>
            <w:vAlign w:val="bottom"/>
            <w:gridSpan w:val="3"/>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ind w:left="360"/>
        <w:spacing w:after="0" w:line="207" w:lineRule="exact"/>
        <w:tabs>
          <w:tab w:leader="none" w:pos="850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342"/>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$426.9 million based upon the closing price of the Common Stock as reported on the Nasdaq Global Select Market on December 31, 2010, the last business day of the registrant’s most recently completed second fiscal quarter.</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Shares of Common Stock outstanding as of July 29, 2011: 30,329,582 shares</w:t>
      </w:r>
    </w:p>
    <w:p>
      <w:pPr>
        <w:spacing w:after="0" w:line="5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240" w:firstLine="342"/>
        <w:spacing w:after="0" w:line="268" w:lineRule="auto"/>
        <w:rPr>
          <w:sz w:val="20"/>
          <w:szCs w:val="20"/>
          <w:color w:val="auto"/>
        </w:rPr>
      </w:pPr>
      <w:r>
        <w:rPr>
          <w:rFonts w:ascii="Arial" w:cs="Arial" w:eastAsia="Arial" w:hAnsi="Arial"/>
          <w:sz w:val="18"/>
          <w:szCs w:val="18"/>
          <w:color w:val="auto"/>
        </w:rPr>
        <w:t>Portions of the registrant’s definitive Proxy Statement for its Annual Meeting of Shareholders to be held on October 21, 2011 (the “Proxy Statement”) are incorporated by reference into Part III of this report.</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Exhibit Index on Page 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6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98"/>
              </w:rPr>
              <w:t>MERCURY COMPUTER SYSTEMS, INC.</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9380" w:type="dxa"/>
            <w:vAlign w:val="bottom"/>
            <w:gridSpan w:val="2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380" w:type="dxa"/>
            <w:vAlign w:val="bottom"/>
            <w:gridSpan w:val="27"/>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760" w:type="dxa"/>
            <w:vAlign w:val="bottom"/>
            <w:gridSpan w:val="2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850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380" w:type="dxa"/>
            <w:vAlign w:val="bottom"/>
            <w:gridSpan w:val="2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1260" w:type="dxa"/>
            <w:vAlign w:val="bottom"/>
            <w:tcBorders>
              <w:top w:val="single" w:sz="8" w:color="0000EE"/>
            </w:tcBorders>
            <w:gridSpan w:val="9"/>
          </w:tcPr>
          <w:p>
            <w:pPr>
              <w:spacing w:after="0"/>
              <w:rPr>
                <w:sz w:val="17"/>
                <w:szCs w:val="17"/>
                <w:color w:val="auto"/>
              </w:rPr>
            </w:pPr>
          </w:p>
        </w:tc>
        <w:tc>
          <w:tcPr>
            <w:tcW w:w="740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808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Removed and Reserved</w:t>
              </w:r>
            </w:hyperlink>
          </w:p>
        </w:tc>
        <w:tc>
          <w:tcPr>
            <w:tcW w:w="772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4.1.</w:t>
            </w:r>
          </w:p>
        </w:tc>
        <w:tc>
          <w:tcPr>
            <w:tcW w:w="938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 of the Registrant</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32">
              <w:r>
                <w:rPr>
                  <w:rFonts w:ascii="Arial" w:cs="Arial" w:eastAsia="Arial" w:hAnsi="Arial"/>
                  <w:sz w:val="18"/>
                  <w:szCs w:val="18"/>
                  <w:b w:val="1"/>
                  <w:bCs w:val="1"/>
                  <w:color w:val="0000EE"/>
                  <w:w w:val="96"/>
                </w:rPr>
                <w:t>PART II</w:t>
              </w:r>
            </w:hyperlink>
          </w:p>
        </w:tc>
        <w:tc>
          <w:tcPr>
            <w:tcW w:w="1880" w:type="dxa"/>
            <w:vAlign w:val="bottom"/>
            <w:tcBorders>
              <w:top w:val="single" w:sz="8" w:color="0000EE"/>
            </w:tcBorders>
            <w:gridSpan w:val="13"/>
          </w:tcPr>
          <w:p>
            <w:pPr>
              <w:spacing w:after="0"/>
              <w:rPr>
                <w:sz w:val="24"/>
                <w:szCs w:val="24"/>
                <w:color w:val="auto"/>
              </w:rPr>
            </w:pPr>
          </w:p>
        </w:tc>
        <w:tc>
          <w:tcPr>
            <w:tcW w:w="686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8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Quantitative and Qualitative Disclosures about Market Risk</w:t>
              </w:r>
            </w:hyperlink>
          </w:p>
        </w:tc>
        <w:tc>
          <w:tcPr>
            <w:tcW w:w="518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Financial Statements and Supplementary Data</w:t>
              </w:r>
            </w:hyperlink>
          </w:p>
        </w:tc>
        <w:tc>
          <w:tcPr>
            <w:tcW w:w="61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Changes in and Disagreements with Accountants on Accounting and Financial Disclosure</w:t>
              </w:r>
            </w:hyperlink>
          </w:p>
        </w:tc>
        <w:tc>
          <w:tcPr>
            <w:tcW w:w="306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13"/>
          </w:tcPr>
          <w:p>
            <w:pPr>
              <w:spacing w:after="0" w:line="196" w:lineRule="exact"/>
              <w:rPr>
                <w:rFonts w:ascii="Arial" w:cs="Arial" w:eastAsia="Arial" w:hAnsi="Arial"/>
                <w:sz w:val="18"/>
                <w:szCs w:val="18"/>
                <w:color w:val="0000EE"/>
                <w:w w:val="85"/>
              </w:rPr>
            </w:pPr>
            <w:hyperlink w:anchor="page91">
              <w:r>
                <w:rPr>
                  <w:rFonts w:ascii="Arial" w:cs="Arial" w:eastAsia="Arial" w:hAnsi="Arial"/>
                  <w:sz w:val="18"/>
                  <w:szCs w:val="18"/>
                  <w:color w:val="0000EE"/>
                  <w:w w:val="85"/>
                </w:rPr>
                <w:t>Controls and Procedures</w:t>
              </w:r>
            </w:hyperlink>
          </w:p>
        </w:tc>
        <w:tc>
          <w:tcPr>
            <w:tcW w:w="766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2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Other Information</w:t>
              </w:r>
            </w:hyperlink>
          </w:p>
        </w:tc>
        <w:tc>
          <w:tcPr>
            <w:tcW w:w="810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92">
              <w:r>
                <w:rPr>
                  <w:rFonts w:ascii="Arial" w:cs="Arial" w:eastAsia="Arial" w:hAnsi="Arial"/>
                  <w:sz w:val="18"/>
                  <w:szCs w:val="18"/>
                  <w:b w:val="1"/>
                  <w:bCs w:val="1"/>
                  <w:color w:val="0000EE"/>
                  <w:w w:val="98"/>
                </w:rPr>
                <w:t>PART III</w:t>
              </w:r>
            </w:hyperlink>
          </w:p>
        </w:tc>
        <w:tc>
          <w:tcPr>
            <w:tcW w:w="8680" w:type="dxa"/>
            <w:vAlign w:val="bottom"/>
            <w:gridSpan w:val="22"/>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938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17"/>
                <w:szCs w:val="17"/>
                <w:color w:val="auto"/>
              </w:rPr>
            </w:pPr>
          </w:p>
        </w:tc>
        <w:tc>
          <w:tcPr>
            <w:tcW w:w="540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380" w:type="dxa"/>
            <w:vAlign w:val="bottom"/>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Certain Relationships and Related Transactions, and Director Independence</w:t>
              </w:r>
            </w:hyperlink>
          </w:p>
        </w:tc>
        <w:tc>
          <w:tcPr>
            <w:tcW w:w="22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Principal Accounting Fees and Services</w:t>
              </w:r>
            </w:hyperlink>
          </w:p>
        </w:tc>
        <w:tc>
          <w:tcPr>
            <w:tcW w:w="2500" w:type="dxa"/>
            <w:vAlign w:val="bottom"/>
            <w:tcBorders>
              <w:top w:val="single" w:sz="8" w:color="0000EE"/>
            </w:tcBorders>
            <w:gridSpan w:val="5"/>
          </w:tcPr>
          <w:p>
            <w:pPr>
              <w:spacing w:after="0"/>
              <w:rPr>
                <w:sz w:val="17"/>
                <w:szCs w:val="17"/>
                <w:color w:val="auto"/>
              </w:rPr>
            </w:pPr>
          </w:p>
        </w:tc>
        <w:tc>
          <w:tcPr>
            <w:tcW w:w="408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27"/>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IV</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Exhibits and Financial Statement Schedules</w:t>
              </w:r>
            </w:hyperlink>
          </w:p>
        </w:tc>
        <w:tc>
          <w:tcPr>
            <w:tcW w:w="630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40" w:type="dxa"/>
            <w:vAlign w:val="bottom"/>
            <w:tcBorders>
              <w:bottom w:val="single" w:sz="8" w:color="0000EE"/>
            </w:tcBorders>
            <w:gridSpan w:val="7"/>
          </w:tcPr>
          <w:p>
            <w:pPr>
              <w:spacing w:after="0" w:line="196" w:lineRule="exact"/>
              <w:rPr>
                <w:rFonts w:ascii="Arial" w:cs="Arial" w:eastAsia="Arial" w:hAnsi="Arial"/>
                <w:sz w:val="18"/>
                <w:szCs w:val="18"/>
                <w:color w:val="0000EE"/>
                <w:w w:val="83"/>
              </w:rPr>
            </w:pPr>
            <w:hyperlink w:anchor="page97">
              <w:r>
                <w:rPr>
                  <w:rFonts w:ascii="Arial" w:cs="Arial" w:eastAsia="Arial" w:hAnsi="Arial"/>
                  <w:sz w:val="18"/>
                  <w:szCs w:val="18"/>
                  <w:color w:val="0000EE"/>
                  <w:w w:val="83"/>
                </w:rPr>
                <w:t>Signatures</w:t>
              </w:r>
            </w:hyperlink>
          </w:p>
        </w:tc>
        <w:tc>
          <w:tcPr>
            <w:tcW w:w="864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Exhibit Index</w:t>
              </w:r>
            </w:hyperlink>
          </w:p>
        </w:tc>
        <w:tc>
          <w:tcPr>
            <w:tcW w:w="842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300" w:type="dxa"/>
            <w:vAlign w:val="bottom"/>
            <w:gridSpan w:val="22"/>
          </w:tcPr>
          <w:p>
            <w:pPr>
              <w:jc w:val="center"/>
              <w:ind w:left="3372"/>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right="520" w:firstLine="456"/>
        <w:spacing w:after="0" w:line="258"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4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When used in this report, the terms “Mercury,” “we,” “our,” “us,” and “the Company” refer to Mercury Computer Systems, Inc. and its consolidated subsidiaries, except where the context otherwise requires or as otherwise indicated. The term “fiscal” with respect to a year refers to the period from July 1 to June 30. For example, fiscal 2011 refers to the period from July 1, 2010 to June 30,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computing markets. Our solutions play a critical role in a wide range of applications, transforming sensor data to information for analysis and interpretation. In military reconnaissance and surveillance platforms, our sub-systems process real-time radar, video, sonar and signals intelligence data. We provide microwave products for enhanced communications capabilities in military and commercial applications. Additionally, we entered the prime defense contracting market space in fiscal 2008 through the creation of our wholly-owned subsidiary, Mercury Federal Systems, Inc., to focus on reaching classified DoD markets as well as federal intelligence and homeland security agencies.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Our products or solutions have been deployed in approximately 300 different programs with over 25 different prime defense contractors.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revenue, income from continuing operations and adjusted EBITDA for fiscal 2011 were $228.7 million, $18.5 million and $40.9 million, respectively. Our revenue, income from continuing operations and adjusted EBITDA for fiscal 2010 were $199.8 million, $28.1 million and $29.9 million, respectively. Our revenue, income from continuing operations and adjusted EBITDA for fiscal 2009 were $188.9 million, $7.9 million and $22.9 million, respectively. See page 27 of this annual report for a reconciliation of our adjusted EBITDA to income from continuing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unit is focused on specialized, high performance signal end-to-end processing solutions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encompass signal acquisition including microwave front-end, digitalization, computing, storage and communications, targeted to key market segments, including defense, communications and other commercial applications. ACS’s open system architecture solutions span the full range of embedded technologies from board level products to fully integrated sub-systems. Our products utilize leading-edge processor technologies designed to address highly data-intensive applications that include signal, sensor and image processing within environmentally constrained military and commercial applications. In addition, ACS now has a portfolio of Microwave sub-assemblies to address needs in EW, SIGINT, ELINT and high bandwidth communications subsystems.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In fiscal 2011, ACS accounted for 95% of our total net revenues.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unit is focused on services and support work with the Department of Defense, or the DoD,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intelligence and homeland security agencies, including designing and engineering new intelligence, surveillance and reconnaissance, or ISR, capabilities to address present and emerging threats to U.S. forces.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This business unit enables us to combine classified intellectual property with the commercially-developed application-ready sub-systems being developed by ACS, providing customers with platform-ready, affordable ISR sub-systems. In fiscal 2011, MFS accounted for 5% of our total net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12, 2011, we completed the acquisition of LNX Corporation, or LNX, a designer and manufacturer of next generation radio frequency receivers for signals intelligence, communications intelligence and electronic attack applications. Under the terms of the stock purchase agreement, we acquired LNX for an all-cash purchase price of $31.0 million plus an earn-out of up to $5.0 million payable upon the achievement of financial targets in calendar years 2011 and 2012. We believe the successful acquisition of LNX represents a significant step in our growth strategy and strongly augments our existing capabilities within our core markets. LNX enables us to capitalize on our existing program presence while providing new capabilities that will allow us to target additional opportunities. LNX’s position as a key supplier to the prime contractor under the JCREW 3.3 program significantly increases our content on that platform. We believe that LNX’s technology and market presence could also strengthen our MFS business.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February 16, 2011, we completed a follow-on public stock offering of 5,577,500 shares of common stock, which were sold at a price to the public of $17.75. The follow-on public stock offering resulted in $93.6 million of net proceeds to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Since 1981, we have operated as a provider of advanced embedded computing products primarily for end markets in the defense industry. Over time, we expanded our business to focus on a number of commercial end markets, including the biotechnology, embedded systems and professional services, visual imaging software and life sciences markets. While this strategy was designed to expand our target market, in the mid-2000’s many of these new businesses required large investments, which significantly reduced our profitability, and we found ourselves spread across several disparate, unprofitable end-user segments.</w:t>
      </w:r>
    </w:p>
    <w:p>
      <w:pPr>
        <w:spacing w:after="0" w:line="9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November 2007, Mark Aslett joined Mercury as chief executive officer in order to execute a strategy to refocus the business and return our Company to growth and profitability. Since then, Mr. Aslett and the current management team have successfully sold or shut down five non-core business units, returned the Company to profitability and growth and are transforming the Company into a best-of-breed provider of affordable, open architecture, commercially-developed, application-ready and multi-intelligence sub-systems for our primary defense embedded computing end markets. Our refocused business combined with improved operations has led to improved overall financial performance, including:</w:t>
      </w:r>
    </w:p>
    <w:p>
      <w:pPr>
        <w:spacing w:after="0" w:line="35" w:lineRule="exact"/>
        <w:rPr>
          <w:sz w:val="20"/>
          <w:szCs w:val="20"/>
          <w:color w:val="auto"/>
        </w:rPr>
      </w:pPr>
    </w:p>
    <w:p>
      <w:pPr>
        <w:ind w:left="900" w:right="3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defense sales from $111.3 million in fiscal 2007 to $179.1 million in fiscal 2011 representing approximately 61% growth, or 13% on a compounded annual rate, and increasing defense sales as percentage of revenue from 55% in fiscal 2007 to 78% in fiscal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income from continuing operations from a loss of $28.9 million in fiscal 2007 to income of $18.5 million in fiscal 2011 and increasing income from continuing operations from negative 14% for fiscal 2007 to 8% for fiscal 2011;</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our cash flow, with negative cash flow from operations of $10.3 million in fiscal 2007 to positive cash flow from operations of $31.5 million in fiscal 2011;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improving our balance sheet by reducing total indebtedness from $125.0 million at June 30, 2007 to zero at June 30, 2010 and June 30, 2011.</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this period of improving financial performance, we continued to have success on programs such as Aegis, Global Hawk, Predator and Reaper and have reinvested in our business. We improved our position as a best-of-breed provider in our target markets, with major design wins including the Patriot missile program, the JCREW 3.3 program, which is the DoD’s principal program to counter improvised explosive devices, or IEDs, and the Surface Electronic Warfare Improvement Program, or SEWIP, the EW improvement program for surface vessels to counteract a variety of emerging threats. In fiscal 2010, we grew organically, improved our working capital position and profitability metrics, and continued to refresh our product portfolio, and grew our services and systems integration business. We strengthened our position in our core ISR, EW and ballistic missile defense markets and believe our position in these markets will continue to grow. In fiscal 2011, we continued to strengthen and grow our core business by enhancing our current product portfolio and increasing our ISR domain expertise and capabilities. We continue to be successful on our existing programs and to pursue new design wins on high growth, high priority programs. In response to new and emerging threats, and the need for better intelligence in shorter time frames, we have developed new products and capabilities that, in conjunction with our customers, seek to address those areas of concern. We have also grown and anticipate growing further through acquisitions of performing companies that will complement, strengthen and grow our core business. As a result of these efforts, we believe we are well-positioned to capture existing and future growth opportunities in our end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market opportunity is defined by the growing demand for advanced signal processing capabilities within the defense industry. Our primary market is the defense sector, specifically EW, ballistic missile defense and C4ISR; and commercial markets, which include commercial communications and other commercial computing markets. We believe we are well-positioned in growing, sustainable market segments of the defense sector that leverage advanced technology to improve warfighter capability and provide enhanced force protection capabilities.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there are a number of evolving trends that are reshaping our target market and accordingly provide us with attractive growth opportunities, including:</w:t>
      </w:r>
    </w:p>
    <w:p>
      <w:pPr>
        <w:spacing w:after="0" w:line="5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The U.S. defense electronics market is large and modestly growing. We have expanded our target market and are well-positioned from a DoD budget, program and platform perspective. Despite expected DoD defense budget cuts, the portion most relevant to our business is projected to remain strong. DoD defense electronics spending was approximately $38.2 billion in government fiscal year 2010, and is projected to increase to $39.5 billion in government fiscal year 2011. </w:t>
      </w:r>
      <w:r>
        <w:rPr>
          <w:rFonts w:ascii="Arial" w:cs="Arial" w:eastAsia="Arial" w:hAnsi="Arial"/>
          <w:sz w:val="15"/>
          <w:szCs w:val="15"/>
          <w:color w:val="auto"/>
        </w:rPr>
        <w:t>Defense electronic spending represents approximately 6% of the total DoD spending annually. We believe ISR, EW and ballistic missile defense have</w:t>
      </w:r>
      <w:r>
        <w:rPr>
          <w:rFonts w:ascii="Arial" w:cs="Arial" w:eastAsia="Arial" w:hAnsi="Arial"/>
          <w:sz w:val="15"/>
          <w:szCs w:val="15"/>
          <w:i w:val="1"/>
          <w:iCs w:val="1"/>
          <w:color w:val="auto"/>
        </w:rPr>
        <w:t xml:space="preserve"> </w:t>
      </w:r>
      <w:r>
        <w:rPr>
          <w:rFonts w:ascii="Arial" w:cs="Arial" w:eastAsia="Arial" w:hAnsi="Arial"/>
          <w:sz w:val="15"/>
          <w:szCs w:val="15"/>
          <w:color w:val="auto"/>
        </w:rPr>
        <w:t>a high priority for future DoD spending. We have positioned ourselves well in these important areas and have won a position on many programs and platforms. We are a best-of-breed provider in the design and development of performance optimized electronic sub-systems for the ISR market. As a leader in this market, we often contract with multiple prime defense contractors as they bid for a particular project, thereby increasing our chance of a successful outcome.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rapidly expanding demand for tactical ISR is leading to significant growth in sensor data, causing even greater demand for the capability of our products to process data onboard the platform</w:t>
      </w:r>
      <w:r>
        <w:rPr>
          <w:rFonts w:ascii="Arial" w:cs="Arial" w:eastAsia="Arial" w:hAnsi="Arial"/>
          <w:sz w:val="18"/>
          <w:szCs w:val="18"/>
          <w:color w:val="auto"/>
        </w:rPr>
        <w:t>. An increase in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prevalence and resolution of ISR sensors is generating significant growth in the associated data that needs to be turned into information for the warfighter in a timely manner. In addition, several factors are driving the defense and intelligence industries to demand greater capability to collect and process data onboard the aircraft, unmanned aerial vehicles, or UAVs, ships and other vehicles, which we refer to collectively as platforms. Each platform has limited communications bandwidth and cannot realistically transmit all the data that is collected onboard the platform, and this problem will increase over time as sensor generated data will continue to outstrip data communication capabilities. Looking forward, we believe our armed forces will need platforms that operate more autonomously and possibly in denied communication environments. In addition, the platforms themselves require increased persistence, and reducing the need to communicate data off the platform can help increase the ability of the platform to remain on or fly above the battlefield for extended periods. Finally, the scarcity and cost of human analysts, the demand for timely and relevant quality information and the increasing need to fuse data not only from multiple onboard sensors but also with intelligence generated from other platforms is causing even greater demand for the onboard processing capabilities our products provide.</w:t>
      </w:r>
    </w:p>
    <w:p>
      <w:pPr>
        <w:spacing w:after="0" w:line="120"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i w:val="1"/>
          <w:iCs w:val="1"/>
          <w:color w:val="auto"/>
        </w:rPr>
        <w:t>IEDs, rogue nations’ missile programs and threats from peer nations are causing greater investment in new EW and ballistic missile defense capabilities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threats, such as IEDs in the form of roadside bombs, continue to be effective weapons of choice for insurgents. We have developed responses for these existing threats, including providing the core radio frequency and signal processing for the JCREW 3.3 counter-IED program. Our acquisition of LNX increased our content on the JCREW 3.3 program by over 40%, and this program has the potential to become the largest single program we have won in our history.</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are also new and emerging threats, such as peer nations developing stealth technologies, including stealth aircraft and new anti-ship ballistic missiles that potentially threaten the U.S. naval fleet. Finally, U.S. armed forces require enhanced signals intelligence and jamming capabilities. In response to these emerging threats, we have engaged in the following:</w:t>
      </w:r>
    </w:p>
    <w:p>
      <w:pPr>
        <w:spacing w:after="0" w:line="59" w:lineRule="exact"/>
        <w:rPr>
          <w:sz w:val="20"/>
          <w:szCs w:val="20"/>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 the core radar processing on both the Aegis ballistic missile defense systems as well as the Patriot missile system, a ground-based missile defense platform;</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fall of 2010, we were selected by Lockheed Martin to work on SEWIP, the surface EW improvement program designed to upgrade the Naval Surface Fleet EW capability and counteract a range of new peer threats;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provide radar processing capabilities for the F-22 Raptor and F-35 Joint Strike Fighter, the latest generation of U.S. stealth-enabled fighters; and</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respond to the need for enhanced signals intelligence and jamming capabilities, we recently achieved a new design win for the next generation of the airborne signals intelligence payload, or ASIP, program.</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The long-term DoD budget pressure is pushing more dollars toward upgrades of the electronic sub-systems on existing platforms, which may increase demand for our products</w:t>
      </w:r>
      <w:r>
        <w:rPr>
          <w:rFonts w:ascii="Arial" w:cs="Arial" w:eastAsia="Arial" w:hAnsi="Arial"/>
          <w:sz w:val="18"/>
          <w:szCs w:val="18"/>
          <w:color w:val="auto"/>
        </w:rPr>
        <w:t>. The DoD is moving from major new weapons systems developments to upgrades of the electronic sub-systems on existing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These upgrades are expected to include more sensors, signal processing, ISR algorithms, multi-INT fusion, computing and communications. We believe that upgrades to provide new urgent war fighting capability, driven by combatant commanders, are occurring more rapidly than traditional prime defense contractors can easily react to. We believe these trends will cause prime defense contractors to increasingly seek out our high performance, cost-effective open architecture products.</w:t>
      </w:r>
    </w:p>
    <w:p>
      <w:pPr>
        <w:spacing w:after="0" w:line="14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Defense procurement reform is causing the prime defense contractors to outsource more work to best-of-breed companies</w:t>
      </w:r>
      <w:r>
        <w:rPr>
          <w:rFonts w:ascii="Arial" w:cs="Arial" w:eastAsia="Arial" w:hAnsi="Arial"/>
          <w:sz w:val="18"/>
          <w:szCs w:val="18"/>
          <w:color w:val="auto"/>
        </w:rPr>
        <w:t>. The U.S. government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intensely focused on making systems more affordable and shortening their development time. As a company that provides commercial items to the defense industry, we believe our products are often more affordable than products with the same functionality developed by a prime defense contractor. Prime defense contractors are increasingly being asked to work under firm fixed price contract awards, which can pressure profit margins and increase program risk. Prime defense contractors are also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being asked to produce systems much more rapidly than they have in the past. In addition, the U.S. government is demanding more use of commercial items and open system architectures. In this budget environment, there are fewer research and development dollars available with which prime defense contractors can invest early-on to differentiate their offerings while competing for new program awards or recompetes. As a result, prime defense contractors are generally trying to adjust their cost model from a high fixed cost model to a variable cost model. All of these factors are forcing the prime defense contractors to outsource more work to best-of-breed subcontractors, and we have transformed our business model over the last several years to address these long-term outsourcing needs and other trends.</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chart below highlights the existing and emerging threats, the markets that have developed around those threats and how our solutions and products work within these markets.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Existing and</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8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Emerging Threats</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Markets</w:t>
            </w:r>
          </w:p>
        </w:tc>
        <w:tc>
          <w:tcPr>
            <w:tcW w:w="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DoD Programs</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Our Solutions and Products</w:t>
            </w:r>
          </w:p>
        </w:tc>
        <w:tc>
          <w:tcPr>
            <w:tcW w:w="440" w:type="dxa"/>
            <w:vAlign w:val="bottom"/>
          </w:tcPr>
          <w:p>
            <w:pPr>
              <w:spacing w:after="0"/>
              <w:rPr>
                <w:sz w:val="15"/>
                <w:szCs w:val="15"/>
                <w:color w:val="auto"/>
              </w:rPr>
            </w:pPr>
          </w:p>
        </w:tc>
      </w:tr>
      <w:tr>
        <w:trPr>
          <w:trHeight w:val="195"/>
        </w:trPr>
        <w:tc>
          <w:tcPr>
            <w:tcW w:w="2760" w:type="dxa"/>
            <w:vAlign w:val="bottom"/>
            <w:gridSpan w:val="2"/>
          </w:tcPr>
          <w:p>
            <w:pPr>
              <w:spacing w:after="0" w:line="195" w:lineRule="exact"/>
              <w:rPr>
                <w:sz w:val="20"/>
                <w:szCs w:val="20"/>
                <w:color w:val="auto"/>
              </w:rPr>
            </w:pPr>
            <w:r>
              <w:rPr>
                <w:rFonts w:ascii="Arial" w:cs="Arial" w:eastAsia="Arial" w:hAnsi="Arial"/>
                <w:sz w:val="18"/>
                <w:szCs w:val="18"/>
                <w:color w:val="auto"/>
              </w:rPr>
              <w:t>IEDs/Roadside Bombs</w:t>
            </w:r>
          </w:p>
        </w:tc>
        <w:tc>
          <w:tcPr>
            <w:tcW w:w="1960" w:type="dxa"/>
            <w:vAlign w:val="bottom"/>
            <w:gridSpan w:val="2"/>
          </w:tcPr>
          <w:p>
            <w:pPr>
              <w:ind w:left="340"/>
              <w:spacing w:after="0" w:line="195" w:lineRule="exact"/>
              <w:rPr>
                <w:sz w:val="20"/>
                <w:szCs w:val="20"/>
                <w:color w:val="auto"/>
              </w:rPr>
            </w:pPr>
            <w:r>
              <w:rPr>
                <w:rFonts w:ascii="Arial" w:cs="Arial" w:eastAsia="Arial" w:hAnsi="Arial"/>
                <w:sz w:val="18"/>
                <w:szCs w:val="18"/>
                <w:color w:val="auto"/>
              </w:rPr>
              <w:t>Electronic Warfare</w:t>
            </w:r>
          </w:p>
        </w:tc>
        <w:tc>
          <w:tcPr>
            <w:tcW w:w="700" w:type="dxa"/>
            <w:vAlign w:val="bottom"/>
          </w:tcPr>
          <w:p>
            <w:pPr>
              <w:spacing w:after="0"/>
              <w:rPr>
                <w:sz w:val="16"/>
                <w:szCs w:val="16"/>
                <w:color w:val="auto"/>
              </w:rPr>
            </w:pPr>
          </w:p>
        </w:tc>
        <w:tc>
          <w:tcPr>
            <w:tcW w:w="3200" w:type="dxa"/>
            <w:vAlign w:val="bottom"/>
            <w:gridSpan w:val="3"/>
          </w:tcPr>
          <w:p>
            <w:pPr>
              <w:ind w:left="540"/>
              <w:spacing w:after="0" w:line="195" w:lineRule="exact"/>
              <w:rPr>
                <w:sz w:val="20"/>
                <w:szCs w:val="20"/>
                <w:color w:val="auto"/>
              </w:rPr>
            </w:pPr>
            <w:r>
              <w:rPr>
                <w:rFonts w:ascii="Arial" w:cs="Arial" w:eastAsia="Arial" w:hAnsi="Arial"/>
                <w:sz w:val="18"/>
                <w:szCs w:val="18"/>
                <w:color w:val="auto"/>
              </w:rPr>
              <w:t>JCREW 3.3—counter-IED</w:t>
            </w:r>
          </w:p>
        </w:tc>
        <w:tc>
          <w:tcPr>
            <w:tcW w:w="2780" w:type="dxa"/>
            <w:vAlign w:val="bottom"/>
            <w:gridSpan w:val="3"/>
          </w:tcPr>
          <w:p>
            <w:pPr>
              <w:ind w:left="180"/>
              <w:spacing w:after="0" w:line="195" w:lineRule="exact"/>
              <w:rPr>
                <w:sz w:val="20"/>
                <w:szCs w:val="20"/>
                <w:color w:val="auto"/>
              </w:rPr>
            </w:pPr>
            <w:r>
              <w:rPr>
                <w:rFonts w:ascii="Arial" w:cs="Arial" w:eastAsia="Arial" w:hAnsi="Arial"/>
                <w:sz w:val="18"/>
                <w:szCs w:val="18"/>
                <w:color w:val="auto"/>
              </w:rPr>
              <w:t>Signal processing and radio</w:t>
            </w:r>
          </w:p>
        </w:tc>
      </w:tr>
      <w:tr>
        <w:trPr>
          <w:trHeight w:val="216"/>
        </w:trPr>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88"/>
              </w:rPr>
              <w:t>frequency receiver for prime defense</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contractor</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Insurgents</w:t>
            </w:r>
          </w:p>
        </w:tc>
        <w:tc>
          <w:tcPr>
            <w:tcW w:w="2660" w:type="dxa"/>
            <w:vAlign w:val="bottom"/>
            <w:gridSpan w:val="3"/>
          </w:tcPr>
          <w:p>
            <w:pPr>
              <w:ind w:left="340"/>
              <w:spacing w:after="0"/>
              <w:rPr>
                <w:sz w:val="20"/>
                <w:szCs w:val="20"/>
                <w:color w:val="auto"/>
              </w:rPr>
            </w:pPr>
            <w:r>
              <w:rPr>
                <w:rFonts w:ascii="Arial" w:cs="Arial" w:eastAsia="Arial" w:hAnsi="Arial"/>
                <w:sz w:val="18"/>
                <w:szCs w:val="18"/>
                <w:color w:val="auto"/>
              </w:rPr>
              <w:t>C4ISR</w:t>
            </w: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w w:val="94"/>
              </w:rPr>
              <w:t>Global Hawk, Predator and Reaper</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87"/>
              </w:rPr>
              <w:t>Sensor processing for prime defense</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UAVs</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contractor</w:t>
            </w:r>
          </w:p>
        </w:tc>
      </w:tr>
      <w:tr>
        <w:trPr>
          <w:trHeight w:val="277"/>
        </w:trPr>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Classified wide area airborne</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89"/>
              </w:rPr>
              <w:t>Sensor processing payload provider</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surveillance program</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for prime defense contractor</w:t>
            </w:r>
          </w:p>
        </w:tc>
      </w:tr>
      <w:tr>
        <w:trPr>
          <w:trHeight w:val="318"/>
        </w:trPr>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60" w:type="dxa"/>
            <w:vAlign w:val="bottom"/>
            <w:gridSpan w:val="3"/>
          </w:tcPr>
          <w:p>
            <w:pPr>
              <w:ind w:left="340"/>
              <w:spacing w:after="0"/>
              <w:rPr>
                <w:sz w:val="20"/>
                <w:szCs w:val="20"/>
                <w:color w:val="auto"/>
              </w:rPr>
            </w:pPr>
            <w:r>
              <w:rPr>
                <w:rFonts w:ascii="Arial" w:cs="Arial" w:eastAsia="Arial" w:hAnsi="Arial"/>
                <w:sz w:val="18"/>
                <w:szCs w:val="18"/>
                <w:color w:val="auto"/>
              </w:rPr>
              <w:t>Electronic Warfare</w:t>
            </w: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ASIP Predator and Global Hawk</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87"/>
              </w:rPr>
              <w:t>Sensor processing for prime defense</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UAVs</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contractor</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Rogue Nation Missile Threat</w:t>
            </w:r>
          </w:p>
        </w:tc>
        <w:tc>
          <w:tcPr>
            <w:tcW w:w="2660" w:type="dxa"/>
            <w:vAlign w:val="bottom"/>
            <w:gridSpan w:val="3"/>
          </w:tcPr>
          <w:p>
            <w:pPr>
              <w:ind w:left="340"/>
              <w:spacing w:after="0"/>
              <w:rPr>
                <w:sz w:val="20"/>
                <w:szCs w:val="20"/>
                <w:color w:val="auto"/>
              </w:rPr>
            </w:pPr>
            <w:r>
              <w:rPr>
                <w:rFonts w:ascii="Arial" w:cs="Arial" w:eastAsia="Arial" w:hAnsi="Arial"/>
                <w:sz w:val="18"/>
                <w:szCs w:val="18"/>
                <w:color w:val="auto"/>
              </w:rPr>
              <w:t>Ballistic Missile Defense</w:t>
            </w: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Patriot missile</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90"/>
              </w:rPr>
              <w:t>Radar processing for prime defense</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AEGIS</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contractor</w:t>
            </w:r>
          </w:p>
        </w:tc>
      </w:tr>
      <w:tr>
        <w:trPr>
          <w:trHeight w:val="331"/>
        </w:trPr>
        <w:tc>
          <w:tcPr>
            <w:tcW w:w="2760" w:type="dxa"/>
            <w:vAlign w:val="bottom"/>
            <w:gridSpan w:val="2"/>
          </w:tcPr>
          <w:p>
            <w:pPr>
              <w:spacing w:after="0"/>
              <w:rPr>
                <w:sz w:val="20"/>
                <w:szCs w:val="20"/>
                <w:color w:val="auto"/>
              </w:rPr>
            </w:pPr>
            <w:r>
              <w:rPr>
                <w:rFonts w:ascii="Arial" w:cs="Arial" w:eastAsia="Arial" w:hAnsi="Arial"/>
                <w:sz w:val="18"/>
                <w:szCs w:val="18"/>
                <w:color w:val="auto"/>
              </w:rPr>
              <w:t>Peer Nation Stealth Fighter</w:t>
            </w:r>
          </w:p>
        </w:tc>
        <w:tc>
          <w:tcPr>
            <w:tcW w:w="2660" w:type="dxa"/>
            <w:vAlign w:val="bottom"/>
            <w:gridSpan w:val="3"/>
          </w:tcPr>
          <w:p>
            <w:pPr>
              <w:ind w:left="340"/>
              <w:spacing w:after="0"/>
              <w:rPr>
                <w:sz w:val="20"/>
                <w:szCs w:val="20"/>
                <w:color w:val="auto"/>
              </w:rPr>
            </w:pPr>
            <w:r>
              <w:rPr>
                <w:rFonts w:ascii="Arial" w:cs="Arial" w:eastAsia="Arial" w:hAnsi="Arial"/>
                <w:sz w:val="18"/>
                <w:szCs w:val="18"/>
                <w:color w:val="auto"/>
              </w:rPr>
              <w:t>C4ISR</w:t>
            </w: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F22 Raptor</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90"/>
              </w:rPr>
              <w:t>Radar processing for prime defense</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F35 Joint Strike Fighter</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contractor</w:t>
            </w:r>
          </w:p>
        </w:tc>
      </w:tr>
      <w:tr>
        <w:trPr>
          <w:trHeight w:val="331"/>
        </w:trPr>
        <w:tc>
          <w:tcPr>
            <w:tcW w:w="2760" w:type="dxa"/>
            <w:vAlign w:val="bottom"/>
            <w:gridSpan w:val="2"/>
          </w:tcPr>
          <w:p>
            <w:pPr>
              <w:spacing w:after="0"/>
              <w:rPr>
                <w:sz w:val="20"/>
                <w:szCs w:val="20"/>
                <w:color w:val="auto"/>
              </w:rPr>
            </w:pPr>
            <w:r>
              <w:rPr>
                <w:rFonts w:ascii="Arial" w:cs="Arial" w:eastAsia="Arial" w:hAnsi="Arial"/>
                <w:sz w:val="18"/>
                <w:szCs w:val="18"/>
                <w:color w:val="auto"/>
              </w:rPr>
              <w:t>Peer Nation Threats to U.S. Naval</w:t>
            </w:r>
          </w:p>
        </w:tc>
        <w:tc>
          <w:tcPr>
            <w:tcW w:w="2660" w:type="dxa"/>
            <w:vAlign w:val="bottom"/>
            <w:gridSpan w:val="3"/>
          </w:tcPr>
          <w:p>
            <w:pPr>
              <w:ind w:left="340"/>
              <w:spacing w:after="0"/>
              <w:rPr>
                <w:sz w:val="20"/>
                <w:szCs w:val="20"/>
                <w:color w:val="auto"/>
              </w:rPr>
            </w:pPr>
            <w:r>
              <w:rPr>
                <w:rFonts w:ascii="Arial" w:cs="Arial" w:eastAsia="Arial" w:hAnsi="Arial"/>
                <w:sz w:val="18"/>
                <w:szCs w:val="18"/>
                <w:color w:val="auto"/>
              </w:rPr>
              <w:t>Electronic Warfare</w:t>
            </w:r>
          </w:p>
        </w:tc>
        <w:tc>
          <w:tcPr>
            <w:tcW w:w="3200" w:type="dxa"/>
            <w:vAlign w:val="bottom"/>
            <w:gridSpan w:val="3"/>
          </w:tcPr>
          <w:p>
            <w:pPr>
              <w:ind w:left="540"/>
              <w:spacing w:after="0"/>
              <w:rPr>
                <w:sz w:val="20"/>
                <w:szCs w:val="20"/>
                <w:color w:val="auto"/>
              </w:rPr>
            </w:pPr>
            <w:r>
              <w:rPr>
                <w:rFonts w:ascii="Arial" w:cs="Arial" w:eastAsia="Arial" w:hAnsi="Arial"/>
                <w:sz w:val="18"/>
                <w:szCs w:val="18"/>
                <w:color w:val="auto"/>
              </w:rPr>
              <w:t>SEWIP</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w w:val="93"/>
              </w:rPr>
              <w:t>Radio frequency receiver for prime</w:t>
            </w: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Surface Fleet</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defense contractor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long-term strategy is to become a “national asset” and mission critical supplier to the defense and intelligence community and a leading provider of more affordable, open architecture, commercially-developed, application-ready and multi-intelligence sub-systems.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intend to achieve this objective through continued investment in advanced new products and solutions development in ACS in the fields of radio frequency, analog to digital and digital to analog conversion, advanced multi- and many-core signal processing systems, digital storage solutions as well as software defined communications capabilities. In fiscal 2008, we established our services and systems integration, or SSI, business to become a commercial outsourcing partner to the large prime defense contractors as they seek the more rapid design, development and delivery of affordable, best-of-breed, application-ready ISR sub-system solutions. We believe that services-led engagements in SSI may lead to long-term production sub-system annuity revenues that will continue long after the initial services are delivered. This business model positions us to be paid for work we would have previously expensed through our own income statement, to team concurrently with multiple prime defense contractors as they pursue new business with the government, and to engage with our customers much earlier in the design cycle and ahead of our competition. In fiscal 2008, we also established MFS—the ISR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systems and technology services arm of Mercury. Our goal in MFS is to enhance the application-ready sub-systems from ACS with classified, domain-specific intellectual property that results in the delivery of platform-ready ISR sub-system solutions to our customers.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elements of our strategy to accomplish our continued growth objectives include: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Achieve Design Wins on High Growth, High Priority Defense Programs. </w:t>
      </w:r>
      <w:r>
        <w:rPr>
          <w:rFonts w:ascii="Arial" w:cs="Arial" w:eastAsia="Arial" w:hAnsi="Arial"/>
          <w:sz w:val="16"/>
          <w:szCs w:val="16"/>
          <w:color w:val="auto"/>
        </w:rPr>
        <w:t>We believe that the most significant long-term, leading indicator in our business is</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and probable value of design wins awarded. We believe our advanced embedded signal processing solutions position us well going forward to capture design wins on key high growth, high priority defense programs within our targeted segments of the C4ISR market. Last year, we won designs in persistent ISR related signals intelligence payloads on UAVs and other aerial platforms. As a result of these successes, we now have significant content on all major UAV platforms, including Global Hawk, Predator, Broad Area Maritime Surveillance (BAMS), Reaper and a wide area airborne surveillance platform. Our ballistic missile defense wins include additional designs on the Aegis program, as well as continued foreign military sales for the Patriot missile program. In EW, we won key designs related to the JCREW 3.3 next-generation counter-IED program and the Navy’s SEWIP program. Together, these wins represent a substantial opportunity for us in the years ahead.</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i w:val="1"/>
          <w:iCs w:val="1"/>
          <w:color w:val="auto"/>
        </w:rPr>
        <w:t xml:space="preserve">Continue to Provide Excellent Performance on Our Existing Programs. </w:t>
      </w:r>
      <w:r>
        <w:rPr>
          <w:rFonts w:ascii="Arial" w:cs="Arial" w:eastAsia="Arial" w:hAnsi="Arial"/>
          <w:sz w:val="16"/>
          <w:szCs w:val="16"/>
          <w:color w:val="auto"/>
        </w:rPr>
        <w:t>The foundation for our growth remains our continued involvement with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that are in late-stage development or currently in production, such as Aegis, the F-35 Joint Strike Fighter, Patriot missile, the F-16 aircraft and the Global Hawk, Predator and Reaper UAV programs. As part of a long-term reprioritization, the DoD is shifting its emphasis from major new weapons systems development to upgrades of existing programs and platforms. The upgrades on these programs focus on four key areas: improved sensors; more advanced on-board embedded computing; enhanced ISR algorithms; and better communications on and off the platform. A key element of our strategy is to continue to provide high performance, cost-effective solutions on these programs and for these customers as a best-of-breed provider.</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Pursue Strategic, Capability-Enhancing Acquisitions. </w:t>
      </w:r>
      <w:r>
        <w:rPr>
          <w:rFonts w:ascii="Arial" w:cs="Arial" w:eastAsia="Arial" w:hAnsi="Arial"/>
          <w:sz w:val="16"/>
          <w:szCs w:val="16"/>
          <w:color w:val="auto"/>
        </w:rPr>
        <w:t>We will continue to pursue selective strategic acquisitions of profitable growing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augment both our ACS and MFS businesses using the following strategies: adding technologies or products that expand ACS’ core business by competing more effectively in the ISR and EW markets; adding content and services to the defense and intelligence programs and platforms in which we currently participate or could participate in the future; and adding an ISR platform company that we can build around in our MFS business. Our recent acquisition of LNX supports all three of these objectives. Adding LNX to our business significantly strengthens our product portfolio in radio frequency and our capabilities in signals intelligence and EW. LNX’s position as a key supplier to the prime defense contractor under the JCREW 3.3 program significantly increases our content on that platform. We believe that LNX’s technology and market presence could also strengthen our MFS business.</w:t>
      </w:r>
    </w:p>
    <w:p>
      <w:pPr>
        <w:spacing w:after="0" w:line="11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Rapidly Scale MFS to Provide Fully Integrated Sub-systems for ISR Applications in Classified Programs. </w:t>
      </w:r>
      <w:r>
        <w:rPr>
          <w:rFonts w:ascii="Arial" w:cs="Arial" w:eastAsia="Arial" w:hAnsi="Arial"/>
          <w:sz w:val="15"/>
          <w:szCs w:val="15"/>
          <w:color w:val="auto"/>
        </w:rPr>
        <w:t>Through MFS, we intend to become a services-led, best-of-breed ISR sub-systems provider to our prime defense contractors for classified programs. Through the addition of key personnel, high-level security clearances and new defense and intelligence community customers, MFS will provide us access to critical classified government intellectual property that we can integrate with our existing ACS embedded computing solutions in order to provide fully integrated, platform ready ISR sub-systems. We believe MFS differentiates us from our competitors and places us in a stronger position to serve as the sub-systems architect for next-generation ISR programs and platforms.</w:t>
      </w:r>
    </w:p>
    <w:p>
      <w:pPr>
        <w:spacing w:after="0" w:line="10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Capitalize on Outsourcing and Other Dynamics in the Defense and Intelligence Industries. </w:t>
      </w:r>
      <w:r>
        <w:rPr>
          <w:rFonts w:ascii="Arial" w:cs="Arial" w:eastAsia="Arial" w:hAnsi="Arial"/>
          <w:sz w:val="16"/>
          <w:szCs w:val="16"/>
          <w:color w:val="auto"/>
        </w:rPr>
        <w:t>We are well-positioned to take advantage of several changing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in the defense industry. Prime defense contractors are increasingly being awarded firm fixed price contracts. These contracts shift risk to the prime contractors, and as a result they are beginning to outsource increasing levels of sub-system development and production and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higher value program content. In addition, the U.S. government is shifting toward shorter program timelines, which require increased flexibility and responsiveness from prime contractors. Finally, more programs are moving to open systems architectures encompassing best-of-breed capabilities. We believe that these dynamics will result in prime contractors outsourcing increasing levels of program content to us as a best-of-breed provider of differentiated products, sub-systems engineering services and system integration.</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Leverage Our Research and Development Efforts to Anticipate Market Needs and Maintain our Technology Leadership. </w:t>
      </w:r>
      <w:r>
        <w:rPr>
          <w:rFonts w:ascii="Arial" w:cs="Arial" w:eastAsia="Arial" w:hAnsi="Arial"/>
          <w:sz w:val="16"/>
          <w:szCs w:val="16"/>
          <w:color w:val="auto"/>
        </w:rPr>
        <w:t>Our high performance, quick</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 ISR sub-systems and capabilities require increasingly more sophisticated hardware, software and middleware technology. In addition, as the defense and intelligence industries shift to ISR products with open systems architecture, we believe that our software expertise will become increasingly important and differentiate us from many of our competitors as we have the ability to map complex algorithms onto size, weight, and power-constrained on-board embedded computing solutions. We have substantially and will continue to refresh both our signal processing and multicomputer product lines while increasing our product development velocity. Faster product development velocity aligns us with the U.S. government’s demands on the prime defense contractors for quick reaction capabilities. By shortening our product development times, we have been able to quickly launch the products we need to win new designs from the prime contractor community that will ultimately generate bookings and revenue for us. We intend to continue to utilize company and customer-funded research and development, as well as our acquisition strategy, to develop technologies, products and solutions that have significant potential for near-term and long-term value creation in both the defense and intelligence markets. We devote significant resources in order to anticipate the future requirements in our target defense and intelligence markets, including monitoring and pioneering advances in advanced embedded computing hardware and software, anticipating changes in U.S. government spending and procurement practices and leveraging insight from direct interaction with our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Best-of-Breed Sub-System Solutions Provider for the C4ISR Market. </w:t>
      </w:r>
      <w:r>
        <w:rPr>
          <w:rFonts w:ascii="Arial" w:cs="Arial" w:eastAsia="Arial" w:hAnsi="Arial"/>
          <w:sz w:val="18"/>
          <w:szCs w:val="18"/>
          <w:color w:val="auto"/>
        </w:rPr>
        <w:t>Through our commercially-developed, high-performance embedded signal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we 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Diverse Mix of Stable, High Growth Programs Aligned with DoD Funding Priorities. </w:t>
      </w:r>
      <w:r>
        <w:rPr>
          <w:rFonts w:ascii="Arial" w:cs="Arial" w:eastAsia="Arial" w:hAnsi="Arial"/>
          <w:sz w:val="16"/>
          <w:szCs w:val="16"/>
          <w:color w:val="auto"/>
        </w:rPr>
        <w:t>Our products have been deployed in approximately 300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with over 25 different prime contractors. We serve high priority markets for the DoD and foreign militaries, such as UAVs, ballistic missile defense, airborne reconnaissance, EW and jamming of IEDs, and have secured positions on mission-critical programs including Aegis, Predator and Reaper UAVs, F-35 Joint Strike Fighter, Patriot missile, JCREW 3.3 and SEWIP. In addition, we consistently leverage our technology and capability across 15 to 20 programs on an annual basis, providing significant operating leverage and cost savings.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Value-Added Sub-System Solution Provider for Prime Defense Contractors. </w:t>
      </w:r>
      <w:r>
        <w:rPr>
          <w:rFonts w:ascii="Arial" w:cs="Arial" w:eastAsia="Arial" w:hAnsi="Arial"/>
          <w:sz w:val="16"/>
          <w:szCs w:val="16"/>
          <w:color w:val="auto"/>
        </w:rPr>
        <w:t>The DoD’s shift towards a firm fixed price contract procurement model is</w:t>
      </w:r>
      <w:r>
        <w:rPr>
          <w:rFonts w:ascii="Arial" w:cs="Arial" w:eastAsia="Arial" w:hAnsi="Arial"/>
          <w:sz w:val="16"/>
          <w:szCs w:val="16"/>
          <w:i w:val="1"/>
          <w:iCs w:val="1"/>
          <w:color w:val="auto"/>
        </w:rPr>
        <w:t xml:space="preserve"> </w:t>
      </w:r>
      <w:r>
        <w:rPr>
          <w:rFonts w:ascii="Arial" w:cs="Arial" w:eastAsia="Arial" w:hAnsi="Arial"/>
          <w:sz w:val="16"/>
          <w:szCs w:val="16"/>
          <w:color w:val="auto"/>
        </w:rPr>
        <w:t>pushing prime defense contractors to pursue outsourcing opportunities to mitigate the increased program and financial risk. Our differentiated advanced signal processing solutions offer meaningful capabilities upgrades for our customers and enable the rapid, cost-effective deployment of systems to the end customer. We believe our open architecture sub-systems offer differentiated signal processing and data fusion capabilities that cannot be easily replicated. Our solutions minimize program risk, maximize application portability, and accelerate customers’ time to market.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MFS Enables the Delivery of Platform-Ready Solutions for Classified Programs. </w:t>
      </w:r>
      <w:r>
        <w:rPr>
          <w:rFonts w:ascii="Arial" w:cs="Arial" w:eastAsia="Arial" w:hAnsi="Arial"/>
          <w:sz w:val="16"/>
          <w:szCs w:val="16"/>
          <w:color w:val="auto"/>
        </w:rPr>
        <w:t>MFS was created in fiscal 2008 to enable us to directly pursue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opportunities within the DoD and U.S. intelligence community. We believe the development work through MFS will provide us leverage and implement key classified government intellectual property, including critical intelligence and signal processing algorithms. We believe that MFS also provides us the opportunity to directly integrate this intellectual property onto our existing advanced computing solutions, enabling us to deliver platform-ready integrated ISR sub-systems that leverage our open architecture solutions and address key government technology and procurement concerns. MFS operations in this environment will also influence future product development so that critical future needs can be met in a timely manner.</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prime defense contractors, the U.S. government and other key</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in the defense and intelligence industries over our 30 years in the defense electronics industry. Our customers include The Boeing Company, Lockheed Martin Corporation, Northrop Grumman Corporation, and Raytheon Company, many of whom have been valued and loyal customers for more than a decade. Over this period, we have become recognized for our ability to develop new technologies and meet stringent program requirements. Our demonstrated track record of delivering high-performance embedded signal processing solutions helped us to acquire new customers, such as ITT Electronic Systems, for whom we are providing the processing content on the JCREW 3.3 counter-IED program. We believe we are well-positioned to maintain these high-level customer engagements.</w:t>
      </w:r>
    </w:p>
    <w:p>
      <w:pPr>
        <w:spacing w:after="0" w:line="14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Over the past several years, our senior management team has refocused the Company on its economic core, developed a long-term compelling strategy for the defense market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Systems Integration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part of our strategy, we are continuing to invest in our SSI capability. Our SSI group is tasked with partnering with prime defense contractors to deliver sub-system level engineering expertise as well as ongoing systems integration services. Our SSI capability addresses our strategy to capitalize on the $2.7 billion sub-system market within the defense embedded electronics market segment.</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prime defense contractors toward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prime defense contractors with rapid deployment and quick reaction capabilities through our professional services and systems integration offerings. This results in less risk for the prime defense contractors, shortened development cycles, quicker solution deployment and reduced lifecycle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 This set of software and middleware provides customer algorithm level portability across rapidly evolving hardware processor types with math and input/output, or I/O, interfaces running at industry leading performance rates. In order to develop, test and integrate software ahead of hardware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availability, we have invested in the notion of a Virtual Multi-Computer which we have branded Virtual ARS (Application Ready Sub-system™). The Virtual ARS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11"/>
          <w:szCs w:val="11"/>
          <w:color w:val="auto"/>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 initiative with the goal of providing customers with multi-vendor interoperable hardware built to well-defined system standards.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2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To address the current challenges facing the war fighter, our government and prime defense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open architecture is carried throughout our entire Ensemble product line from the very small form-factor sub-systems to the high-end, where ultimate processing is of paramount importance to the mission. Our commercially-developed hardware and software product capabilities cover the entire ISR spectrum from acquisition and digitization of the signal, to processing of the signal, through the exploitation and dissemination of the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research and development efforts are focused on developing new products and systems as well as enhancing existing hardware and software products in signal and image processing. Our research and development goal is to fully exploit and maintain our technological lead in the high-performance, real-time signal processing industry.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Expenditures for research and development amounted to $44.5 million in fiscal 2011, $41.5 million in fiscal 2010, and $42.4 million in fiscal 2009. As of June 30, 2011, we had 225 employees, including hardware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Computing Solutions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and complex chassis systems. Our manufacturing operations consist primarily of materials planning and procurement, final assembly and test and logistics (inventory and traffic management). We subcontract the assembly and testing of most modules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Federal Systems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June 30, 2011, MFS did not manufacture hardware. All hardware (e.g. computers and computer peripherals) is generally procured from our other subsidiaries or third-party suppliers.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Computing Solutions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markets for our products are highly competitive and are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types in which we compete. Some of these competitors are larger and have greater resources than us. Some of these competitors compete against us at purely a board-level, others at a sub-system level. We also compete with in-house design teams at our customers. The DoD as well as the prime defense contractors are pushing for more outsourcing of sub-system designs to mitigate risk and to enable concurrent design of the platform which ultimately leads to faster time to deployment. We are aligning our strategy to capitalize on that trend and leveraging our long standing sub-system expertise to provide this value to our customers.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design win usually ensures, but does not always guarantee, that a customer will purchase our product until the next-generation system is developed. We believe that our future ability to compete effectively will depend, in part, upon our ability to improve product and process technologies, to develop new technologies, to maintain the performance advantages of products and processes relative to competitors, to adapt products and processes to technological changes, to identify and adopt emerging industry standards and to adapt to customer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Federal Systems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markets for our products and services are highly competitive and primarily focus on providing services to the federal contracting markets. MFS is focused on developing advanced solutions for emerging ISR system processing challenges in the federal space. Our targets are existing programs that are confronting modernization challenges and planned programs yet to be fielded. Our goal is to produce open, commercial item-based processing solutions that are platform agnostic.</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Due to the competitive environment in which MFS operates, price and past performance are becoming as important as technical quality in most awards. Our primary competitors for our federal services are other small to large service-based companies that have long-standing customer relationships and program insights. We also face additional competition from platform and sensor developers that will continue to offer the government custom solutions packaged to support individual platform designs and point solution concepts. These companies, large and small, will want to maintain configuration control of compute processing architectures across their platforms in order to control systems upgrade and out-year modernization efforts. To win business, we will continue to offer program managers an alternative path to achieving interoperability and advanced processing dominant solutions for ISR applications.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June 30, 2011, we held 39 patents of varying duration issued in the United States. We regularly file U.S. patent applications and, where appropriate, foreign patent applications. We also file continuations to cover both new and improved designs and products. At present, we have several U.S. and foreign patent applications in process.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2011, we had a backlog of orders aggregating approximately $86.9 million, of which $70.6 million is expected to be delivered within the next twelve months. As of June 30, 2010, backlog was approximately $104.6 million. The defense backlog at June 30, 2011 was $81.5 million, a $4.7 million increase from June 30, 2010.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June 30, 2011, we employed a total of 602 people excluding contractors, including 225 in research and development, 95 in sales and marketing, 172 in manufacturing and customer support and 110 in general and administrative functions. We have seven employees located in Europe, four located in Japan, and 591 located in the United States. We do not have any employees represented by a labor organization, and we believe that our relations with our employees are good.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www.mc.com</w:t>
      </w:r>
      <w:r>
        <w:rPr>
          <w:rFonts w:ascii="Arial" w:cs="Arial" w:eastAsia="Arial" w:hAnsi="Arial"/>
          <w:sz w:val="16"/>
          <w:szCs w:val="16"/>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Challenges Drive Innovation, Echocore, Echotek, Ensemble2, Powerstream, RACE++ and MultiCore Plus are registered trademarks, and Ensemble, Application Ready Subsystem, ARS, POET, Converged Sensor Network, CSN, Embedded Smart Processing and ESP are trademarks of Mercury Computer Systems, Inc. OpenVPX™ is a trademark of the VMEbus International Trade Association. IBM and PowerPC are registered trademarks of International Business Machine Corporation. All other trademarks and registered trademarks are the property of their respective holders, and are hereby acknowledged.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which may be only partially funded and are subject to potential termination and reductions and delays in government spending.</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Sales of our embedded computer systems and related services, primarily as an indirect subcontractor or team member with prime defense contractors, and in some cases directly, to the U.S. government and its agencies, as well as foreign governments and agencies, accounted for approximately 78%, 79%, and 77% of our total net revenues in fiscal 2011, 2010, and 2009, respectively. Our computer systems are included in many different domestic and international programs. Over the lifetime of a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In addition, delays in funding of a program, or of the defense appropriation generally, could negatively impact our revenues and have a material adverse effect on our financial condition and results of operations for the period in which such revenues were originally anticipated.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for the defense programs that use our defense electronics products and services.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other risks and uncertainties associated with defense-related contracts, which may have a material adverse effect on our business.</w:t>
      </w:r>
    </w:p>
    <w:p>
      <w:pPr>
        <w:spacing w:after="0" w:line="11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51" w:lineRule="exact"/>
        <w:rPr>
          <w:sz w:val="20"/>
          <w:szCs w:val="20"/>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prime defense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39" w:lineRule="exact"/>
        <w:rPr>
          <w:rFonts w:ascii="Arial" w:cs="Arial" w:eastAsia="Arial" w:hAnsi="Arial"/>
          <w:sz w:val="16"/>
          <w:szCs w:val="16"/>
          <w:color w:val="auto"/>
        </w:rPr>
      </w:pPr>
    </w:p>
    <w:p>
      <w:pPr>
        <w:ind w:left="900" w:right="2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59"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MFS,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6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sell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supplier, there could be a material adverse effect on our business and operating results. In addition, growth in our defense sales relative to our commercial sales could adversely impact our status as a commercial supplier, which could adversely affect our business and operating results.</w:t>
      </w:r>
    </w:p>
    <w:p>
      <w:pPr>
        <w:spacing w:after="0" w:line="61"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the Defense Federal Acquisition Regulations Supplement, referred to as DFARS, in connection with our defense work for the U.S. government and prime defense contractors. Amendments to the DFARS, such as the 2009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w:t>
      </w:r>
    </w:p>
    <w:p>
      <w:pPr>
        <w:spacing w:after="0" w:line="31"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 government or a prime defense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59"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37" w:lineRule="exact"/>
        <w:rPr>
          <w:rFonts w:ascii="Arial" w:cs="Arial" w:eastAsia="Arial" w:hAnsi="Arial"/>
          <w:sz w:val="16"/>
          <w:szCs w:val="16"/>
          <w:color w:val="auto"/>
        </w:rPr>
      </w:pPr>
    </w:p>
    <w:p>
      <w:pPr>
        <w:jc w:val="both"/>
        <w:ind w:left="900" w:right="240" w:hanging="325"/>
        <w:spacing w:after="0" w:line="370"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Certain of our employees with appropriate security clearance may require access to classified information in connection with the performance of a U.S. government contract. We must comply with security requirements pursuant to the National Industrial Security Program Operating Manual,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96"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We are dependent on a small number of customers for a large portion of our revenues. A significant decrease in the sales to or loss of any of our major customers would have a material adverse effect on our business and results of operations. In fiscal 2011, Northrop Grumman Corporation accounted for 21% of our total net revenues, Raytheon Company accounted for 17% of our total net revenues and Lockheed Martin Corporation accounted for 13% of our total net revenues. In fiscal 2010, Raytheon Company accounted for 20% of our total net revenues and Lockheed Martin Corporation accounted for 17% of our total net revenues. In fiscal 2009, Lockheed Martin Corporation accounted for 14% of our total net revenues, Northrop Grumman Corporation accounted for 13% of our total net revenues, Argon ST, Inc accounted for 13% of our total net revenues and Raytheon Company accounted for 11%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w:t>
      </w:r>
    </w:p>
    <w:p>
      <w:pPr>
        <w:spacing w:after="0" w:line="10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dependent on sales for radar applications for a large portion of our revenues. Sales related to radar applications accounted for 53%, 49%, and 40% of our total net revenues for fiscal 2011, 2010, and 2009, respectively. While our radar sales relate to multiple different platforms and defense programs, our revenues are largely dependent upon our customers incorporating our products into radar applications. In fiscal 2010, the Aegis program accounted for 15% of our total net revenues. Loss of a significant radar program could adversely affect our results of operations. For the years ended June 30, 2011 and 2009, no single program comprised 10% or more of the Company’s revenue.</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Going forward, we believe the JCREW 3.3 counter-IED program could be a large portion of our future revenues in the coming years, and the loss of that program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18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4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embedded systems’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95"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ind w:right="80" w:firstLine="456"/>
        <w:spacing w:after="0" w:line="253" w:lineRule="auto"/>
        <w:rPr>
          <w:sz w:val="20"/>
          <w:szCs w:val="20"/>
          <w:color w:val="auto"/>
        </w:rPr>
      </w:pPr>
      <w:r>
        <w:rPr>
          <w:rFonts w:ascii="Arial" w:cs="Arial" w:eastAsia="Arial" w:hAnsi="Arial"/>
          <w:sz w:val="18"/>
          <w:szCs w:val="18"/>
          <w:color w:val="auto"/>
        </w:rPr>
        <w:t>Our computing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computing products in a more highly environmentally isolated setting. These developments could negatively impact our revenues and have a material adverse effect on our business and operating results.</w:t>
      </w:r>
    </w:p>
    <w:p>
      <w:pPr>
        <w:spacing w:after="0" w:line="22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timing, length and severity of the up-and-down cycles in the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Furthermore, in the current credit environment, it may be more difficult for our customers to raise capital, whether debt or equity, to finance their purchases of capital equipment, including</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products we sell. If our customers experience persistent difficulties in raising capital for equipment financing, we could experience a decrease in orders for our products. When cyclical fluctuations result in lower than expected revenue levels, operating results may be adversely affected and cost reduction measures may be necessary in order for us to remain competitive and financially sound. During periods of declining revenues, such as in the current environment,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Our growth strategy includes developing new products, adding new customers within our existing markets, and entering new markets, as well as identifying and integrating acquisitions. Our ability to compete in new markets will depend upon a number of factors including, among others:</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 customer support organizations.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Growing our business, in particular through providing services and products such as sophisticated application ready subsystems for major defense programs like JCREW 3.3 and Aegis,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systems level products is a key driver of our growth strategy and the failure to properly scale our capabilities to support our customers at a systems level could result lost opportunities and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or divestitures may adversely affect our financial condition.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part of our strategy for growth, we may continue to explore acquisitions, divestitures, or strategic alliances, which may not be completed or may not be ultimately beneficial to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or divestitures may pose risks to our operations, including:</w:t>
      </w:r>
    </w:p>
    <w:p>
      <w:pPr>
        <w:spacing w:after="0" w:line="90" w:lineRule="exact"/>
        <w:rPr>
          <w:sz w:val="20"/>
          <w:szCs w:val="20"/>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or divestiture of the personnel, operations, technologies, or products of the acquired or divested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make planned divestitures of businesses on favorable terms in a timely manner or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acquired assets becoming impaired as a result of technical advancements or worse-than-expected performance by the acquired company;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failure to successfully integrate any acquisitions or to make planned divestitures in an efficient or timely manner may negatively impact our financial condition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1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Hybricon Corporation and Motorola, Inc. for chassis and chassis components and Benchmark Electronics, Inc. for board assembly, test and integration. The semiconductor industry is experiencing a significant year over year increase in demand amid an uncertain macro 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9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market and sell products in international markets, and have established offices and subsidiaries in Europe and Japan. Revenues from international operations accounted for 4% of our total net revenues in fiscal 2011, 10% of our total net revenues in fiscal 2010, and 7% of our total net revenues in fiscal 2009. We also ship directly from our U.S. operations to international customers. There are inherent risks in transacting business internationally, including:</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20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Customers in our commercial markets, including the semiconductor market,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semiconductor equipment, or if selected, we may not generate any revenues for such design work.</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design-in process is typically lengthy and expensive, and there can be no assurance that we will be able to continue to meet the product specifications of OEM customers in a timely and adequate manner. In addition, any failure to anticipate or respond adequately to changes in technology and customer preferences, or any significant delay in product developments or introductions,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are complex, and undetected defects may increase our costs, harm our reputation with customers or lead to costly litigation.</w:t>
      </w:r>
    </w:p>
    <w:p>
      <w:pPr>
        <w:spacing w:after="0" w:line="11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increases the possibility that we will offer products in which we or our customers later discover problems. We have experienced new product and product upgrade errors in the past and expect similar problems in the future. These problems may cause us to incur significant costs to support our service contracts and other costs and divert the attention of personnel from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9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4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are subject to fluctuation from period to period and may not be an accurate indication of future performance.</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computer systems in relatively large dollar amounts to a relatively small number of customers. Customers specify delivery date requirements that coincide with their need for our products. Because these customers may use our products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requirements. As a result, if orders and shipments differ from what we predict, we may incur additional expenses and build excess inventory, which may require additional reserves and allowances.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shipping computer systems and software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impairment or restructuring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From time to time, the Financial Accounting Standards Board, or FASB, promulgates new accounting principles that could have a material adverse impact on our results of operations or financial condition.</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0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fiscal 2012, with the anticipated transitions in our Chief Financial Officer and Senior Vice President, Human Resources positions, our success will depend in part on executing an effective transition for these two senior management positions.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retain key personnel.</w:t>
      </w:r>
    </w:p>
    <w:p>
      <w:pPr>
        <w:spacing w:after="0" w:line="18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5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must comply with the Foreign Corrupt Practices Act, or the FCPA.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19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4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we may have a loss in sales or increased costs arising from the restoration or implementation of additional security measures, either of which could adversely affect our business and financial results. In addition, a security breach that involved classified information could subject us to civil or criminal penalties, loss of a government contract, loss of access to classified information, or debarment as a government contractor.</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Shareholder Rights Plan that could make it more difficult for a third party to acquire, or could discourage a third party from acquiring, our company or a large block of our common stock. A third party that acquires 15% or more of our common stock (an “acquiring person”) could suffer substantial dilution of its ownership interest under the terms of the Shareholder Rights Plan through the issuance of common stock or common stock equivalents to all shareholders other than the acquiring person.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1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stock price, like that of other technology companies, has been volatile. The stock market in general and technology companies in particular may continue to experience volatility.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microcap status could hamper existing and new shareholders from gaining a meaningful position in our stock. In addition, the limited availability of credit in the financial markets and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38" w:lineRule="auto"/>
        <w:rPr>
          <w:sz w:val="20"/>
          <w:szCs w:val="20"/>
          <w:color w:val="auto"/>
        </w:rPr>
      </w:pPr>
      <w:r>
        <w:rPr>
          <w:rFonts w:ascii="Arial" w:cs="Arial" w:eastAsia="Arial" w:hAnsi="Arial"/>
          <w:sz w:val="16"/>
          <w:szCs w:val="16"/>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internal controls over financial reporting are not considered effective, our business and stock price could be adversely affected.</w:t>
      </w:r>
    </w:p>
    <w:p>
      <w:pPr>
        <w:spacing w:after="0" w:line="11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including our chief executive officer and principal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5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credit facility. The sale of additional equity securities or securities convertible into our ordinary shares could result in additional dilution to our stockholders. The incurrence of indebtedness would result in increased debt service obligations and could result in operating and financing covenants that would restrict our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embedded computing systems and software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properties: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Size in</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Segment(s) served</w:t>
            </w:r>
          </w:p>
        </w:tc>
        <w:tc>
          <w:tcPr>
            <w:tcW w:w="10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Sq. Feet</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Commitment</w:t>
            </w:r>
          </w:p>
        </w:tc>
      </w:tr>
      <w:tr>
        <w:trPr>
          <w:trHeight w:val="201"/>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Chelmsford, MA</w:t>
            </w:r>
          </w:p>
        </w:tc>
        <w:tc>
          <w:tcPr>
            <w:tcW w:w="254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All (Corporate HQ)</w:t>
            </w:r>
          </w:p>
        </w:tc>
        <w:tc>
          <w:tcPr>
            <w:tcW w:w="1040" w:type="dxa"/>
            <w:vAlign w:val="bottom"/>
          </w:tcPr>
          <w:p>
            <w:pPr>
              <w:spacing w:after="0"/>
              <w:rPr>
                <w:sz w:val="17"/>
                <w:szCs w:val="17"/>
                <w:color w:val="auto"/>
              </w:rPr>
            </w:pP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2"/>
              </w:rPr>
              <w:t>185,327</w:t>
            </w:r>
          </w:p>
        </w:tc>
        <w:tc>
          <w:tcPr>
            <w:tcW w:w="2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Leased, expiring 2017</w:t>
            </w:r>
          </w:p>
        </w:tc>
      </w:tr>
      <w:tr>
        <w:trPr>
          <w:trHeight w:val="222"/>
        </w:trPr>
        <w:tc>
          <w:tcPr>
            <w:tcW w:w="5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2 buildings</w:t>
            </w: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Salem, NH</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16,290</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Huntsville, AL</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25,137</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Reston, VA</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12,811</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Silchester, Reading, United Kingdom</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3,453</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Crystal City, VA</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Mercury Federal Systems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3,931</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2013</w:t>
            </w: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2,401</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Leased, expiring 2012</w:t>
            </w:r>
          </w:p>
        </w:tc>
      </w:tr>
      <w:tr>
        <w:trPr>
          <w:trHeight w:val="365"/>
        </w:trPr>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40" w:type="dxa"/>
            <w:vAlign w:val="bottom"/>
            <w:gridSpan w:val="2"/>
          </w:tcPr>
          <w:p>
            <w:pPr>
              <w:ind w:left="226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lease a number of smaller offices around the world primarily for sales. For financial information regarding obligations under our leases, see Note M to the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subject to various claims and legal actions that arise in the ordinary course of our business. In the opinion of management, we are not currently a party to any proceeding that could have a material adverse effect on our financial condition or results of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6"/>
          <w:szCs w:val="16"/>
          <w:b w:val="1"/>
          <w:bCs w:val="1"/>
          <w:color w:val="auto"/>
        </w:rPr>
        <w:t>EXECUTIVE OFFICERS OF THE REGISTRANT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43, joined Mercury in 2007 and has served as the President and Chief Executive Officer since that date,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Robert E. Hult</w:t>
      </w:r>
      <w:r>
        <w:rPr>
          <w:rFonts w:ascii="Arial" w:cs="Arial" w:eastAsia="Arial" w:hAnsi="Arial"/>
          <w:sz w:val="15"/>
          <w:szCs w:val="15"/>
          <w:color w:val="auto"/>
        </w:rPr>
        <w:t>, age 64, joined Mercury in 2004, and has served as Senior Vice President, Chief Financial Officer and Treasurer since that date. From 2005</w:t>
      </w:r>
      <w:r>
        <w:rPr>
          <w:rFonts w:ascii="Arial" w:cs="Arial" w:eastAsia="Arial" w:hAnsi="Arial"/>
          <w:sz w:val="15"/>
          <w:szCs w:val="15"/>
          <w:i w:val="1"/>
          <w:iCs w:val="1"/>
          <w:color w:val="auto"/>
        </w:rPr>
        <w:t xml:space="preserve"> </w:t>
      </w:r>
      <w:r>
        <w:rPr>
          <w:rFonts w:ascii="Arial" w:cs="Arial" w:eastAsia="Arial" w:hAnsi="Arial"/>
          <w:sz w:val="15"/>
          <w:szCs w:val="15"/>
          <w:color w:val="auto"/>
        </w:rPr>
        <w:t>to 2006, he also assumed additional responsibilities for our manufacturing operations/supply chain and customer service and support. Prior to joining Mercury, he was Senior Vice President, Chief Financial Officer and Treasurer of NMS Communications Corporation from 1998 to 2003. Prior to that, he was employed by Digital Equipment Corporation for more than 25 years in positions of increasing responsibility within the company’s corporate and regional finance groups.</w:t>
      </w:r>
    </w:p>
    <w:p>
      <w:pPr>
        <w:spacing w:after="0" w:line="9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Gerald M. Haines II</w:t>
      </w:r>
      <w:r>
        <w:rPr>
          <w:rFonts w:ascii="Arial" w:cs="Arial" w:eastAsia="Arial" w:hAnsi="Arial"/>
          <w:sz w:val="16"/>
          <w:szCs w:val="16"/>
          <w:color w:val="auto"/>
        </w:rPr>
        <w:t>, age 48, joined Mercury in July 2010 as Senior Vice President, Corporate Development, Chief Legal Officer, and Secretary.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Mercury, from January 2008 to June 2010, Mr. Haines was Executive Vice President, Chief Legal Officer and Secretary at Verenium Corporation, a publicly traded company engaged in the development and commercialization of cellulosic biofuels and high performance specialty enzymes. From September 2006 to December 2007, he was an advisor to early-stage companies on legal and business matters. From May 2001 to August 2006, Mr. Haines served as Executive Vice President of Strategic Affairs, Chief Legal Officer and Secretary of Enterasys Networks, Inc., a public network communications company that was taken private in March 2006 following a successful business restructuring and turnaround. Prior to Enterasys Networks, Mr. Haines served as Senior Vice President and General Counsel of Cabletron Systems, Inc., the predecessor of Enterasys Networks. Before Cabletron, he was Vice President and General Counsel of the largest manufacturer of oriented polypropylene packaging and labeling films in North America, and prior to that was in private practice as a corporate attorney in a large Boston law firm. Mr. Haines is admitted to practice in Massachusetts, Maine, and the Federal District of Massachusetts.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52, joined Mercury in September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had been Vice President of Business Operations and Enterprise Risk Management at Virtusa Corporation, a publicly-traded global IT services company, since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December 2009. He was Vice President of Global Accounting Operations and Corporate Controller at Virtusa Corporation from 2001 to 2009. Mr. Speicher was Corporate Controller at Cerulean Technologies Inc., a private software product company, from 1996 to 2000 prior to its sale to Aether Systems Inc. where he served as Division Controller of Aether Mobile Government from 2000 to 2001. Prior to Cerulean Technology, Mr. Speicher held positions with Wyman-Gordon Company, Wang Laboratories and Arthur Anderson &amp; Company. Mr. Speicher is a CPA licensed in Massachusetts.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Didier M.C. Thibaud</w:t>
      </w:r>
      <w:r>
        <w:rPr>
          <w:rFonts w:ascii="Arial" w:cs="Arial" w:eastAsia="Arial" w:hAnsi="Arial"/>
          <w:sz w:val="16"/>
          <w:szCs w:val="16"/>
          <w:color w:val="auto"/>
        </w:rPr>
        <w:t>, age 50, joined Mercury in 1995, and has served as Senior Vice President and General Manager, Advanced Computing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since July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2011 Fourth quarter</w:t>
            </w:r>
          </w:p>
        </w:tc>
        <w:tc>
          <w:tcPr>
            <w:tcW w:w="3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$21.76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$21.16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90"/>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$13.31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2010 Fourth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90"/>
              </w:rPr>
              <w:t>$14.17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$13.88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83"/>
              </w:rPr>
              <w:t>$ 11.56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83"/>
              </w:rPr>
              <w:t>$ 11.78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1, 2011, we had approximately 5,200 shareholders including record and nominee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never declared or paid cash dividends on shares of our common stock. We currently intend to retain any earnings for future growth. Accordingly, we do not anticipate that any cash dividends will be declared or paid on our common stock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2011, we had no active net share settlement plans.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2011, we had no active share repurchase programs.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revenues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228,710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199,830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188,939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190,208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200,596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(26,058)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18,507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28,069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7,909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(4,437)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(28,899)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from continuing operations: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363"/>
        </w:trPr>
        <w:tc>
          <w:tcPr>
            <w:tcW w:w="4820" w:type="dxa"/>
            <w:vAlign w:val="bottom"/>
          </w:tcPr>
          <w:p>
            <w:pPr>
              <w:spacing w:after="0"/>
              <w:rPr>
                <w:sz w:val="24"/>
                <w:szCs w:val="24"/>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203,978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111,249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80,716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140,680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355,562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224,338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219,372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338,550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360,265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17,920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10,621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12,280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138,537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301,436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179,112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145,037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146,512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168,657</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“anticipate,” “continue,” “estimate,” “project,” “intend,” “likely,”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computing markets. Our solutions play a critical role in a wide range of applications, transforming sensor data to information for analysis and interpretation. In military reconnaissance and surveillance platforms, our sub-systems process real-time radar, video, sonar and signals intelligence data. We provide microwave products for enhanced communications capabilities in military and commercial applications. Additionally, we entered the prime defense contracting market space in fiscal 2008 through the creation of our wholly-owned subsidiary, Mercury Federal Systems, Inc., to focus on reaching the federal intelligence and homeland security agencies.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reconnaissance, ballistic missile defense, ground mobile and force protection systems and tactical communications and network systems. Our products or solutions have been deployed in approximately 300 different programs with over 25 different prime defense contractors.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revenue, income from continuing operations and adjusted EBITDA for fiscal 2011 were $228.7 million, $18.5 million and $40.9 million, respectively. Our revenue, income from continuing operations and adjusted EBITDA for fiscal 2010 were $199.8 million, $28.1 million and $29.9 million, respectively. Our revenue, income from continuing operations and adjusted EBITDA for fiscal 2009 were $188.9 million, $7.9 million and $22.9 million, respectively. See page 27 of this annual report for a reconciliation of our adjusted EBITDA to income from continuing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unit is focused on specialized, high performance signal end-to-end processing solutions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encompass signal acquisition including microwave front-end, digitalization, computing, storage and communications, targeted to key market segments, including defense, communications and other commercial application. ACS’s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In addition, ACS now has a portfolio of Microwave sub-assemblies to address needs in EW, SIGINT, ELINT and high bandwidth communications subsystems.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In fiscal 2011, ACS accounted for 95% of our total net revenues.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unit is focused on services and support work with the Department of Defense, or the DoD,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intelligence and homeland security agencies, including designing and engineering new intelligence, surveillance and reconnaissance, or ISR, capabilities to address present and emerging threats to U.S. forces.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This business unit enables us to combine classified intellectual property with the commercially developed application-ready sub-systems being developed by ACS, providing customers with platform-ready, affordable ISR sub-systems. In fiscal 2011, MFS accounted for 5% of our total net revenues.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periodic communications, we discuss two important measures that are not calculated according to U.S. generally accepted accounting principles (“GAAP”), adjusted EBITDA and free cash flow. Adjusted EBITDA is defined as earnings from continuing operations before interest income and expense, income taxes, depreciation, amortization of acquired intangible assets, restructuring, impairment of long-lived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our adjusted EBITDA to the most directly comparable GAAP financial measure: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Year Ended 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9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$18,442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$28,358</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(Loss) income from discontinued operations, net of income taxes</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(20,328)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gain on sale of discontinued operations, net of income taxes</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11,157</w:t>
            </w:r>
          </w:p>
        </w:tc>
        <w:tc>
          <w:tcPr>
            <w:tcW w:w="0" w:type="dxa"/>
            <w:vAlign w:val="bottom"/>
          </w:tcPr>
          <w:p>
            <w:pPr>
              <w:spacing w:after="0"/>
              <w:rPr>
                <w:sz w:val="1"/>
                <w:szCs w:val="1"/>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18,507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(income),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Income tax expense (benefit)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(9,377)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cost</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Adjusted EBITDA</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40,883</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29,856</w:t>
            </w:r>
          </w:p>
        </w:tc>
        <w:tc>
          <w:tcPr>
            <w:tcW w:w="3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22,858</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the our obligations which require cash.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most directly comparable GAAP financial measure to free cash flow: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June 30,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0" w:type="dxa"/>
            <w:vAlign w:val="bottom"/>
            <w:gridSpan w:val="3"/>
            <w:vMerge w:val="continue"/>
          </w:tcPr>
          <w:p>
            <w:pPr>
              <w:spacing w:after="0"/>
              <w:rPr>
                <w:sz w:val="11"/>
                <w:szCs w:val="11"/>
                <w:color w:val="auto"/>
              </w:rPr>
            </w:pPr>
          </w:p>
        </w:tc>
        <w:tc>
          <w:tcPr>
            <w:tcW w:w="5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$31,474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15,708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11,199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(8,825)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(7,334)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22,649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2011</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12, 2011, we acquired the outstanding equity interests in LNX Corporation. The purchase price for the acquisition was approximately $31.0 million, subject to post-closing adjustments. We funded the purchase price with cash on hand and assumed no debt. In addition to the $31.0 million cash purchase price, we also committed to pay up to $5.0 million upon the achievement of financial targets in calendar years 2011 and 2012 (see Note C to the consolidated financial statements).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16, 2011, we completed a follow-on public stock offering of 5,577,500 shares of common stock, which were sold at a price to the public of $17.75. The follow-on public stock offering resulted in $93.6 million of net proceeds to us. The underwriting discount of $5.0 million and other expenses of $0.4 million related to the follow-on public stock offering were recorded as an offset to additional paid-in-capital (see Note N to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2010</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June 28, 2010, we repaid the remaining $11.3 million principal balance on our line of credit with UBS. As of June 30, 2010, there were no borrowings against this line of credit.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July 1, 2009, we had $50.1 million par value of auction rate securities (“ARS”). During fiscal 2010, UBS called $32.1 million of our ARS at par, reducing our balance on June 30, 2010 to $18.0 million. On June 30, 2010, we exercised our right to sell the remaining $18.0 million ARS balance to UBS at par value. The transaction settled on July 1, 2010 when we received $18.0 million in cash.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2009</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September 2008, we completed an asset sale of our former Biotech business for a $0.1 million cash payment, which was received in the second quarter of fiscal 2009, and $0.3 million of preferred shares in the acquiring entity. The Biotech business was previously reported in the results of the MFS operating segment. The accounting for this sale and Biotech’s operating results were included in discontinued operations in fiscal 2009, and prior period results have been reclassified to reflect the discontinuation and sale (see Note Q to the consolidated financial statements).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2009, we completed the sale of our former Visage Imaging (“VI”) operating segment for gross consideration of $3.0 million in cash. Of the proceeds, a total of $1.1 million was held back for general indemnification purposes and employee termination payments to be incurred by the buyer. The sale resulted in a gain of $4.2 million on disposal of the discontinued operation. The gain was primarily comprised of cash proceeds of $1.0 million, net of transaction costs, and recognition of a foreign currency translation gain of $3.9 million associated with the VI business, offset by net assets of the business of $0.8 million. The accounting for this sale and the VI operating segment’s operating results were included in discontinued operations in fiscal 2009, and prior period results have been reclassified to reflect the discontinuation and sale (see Note Q to the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February 2009, we repurchased $119.7 million (face value) aggregate principal amount of our 2% Convertible Senior Notes (the “Notes”) due in 2024 from the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 We originally sold $125.0 million aggregate principal amount of the Notes in April 2004 (see Note L to the consolidated financial statements). In May 2009, we repurchased the remaining aggregate principal amount outstanding of $5.3 million (face value) of our Notes from the holders of such Notes.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2009, we closed on the sale of our former Visualization Sciences Group (“VSG”) operating segment for gross consideration of $12.0 million in cash. The sale resulted in a gain of $6.4 million on disposal of the discontinued operation. The gain was primarily comprised of cash proceeds of $8.2 million, net of transaction costs, and recognition of a cumulative foreign currency translation gain of $1.6 million, offset by net assets of the business of approximately $3.4 million. The accounting for this sale and the VSG operating segment’s operating results were included in discontinued operations in fiscal 2009, and prior period results have been reclassified to reflect the discontinuation (see Note Q to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As a %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Total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8"/>
        </w:trPr>
        <w:tc>
          <w:tcPr>
            <w:tcW w:w="516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Fiscal 2011</w:t>
            </w:r>
          </w:p>
        </w:tc>
        <w:tc>
          <w:tcPr>
            <w:tcW w:w="9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2"/>
                <w:szCs w:val="12"/>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Fiscal 2010</w:t>
            </w: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228,710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199,830</w:t>
            </w:r>
          </w:p>
        </w:tc>
        <w:tc>
          <w:tcPr>
            <w:tcW w:w="5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98,811</w:t>
            </w:r>
          </w:p>
        </w:tc>
        <w:tc>
          <w:tcPr>
            <w:tcW w:w="5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87,298</w:t>
            </w:r>
          </w:p>
        </w:tc>
        <w:tc>
          <w:tcPr>
            <w:tcW w:w="5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129,899</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112,532</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44,500</w:t>
            </w:r>
          </w:p>
        </w:tc>
        <w:tc>
          <w:tcPr>
            <w:tcW w:w="5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41,548</w:t>
            </w:r>
          </w:p>
        </w:tc>
        <w:tc>
          <w:tcPr>
            <w:tcW w:w="5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Impairment of long-lived assets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104,914</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3"/>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24,985</w:t>
            </w:r>
          </w:p>
        </w:tc>
        <w:tc>
          <w:tcPr>
            <w:tcW w:w="5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17,313</w:t>
            </w:r>
          </w:p>
        </w:tc>
        <w:tc>
          <w:tcPr>
            <w:tcW w:w="5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3"/>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26,567</w:t>
            </w:r>
          </w:p>
        </w:tc>
        <w:tc>
          <w:tcPr>
            <w:tcW w:w="5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18,692</w:t>
            </w:r>
          </w:p>
        </w:tc>
        <w:tc>
          <w:tcPr>
            <w:tcW w:w="5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3"/>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18,507</w:t>
            </w:r>
          </w:p>
        </w:tc>
        <w:tc>
          <w:tcPr>
            <w:tcW w:w="5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28,069</w:t>
            </w:r>
          </w:p>
        </w:tc>
        <w:tc>
          <w:tcPr>
            <w:tcW w:w="5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(Loss) income from discontinued operations, net of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6"/>
              </w:rPr>
              <w:t>(Loss) gain on sale of discontinued operations, net of income taxes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vMerge w:val="restart"/>
          </w:tcPr>
          <w:p>
            <w:pPr>
              <w:jc w:val="right"/>
              <w:ind w:right="1252"/>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a % of</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As a % of</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80" w:type="dxa"/>
            <w:vAlign w:val="bottom"/>
            <w:vMerge w:val="restart"/>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Fiscal</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Total Net</w:t>
            </w:r>
          </w:p>
        </w:tc>
        <w:tc>
          <w:tcPr>
            <w:tcW w:w="220" w:type="dxa"/>
            <w:vAlign w:val="bottom"/>
          </w:tcPr>
          <w:p>
            <w:pPr>
              <w:spacing w:after="0"/>
              <w:rPr>
                <w:sz w:val="12"/>
                <w:szCs w:val="12"/>
                <w:color w:val="auto"/>
              </w:rPr>
            </w:pPr>
          </w:p>
        </w:tc>
        <w:tc>
          <w:tcPr>
            <w:tcW w:w="68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Fiscal</w:t>
            </w:r>
          </w:p>
        </w:tc>
        <w:tc>
          <w:tcPr>
            <w:tcW w:w="46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Total Net</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660" w:type="dxa"/>
            <w:vAlign w:val="bottom"/>
          </w:tcPr>
          <w:p>
            <w:pPr>
              <w:jc w:val="right"/>
              <w:ind w:right="139"/>
              <w:spacing w:after="0" w:line="148"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9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5"/>
              </w:rPr>
              <w:t>Revenue</w:t>
            </w:r>
          </w:p>
        </w:tc>
        <w:tc>
          <w:tcPr>
            <w:tcW w:w="900" w:type="dxa"/>
            <w:vAlign w:val="bottom"/>
            <w:gridSpan w:val="2"/>
          </w:tcPr>
          <w:p>
            <w:pPr>
              <w:jc w:val="right"/>
              <w:ind w:right="122"/>
              <w:spacing w:after="0" w:line="148"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1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2"/>
              </w:rPr>
              <w:t>Revenue</w:t>
            </w:r>
          </w:p>
        </w:tc>
        <w:tc>
          <w:tcPr>
            <w:tcW w:w="10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6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$217,423</w:t>
            </w:r>
          </w:p>
        </w:tc>
        <w:tc>
          <w:tcPr>
            <w:tcW w:w="460" w:type="dxa"/>
            <w:vAlign w:val="bottom"/>
            <w:tcBorders>
              <w:lef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95%</w:t>
            </w: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$188,967</w:t>
            </w:r>
          </w:p>
        </w:tc>
        <w:tc>
          <w:tcPr>
            <w:tcW w:w="46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$28,456</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MFS</w:t>
            </w:r>
          </w:p>
        </w:tc>
        <w:tc>
          <w:tcPr>
            <w:tcW w:w="660" w:type="dxa"/>
            <w:vAlign w:val="bottom"/>
          </w:tcPr>
          <w:p>
            <w:pPr>
              <w:jc w:val="right"/>
              <w:spacing w:after="0"/>
              <w:rPr>
                <w:sz w:val="20"/>
                <w:szCs w:val="20"/>
                <w:color w:val="auto"/>
              </w:rPr>
            </w:pPr>
            <w:r>
              <w:rPr>
                <w:rFonts w:ascii="Arial" w:cs="Arial" w:eastAsia="Arial" w:hAnsi="Arial"/>
                <w:sz w:val="18"/>
                <w:szCs w:val="18"/>
                <w:color w:val="auto"/>
              </w:rPr>
              <w:t>11,415</w:t>
            </w:r>
          </w:p>
        </w:tc>
        <w:tc>
          <w:tcPr>
            <w:tcW w:w="4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10,735</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4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228,710</w:t>
            </w:r>
          </w:p>
        </w:tc>
        <w:tc>
          <w:tcPr>
            <w:tcW w:w="4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199,830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28,880</w:t>
            </w:r>
          </w:p>
        </w:tc>
        <w:tc>
          <w:tcPr>
            <w:tcW w:w="4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Total revenues increased $28.9 million, or 14%, to $228.7 million during fiscal 2011. International revenues represented approximately 4% and 10% of total revenues during fiscal years 2011 and 2010, respectively. The decrease in international revenues during fiscal 2011 was primarily driven by both the sales to a commercial customer in the European region during the 2010 period whose sales were serviced by the U.K. operations during the 2010 period versus our U.S. operations during the 2011 period, and reduced sales to a commercial customer in the Asia Pacific region during 2011.</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ACS revenues increased $28.5 million, or 15%, during fiscal 2011 compared to fiscal 2010. Revenue from sales to defense customers increased $21.1 million, from $146.6 million in fiscal 2010 to $167.7 million in fiscal 2011. This growth was mostly driven by an increase in the radar market, slightly offset by a decline in SSI revenues from $24.4 million to $12.9 million due to the emerging nature of this business which is subject to irregular patterns period to period. Revenue from sales to commercial customers increased $7.2 million, from $42.4 million in fiscal 2010 to $49.6 million in fiscal 2011. This growth was mostly driven by an increase in the semiconductor market driven by end of life buys, slightly offset by a decrease in sales in the commercial communications market. We expect our commercial business to decline significantly in fiscal 2012, after our systems were designed out of two key semiconductor customers’ products.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MFS revenues increased $0.7 million, or 6%, during fiscal 2011 as compared to fiscal 2010. This increase in revenue was primarily driven by an increase of $0.9 million in revenue relating to a persistent ISR development program. This increase was slightly offset by the year over year completion of other development programs.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Other revenues decreased $0.3 million during fiscal 2011 as compared to fiscal 2010. Net Other revenue is attributable to development programs where the revenue is recognized in both segments under contract accounting, and reflects the reconciliation to our consolidated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Gross margin was 56.8% for fiscal 2011, an increase of 50 basis points from the 56.3% gross margin achieved in fiscal 2010. The increase in gross margin was primarily due to a favorable shift in product mix from lower margin professional service revenues to higher margin product sales. These higher margins were partially offset by increases in manufacturing variances, scrap, and inventory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Selling, general and administrative expenses increased 12.4%, or $6.4 million, to $57.9 million during fiscal 2011 compared to $51.5 million during fiscal 2010. The increase was primarily due to a $5.8 million increase in employee compensation expense driven by a 54 person increase in headcount, primarily related to the LNX acquisition, company-wide pay increases, and variable compensation increases, including a $1.5 million increase in stock-based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compensation. Additionally, there was a $0.7 million increase in business meeting and travel expenses and a $0.5 million increase in depreciation expense. These increases were partially offset by a $1.0 million decrease in IT support expense. Selling, general and administrative expenses decreased as a percentage of revenues to 25.3% during fiscal 2011 from 25.7% during fiscal 2010. We continue to see improved operating leverage by maintaining our selling, general and administrative expenses growth below our revenue growth rate as our business scales.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Research and development expenses increased 7%, or $3.0 million, to $44.5 million during fiscal 2011 compared to $41.5 million for fiscal 2010. The increase was primarily due to a $3.0 million increase in employee compensation expense driven by company-wide pay increases and higher bonuses. Additionally, a $0.7 million increase was due to a reduction in time spent by our engineers on billable projects and $0.9 million increases in IT and facility expense allocations. These increases were primarily offset by fewer purchases of prototype materials of $1.7 million to support long-term construction contracts nearing the end of their development stage. Research and development continues to be a focus of our business with approximately 19.4% of our revenues dedicated to research and development activities during fiscal 2011 and approximately 20.8% of our revenues dedicated to such activities during fiscal 2010. We continue to focus on improving the leverage of our research and development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Amortization of acquired intangible assets increased 18% or $0.3 million to $2.0 million during fiscal 2011 compared to $1.7 million for fiscal 2010, primarily due to amortization of intangible assets from the LNX acquisition completed during the third quarter of fiscal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recorded $0.2 million in impairment charges during fiscal 2011 compared to $0.2 million in impairment charges recorded in fiscal 2010. The fiscal 2011 charge and $0.1 million of the fiscal 2010 charge represent the impairment of the fair value of the shares we received as compensation in the sale of our former Biotech business. The additional fiscal 2010 charge of $0.1 million was the result of impairment of the remaining value of a terminated license agreement. There were no impairment charges for goodwill in either fiscal 2011 or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There was no restructuring expense recorded in fiscal 2011 as compared to $0.2 million in fiscal 2010. Restructuring activities during fiscal 2010 were primarily due to the elimination of four positions under our restructuring plan within the ACS business unit which was enacted in July 2009, following the completion of the divestitures of our non-core businesses as part of the refocusing of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incurred $0.4 million of acquisition costs and other related expenses during fiscal 2011, which consist of transaction costs incurred in connection with the acquisition of LNX Corporation, which was concluded on January 12,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income for fiscal 2011 decreased by $0.5 million to nil compared to fiscal 2010. Our marketable securities held during fiscal 2010 yielded higher interest rates than the money market funds and short-term government securities in which our cash was primarily invested during fiscal 2011. We held no marketable securities during fiscal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Interest expense for fiscal 2011 decreased by $0.3 million to $0.1 million compared to the same period in fiscal 2010. The decrease was the result of the repayment of our borrowings against our ARS at the end of fiscal 2010. We did not have any debt during fiscal 2011, other than capital lease obligations.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income, net for fiscal 2011 increased by $0.4 million to $1.6 million compared to $1.2 million in fiscal 2010. Other income, net primarily consists of $1.2 million in amortization of the gain on the sale leaseback of our corporate headquarters located in Chelmsford, Massachusetts and foreign currency exchange gains and losses. The $0.4 million increase is primarily associated with a $0.4 million foreign currency exchange gain during fiscal 2011 as compared to a $0.2 million foreign currency exchange loss for fiscal 2010. The foreign currency exchange gain was largely driven by strengthening of the British pound and the Japanese yen against the U.S. dollar.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recorded a provision for income taxes of $8.1 million in fiscal 2011 reflecting a 30.3% effective tax rate, as compared to a (50.2)% effective tax rate for fiscal 2010. Our provision for income taxes for fiscal year 2011 differed from the federal statutory tax rate of 35% primarily due to the impact of research and development tax credits, the impact of a domestic manufacturing deduction, and favorable discrete items. Our provision for income taxes for fiscal year 2010 differed from the federal statutory rate primarily due to the release of a portion of our valuation allowance on U.S. deferred tax assets, and several favorable discrete items which included a benefit from our 2009 tax return filing concerning our ability to utilize certain net operating losses, a decrease in our valuation allowance for uncertain tax positions and a decrease due to the favorable settlement of issues regarding our 2006 through 2008 tax return filings.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accordance with FASB ASC 360, VSG, VI and Biotech have been reflected as discontinued operations for all periods presented in our consolidated financial statements, except the consolidated statements of cash flows. Accordingly, the revenue, costs, expenses, assets and liabilities of VSG, VI and Biotech have been reported separately in the consolidated statements of operations for all periods presented. The results of discontinued operations do not reflect any interest expense or any allocation of corporate general and administrative expense.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incurred a loss from discontinued operations of $0.1 million during fiscal 2011 compared to income from discontinued operations of $0.2 million in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Operating profit for ACS increased $10.0 million to $32.0 million during fiscal 2011, as compared to $22.0 million during fiscal 2010. The increase in operating profit was primarily driven by increased revenues of $28.5 million, which drove an improvement in gross margin. This improvement was partially offset by increases in operating expenses necessary to grow the business. However, operating expenses declined as a percent of revenue as we continued to improve our operating leverage.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Losses from the operations of the MFS segment increased by $0.3 million during fiscal 2011 to an operating loss of $1.0 million, as compared to an operating loss of $0.7 million in fiscal 2010. The increase was primarily driven by increased operating expenses relating to additional headcount, partially offset by a $0.9 million increase in revenues from a persistent ISR development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P to our consolidated financial statements for more information regarding our operating segments.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Total Net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48"/>
        </w:trPr>
        <w:tc>
          <w:tcPr>
            <w:tcW w:w="6800" w:type="dxa"/>
            <w:vAlign w:val="bottom"/>
            <w:gridSpan w:val="3"/>
            <w:vMerge w:val="continue"/>
          </w:tcPr>
          <w:p>
            <w:pPr>
              <w:spacing w:after="0"/>
              <w:rPr>
                <w:sz w:val="12"/>
                <w:szCs w:val="12"/>
                <w:color w:val="auto"/>
              </w:rPr>
            </w:pPr>
          </w:p>
        </w:tc>
        <w:tc>
          <w:tcPr>
            <w:tcW w:w="12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Fiscal 2010</w:t>
            </w:r>
          </w:p>
        </w:tc>
        <w:tc>
          <w:tcPr>
            <w:tcW w:w="9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2"/>
                <w:szCs w:val="12"/>
                <w:color w:val="auto"/>
              </w:rPr>
            </w:pPr>
          </w:p>
        </w:tc>
        <w:tc>
          <w:tcPr>
            <w:tcW w:w="12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Fiscal 2009</w:t>
            </w:r>
          </w:p>
        </w:tc>
        <w:tc>
          <w:tcPr>
            <w:tcW w:w="8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199,830</w:t>
            </w:r>
          </w:p>
        </w:tc>
        <w:tc>
          <w:tcPr>
            <w:tcW w:w="6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188,939</w:t>
            </w:r>
          </w:p>
        </w:tc>
        <w:tc>
          <w:tcPr>
            <w:tcW w:w="6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87,298</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83,509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112,532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105,430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51,185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41,548</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42,372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95,219</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97,683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17,313</w:t>
            </w: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7,747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18,692</w:t>
            </w: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8,018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(9,377)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28,069</w:t>
            </w: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7,909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(20,328)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11,157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a % of</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80" w:type="dxa"/>
            <w:vAlign w:val="bottom"/>
            <w:vMerge w:val="restart"/>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FISCAL</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Total Net</w:t>
            </w: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FISCAL</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Total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660" w:type="dxa"/>
            <w:vAlign w:val="bottom"/>
          </w:tcPr>
          <w:p>
            <w:pPr>
              <w:jc w:val="right"/>
              <w:ind w:right="119"/>
              <w:spacing w:after="0" w:line="148"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16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Revenue</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2009</w:t>
            </w:r>
          </w:p>
        </w:tc>
        <w:tc>
          <w:tcPr>
            <w:tcW w:w="480" w:type="dxa"/>
            <w:vAlign w:val="bottom"/>
          </w:tcPr>
          <w:p>
            <w:pPr>
              <w:spacing w:after="0"/>
              <w:rPr>
                <w:sz w:val="12"/>
                <w:szCs w:val="12"/>
                <w:color w:val="auto"/>
              </w:rPr>
            </w:pPr>
          </w:p>
        </w:tc>
        <w:tc>
          <w:tcPr>
            <w:tcW w:w="9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Revenue</w:t>
            </w:r>
          </w:p>
        </w:tc>
        <w:tc>
          <w:tcPr>
            <w:tcW w:w="3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9"/>
              </w:rPr>
              <w:t>Change</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6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$188,967</w:t>
            </w:r>
          </w:p>
        </w:tc>
        <w:tc>
          <w:tcPr>
            <w:tcW w:w="46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95%</w:t>
            </w: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$183,393</w:t>
            </w:r>
          </w:p>
        </w:tc>
        <w:tc>
          <w:tcPr>
            <w:tcW w:w="4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97%</w:t>
            </w: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5,574</w:t>
            </w:r>
          </w:p>
        </w:tc>
        <w:tc>
          <w:tcPr>
            <w:tcW w:w="5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MFS</w:t>
            </w:r>
          </w:p>
        </w:tc>
        <w:tc>
          <w:tcPr>
            <w:tcW w:w="660" w:type="dxa"/>
            <w:vAlign w:val="bottom"/>
          </w:tcPr>
          <w:p>
            <w:pPr>
              <w:jc w:val="right"/>
              <w:spacing w:after="0"/>
              <w:rPr>
                <w:sz w:val="20"/>
                <w:szCs w:val="20"/>
                <w:color w:val="auto"/>
              </w:rPr>
            </w:pPr>
            <w:r>
              <w:rPr>
                <w:rFonts w:ascii="Arial" w:cs="Arial" w:eastAsia="Arial" w:hAnsi="Arial"/>
                <w:sz w:val="18"/>
                <w:szCs w:val="18"/>
                <w:color w:val="auto"/>
              </w:rPr>
              <w:t>10,735</w:t>
            </w:r>
          </w:p>
        </w:tc>
        <w:tc>
          <w:tcPr>
            <w:tcW w:w="4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5,546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5,189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199,830</w:t>
            </w:r>
          </w:p>
        </w:tc>
        <w:tc>
          <w:tcPr>
            <w:tcW w:w="4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188,939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10,891</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Total revenues increased $10.9 million, or 6%, to $199.8 million during fiscal 2010. International revenues represented approximately 10% and 7% of total revenues during fiscal years 2010 and 2009, respectively.</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ACS revenues increased $5.6 million, or 3%, during fiscal 2010 compared to fiscal 2009. Revenue from sales to defense customers increased $7.3 million, from $139.3 million in fiscal 2009 to $146.6 million in fiscal 2010. This growth was driven by our participation in several radar programs. Revenue from sales to commercial customers decreased $1.7 million, from $44.1 million in fiscal 2009 to $42.4 million in fiscal 2010. This decrease was driven by expected declines in sales of legacy product to medical equipment customers, partially offset by increases in sales to commercial communications and semiconductor inspection equipment customers.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MFS revenues increased $5.2 million, or 94%, during fiscal 2010 as compared to fiscal 2009. This increase in revenue was primarily driven by an increase of $5.5 million in revenue relating to an ISR QRC development program. This increase was slightly offset by the year over year completion of other development programs.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Other revenues increased $0.1 million to $0.1 million during fiscal 2010 as compared to nil during fiscal 2009. Net Other revenue is attributable to development programs where the revenue recognized in our two business segments under contract accounting is either greater or less than revenue recognized on a consolidated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margin was 56.3% for fiscal 2010, an increase of 50 basis points from the 55.8% gross margin achieved in fiscal 2009. The increase in gross margin was primarily due to a $5.8 million decrease in provisions for obsolete inventory, a $1.5 million decrease in warranty expense and a $0.8 million decrease in scrap expenditures, as compared to fiscal 2009. This increase was partially offset by a decrease in direct margin due to an unfavorable shift in product and business mix. Significant reserves for inventory obsolescence were booked in fiscal 2009 largely due to lower demand in our commercial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Selling, general and administrative expenses increased 0.7% or $0.3 million to $51.5 million during fiscal 2010 compared to $51.2 million during fiscal 2009. The increase was primarily due to a $1.1 million increase in salary and fringe expense primarily attributed to an increase in severance expense for terminated employees and a $0.2 million increase in recruiting costs associated with filling key executive positions. These increases were partially offset by decreases of $0.8 million in legal fees and $0.4 million in sales commissions paid due to lower bookings. Even with an increase in overall selling, general and administrative expenses in fiscal 2010, these expenses represented approximately 25.7% of our revenues during fiscal 2010, down from 27.1% in fiscal 2009 due to our continued focus on improving the underlying leverage of the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Research and development expenses decreased 2% or $0.9 million to $41.5 million during fiscal 2010 compared to $42.4 million for fiscal 2009. The decrease was primarily the result of a $3.8 million increase in the time spent by our engineers on billable projects, a $0.5 million decrease in stock-based compensation expense due to the difference in the values of awards that were fully vested in fiscal 2010 and the values of new grants, and a $0.3 million decrease in depreciation expense due to assets becoming fully depreciated. The decrease in research and development expenses was partially offset by a $2.1 million increase in salary expense due to an increase in headcount, a $0.8 million increase in prototype material spending, and a $0.4 million increase in equipment and supply costs. Research and development continues to be a focus of our business with approximately 20.8% of our revenues dedicated to research and development activities during fiscal 2010 and approximately 22.4% of our revenues dedicated to such activities during fiscal 2009. We continue to focus on improving the leverage of our research and development investments in order to realize a more near-term return.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Amortization of acquired intangible assets decreased 29% or $0.7 million to $1.7 million during fiscal 2010 compared to $2.4 million for fiscal 2009. The decrease was attributable to assets becoming fully amortized during fiscal 2010 and a fiscal 2010 impairment of a terminated license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$0.2 million in impairment charges in fiscal 2010 compared to no impairment charges recorded in fiscal 2009. These fiscal 2010 charges were the result of the $0.1 million impairment of the remaining value of a terminated license agreement and $0.1 million for the impairment of the fair value of the shares we received as compensation in the sale of our former Biotech business.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Following the VI and VSG divestitures, ACS is the only reporting unit containing goodwill, and in June 2010, we performed our annual goodwill impairment test in accordance with FASB ASC 350. This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ACS reporting unit was deemed to be in excess of the book value. As such, no impairment charge was recorded. There were no impairment charges in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Restructuring expense for fiscal 2010 decreased $1.5 million to $0.2 million as compared to $1.7 million in fiscal 2009. This decrease reflects no additional substantial activities and was primarily due to improved operating results in fiscal 2010 and an improved outlook for fiscal 2011 and beyond. As a result of the restructuring actions taken in fiscal 2010, we eliminated four positions, while we eliminated approximately 35 positions in fiscal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for fiscal 2010 decreased by $1.6 million to $0.5 million compared to $2.1 million in fiscal 2009. The decrease was primarily attributable to decreased rates of return on our marketable securities, as well as a decrease in the amount of cash invested in marketable securities as a result of the redemption of our ARS throughout fiscal 2010. Seventy-five percent of each ARS redemption was required to be applied against our outstanding line of credit balance with UBS.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expense for fiscal 2010 decreased by $2.2 million to $0.4 million compared to $2.6 million in fiscal 2009. The decrease was primarily due to lower interest incurred as a result of the redemption of our ARS throughout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income, net for fiscal 2010 increased by $0.4 million to $1.2 million compared to $0.8 million in fiscal 2009. The increase was primarily due to an expense associated with our deferred compensation plan that was closed in fiscal 2009 that did not recur in fiscal 2010, offset by an increase in foreign exchange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income tax benefit of $9.4 million in fiscal 2010 is primarily related to the release a portion of our valuation allowance on our U.S. deferred tax assets. Our effective income tax rate for fiscal 2010 was (50.2)% as a result of releasing a portion of our valuation allowance on our U.S. deferred tax assets. The changes in the valuation allowance resulted in a benefit of $14.8 million. Excluding the impact of changes in the valuation allowance, our income tax provision for fiscal 2010 was an expense of $5.4 million compared to an expense of $0.1 million for fiscal 2009.</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Deferred tax assets are to be reduced by a valuation allowance if, based on the weight of available positive and negative evidence, it is more likely than not that some portion or all of the deferred tax assets will not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realized. At June 30, 2009, our U.S. deferred tax assets had a full valuation allowance of $22.4 million. Based upon our operating results for the years immediately preceding and through June 30, 2010, as well as an assessment of our expected future results of operations in the U.S., at June 30, 2010, we determined that it had become more likely than not that we would realize a substantial portion of our deferred tax assets in the U.S. As a result, at June 30, 2010, we released $7.4 million of valuation allowances on our U.S. deferred tax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June 2009, we closed on the sale of our former VSG operating segment for gross consideration of $12.0 million in cash. The sale resulted in a gain of $6.4 million on disposal of the discontinued operation. The gain was primarily comprised of cash proceeds of $8.2 million net of transaction costs, and recognition of a cumulative foreign currency translation gain of $1.6 million, offset by net assets of approximately $3.4 million. There were no material adjustments to the gain on disposal during fiscal 2010.</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January 2009, we completed the sale of our former VI operating segment for gross consideration of $3.0 million in cash. Of the proceeds, a total of $1.1 million was held back for general indemnification purposes and employee termination payments incurred by the buyer. Of the total held back, $0.3 million was used for termination payments, $0.4 million was used for general indemnification purposes and $0.3 million was remitted back to us. The sale resulted in a gain of $4.2 million on disposal of the discontinued operation. The gain was primarily comprised of expected cash proceeds, net of transaction costs, of $1.0 million and the recognition of a cumulative foreign currency translation gain of $3.9 million, offset by net assets of the business of approximately $0.8 million. There were no material adjustments to the gain on disposal during fiscal 2010. In December 2008, we were required to perform an interim impairment test of goodwill and long-lived assets as a result of a triggering event: our perceived decline in the market value for the VI business. Based on this interim evaluation, the carrying amount of goodwill in the VI operating segment exceeded the implied fair value, resulting in a goodwill impairment charge of $13.0 million. In December 2008, we also recorded an impairment of the customer relationships intangible asset within the VI operating segment of $1.5 million.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September 2008, we completed an asset sale of our former Biotech business for a $0.1 million cash payment, which was received in the second quarter of fiscal 2009, and $0.3 million of preferred shares in the acquiring entity. The Biotech business was previously reported in the results of the MFS operating segment. The sale resulted in a gain of $0.3 million on disposal of the discontinued operation.</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all periods presented in our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income from discontinued operations of $0.2 million during fiscal 2010 compared to a loss from discontinued operations of $20.3 million in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Operating profit for ACS increased $8.6 million to $22.0 million during fiscal 2010, as compared to fiscal 2009. The increase in operating profit was driven by the $5.5 million increase year over year in revenues. In addition, gross margin improved 70 basis points as a result of lower manufacturing costs. Amortization costs decreased $0.7 million and restructuring costs decreased $1.5 million in fiscal 2010, partially offset by higher investments in sales and marketing.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Losses from the operations of the MFS segment decreased by $0.2 million during fiscal 2010 to an operating loss of $0.7 million, as compared to an operating loss of $0.9 million in fiscal 2009. The improvement in operating results was largely due to increased revenue relating to an ISR development program. This was offset by increased operating expenses relating to additional headcount.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P to our consolidated financial statements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fiscal 2011, our primary source of liquidity came from existing cash, $93.6 million of net proceeds received from a follow-on public stock offering, and cash generated from operations.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Stock Offering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February 16, 2011, we completed a follow-on public stock offering of 5,577,500 shares of common stock, which were sold at a price to the public of $17.75. The follow-on public stock offering resulted in $93.6 million of net proceeds to us. The underwriting discount of $5.0 million and other expenses of $0.4 million related to the follow-on public stock offering were recorded as an offset to additional paid-in-capital.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February 2011 follow-on public stock offering generated gross proceeds (i.e., proceeds before underwriting fees) of $99 million out of the $100 million available under our existing shelf registration statement, effectively exhausting our shelf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provided for a $15.0 million revolving line of credit (the “Revolver”) and a $20.0 million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 million, until February 11, 2012. The Term Loan had monthly interest and principal payments through the February 11, 2014 maturity of the Term Loan.</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w:t>
      </w:r>
    </w:p>
    <w:p>
      <w:pPr>
        <w:spacing w:after="0" w:line="14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Borrowings are secured by a first-priority security interest in all of our domestic assets, including intellectual property, but limited to 65% of the voting stock of foreign subsidiaries. Our MFS subsidiary is a guarantor and has granted a security interest in its assets in favor of the Lender. Following the acquisition of LNX Corporation, LNX also became a guarantor.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9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Loan Agreement provided for conventional affirmative and negative covenants, including a minimum quick ratio of 1.5 to 1.0. If we had less than $10.0 million of cash equivalents in accounts with the Lender in excess of our borrowings, we must also satisfy a $15.0 million minimum trailing-four-quarter cash-flow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covenant.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us and our subsidiaries to incur additional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March 30, 2011, we entered into an amendment to the Loan Agreement (as amended, the “Amended Loan Agreement”) with the Lender. We amended the Loan Agreement in order to extend the term during which we may borrow, to make the entire $35 million available for revolving credit, and to obtain more favorable financial covenants and relax mergers and acquisition restrictions. The amendment extended the term of the Revolver for an additional two years, to February 11, 2014, terminated the $20.0 million Term Loan under the original Loan Agreement, and increased the original $15.0 million Revolver to $35.0 million. The amendment also included modifications to the financial covenants as summarized below.</w:t>
      </w:r>
    </w:p>
    <w:p>
      <w:pPr>
        <w:spacing w:after="0" w:line="116"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The Amended Loan Agreement provides for conventional affirmative and negative covenants, including a minimum quick ratio of 1.0 to 1.0 and a $15.0 million minimum trailing four quarter cash flow covenant through and including June 30, 2012 (with $17.5 million of minimum cash flow required thereafter).</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had no borrowings under the credit facility since inception and were in compliance with all covenants in the Amended Loan Agreement as of June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with Silicon Valley Bank, cash generated from operations, and financing capabilities will be sufficient to satisfy our anticipated cash requirements for at least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June 30,</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49"/>
        </w:trPr>
        <w:tc>
          <w:tcPr>
            <w:tcW w:w="6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 of and for the fiscal year ended</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0"/>
        </w:trPr>
        <w:tc>
          <w:tcPr>
            <w:tcW w:w="21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6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31,474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15,708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11,199</w:t>
            </w:r>
          </w:p>
        </w:tc>
        <w:tc>
          <w:tcPr>
            <w:tcW w:w="100" w:type="dxa"/>
            <w:vAlign w:val="bottom"/>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(22,683)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23,615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66,946</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(30,594)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(90,897)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9,291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(12,095)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56,241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46,950</w:t>
            </w: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cash and cash equivalents increased by $106.6 million during fiscal 2011 primarily as the result of $31.5 million generated by operating activities, $93.6 million net proceeds received from a follow-on public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stock offering, $18.0 million cash proceeds from sale of marketable securities and $4.6 million generated from stock related activities, offset by $29.5 million in payment, net of cash acquired, for the LNX acquisition, $8.8 million in capital expenditures and $2.4 million in payments for acquired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fiscal 2011, we generated $31.5 million in cash from operations compared to $15.7 million generated from operations during fiscal 2010. The $15.8 million increase in the amount of cash generated from operations was driven by a $15.5 million improvement in accounts receivable primarily driven by collection of a large receivable shipped at the end of fiscal 2010, an $11.6 million increase in provision for deferred income taxes, a $4.0 million increase in cash generated from prepaid income taxes and income taxes payable, a $3.4 million increase in inventory activities, a $1.6 million increase in stock-based compensation, a $1.5 million increase in depreciation and amortization expense, and a $0.9 million reduction in other non-cash items. These improvements were partially offset by lower comparative net income of $9.9 million, a $4.8 million increase in cash used for accounts payable and accrued expenses, a $4.8 million increase in cash used for deferred revenue, customer advances, and other non-current liabilities, and a $3.2 million increase in cash used for prepaid expenses and other current and non-current assets. Our ability to generate cash from operations in future periods will depend in large part on profitability, the rate of collection of accounts receivable, our inventory turns and our ability to manage other areas of working capital.</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fiscal 2010, we generated $15.7 million in cash from operations compared to $11.2 million generated from operations during fiscal 2009. The $4.5 million increase in the amount of cash generated from operations was largely driven by a $29.6 million improvement in net income, an $18.4 million decrease in cash used for accounts payable and accrued expenses, an $11.1 improvement in losses on the sale of discontinued operations, and a $3.3 million increase in cash from deferred revenues and customer advances. These improvements were partially offset by a $16.5 million decrease in accounts receivable, a $14.3 million decrease in the non cash adjustment from the impairment of goodwill and long-lived assets, an $8.3 million increase in deferred tax assets, an $8.3 million decrease in inventory activities, a $4.5 million reduction in prepaid expenses and other current assets, a $2.5 million reduction to depreciation and amortization expense, and a $2.2 million increase to prepaid income taxes. Our ability to generate cash from operations in future periods will depend in large part on profitability, the rate of collection of accounts receivable, our inventory turns and our ability to manage other areas of working capital.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During fiscal 2011, we used cash of $22.7 million in investing activities compared to $23.6 million generated from investing activities during fiscal 2010. The $46.3 million increase in cash used by investing activities was primarily driven by a $29.5 million payment, net of cash acquired, for the LNX acquisition, a $14.0 million decrease in net sales of marketable securities, a $2.1 million increase in cash used for purchases of intangible assets and a $1.5 million increase in capital expenditures, offset by a $0.8 million decrease in cash payments related to the sale of discontinued operations.</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During fiscal 2010, we generated $23.6 million of cash from investing activities compared with $66.9 million generated from investing activities during fiscal 2009. The $43.3 million decrease in cash generated from investing activities was primarily driven by a $28.5 million decrease in net sales of marketable securities, a $10.8 million decrease in proceeds from the sale of discontinued operations, and a $3.2 million increase in cash used for purchases of capital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fiscal 2011, we generated $97.8 million in cash from financing activities compared to $30.6 million used by financing activities during fiscal 2010. The $128.4 million increase in cash generated from financing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activities was primarily due to $93.6 million of net proceeds received from a follow-on public stock offering, the absence of $33.3 million in payments under our line of credit with UBS, an increase of $1.7 million of cash generated from stock related activities, and a $0.1 million decrease in payments of deferred financing and offering costs. These increases were slightly offset by $0.3 million of cash used in payments of capital lease obligations and other.</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During fiscal 2010, we used $30.6 million of cash in our financing activities compared with $90.9 million used in financing activities during fiscal 2009. The $60.3 million decrease in cash used in financing activities was primarily due a reduction in cash used on the repurchase of $125.0 million (face value) aggregate principal amount of our 2% Notes, offset by cash used to retire our $33.4 million UBS line of credit. We paid the consideration for the UBS line of credit from a combination of cash on hand and the proceeds from the redemption of certain of our ARS by UBS. We originally drew down $33.4 million on the UBS line of credit in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ONTRACTURAL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5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102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2-3</w:t>
            </w:r>
          </w:p>
        </w:tc>
        <w:tc>
          <w:tcPr>
            <w:tcW w:w="5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5"/>
              </w:rPr>
              <w:t>1 Year</w:t>
            </w:r>
          </w:p>
        </w:tc>
        <w:tc>
          <w:tcPr>
            <w:tcW w:w="520" w:type="dxa"/>
            <w:vAlign w:val="bottom"/>
          </w:tcPr>
          <w:p>
            <w:pPr>
              <w:spacing w:after="0"/>
              <w:rPr>
                <w:sz w:val="14"/>
                <w:szCs w:val="14"/>
                <w:color w:val="auto"/>
              </w:rPr>
            </w:pPr>
          </w:p>
        </w:tc>
        <w:tc>
          <w:tcPr>
            <w:tcW w:w="102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9"/>
              </w:rPr>
              <w:t>Years</w:t>
            </w:r>
          </w:p>
        </w:tc>
        <w:tc>
          <w:tcPr>
            <w:tcW w:w="50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99"/>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$14,457</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3,144</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$5,191</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$4,408</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1,714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15,966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15,966</w:t>
            </w:r>
          </w:p>
        </w:tc>
        <w:tc>
          <w:tcPr>
            <w:tcW w:w="5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1,617</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51</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due on capital lease obligations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32,252</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19,270</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4,408</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have a liability at June 30, 2011 of $1.8 million for uncertain tax positions that have been taken or are expected to be taken in various income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returns. We do not know the ultimate resolutions of these uncertain tax positions and as such, do not know the ultimate timing of payments related to this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these amounts are not included in the above table.</w:t>
      </w:r>
    </w:p>
    <w:p>
      <w:pPr>
        <w:spacing w:after="0" w:line="1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$16.0 million at June 30, 2011.</w:t>
      </w:r>
    </w:p>
    <w:p>
      <w:pPr>
        <w:spacing w:after="0" w:line="8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June 30, 2011, the remaining minimum commitment related to this agreement was $1.6 million, which is the 35% “penalty” on the remaining inventory balance. While we expect to continue to purchase this inventory through the expiration of the agreement, we do not expect to purchase the full $6.5 million noted above. As of June 30, 2011, we have recorded an accrued liability of approximately $0.6 million for the 35% penalty we anticipate on paying for unpurchased inventory.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divestitures of our former VI, VSG, Biotech and ES/PS businesses, we provided indemnification to the buyers of the respective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Other than the indemnification relating to the divestitures of our former VI, VSG, Biotech and ES/PS businesses, our lease commitments incurred in the normal course of business and certain other indemnification provisions (see Note M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2008, we and our former CEO, James Bertelli, entered into an agreement for consulting services through June 30, 2010. The consideration for these services totaled $0.2 million and was paid out over the service period. As of June 30, 2010, we had made payments of $0.2 million for consulting services under this agreement. Additionally, in July 2008, we entered into a five year non-compete agreement with Mr. Bertelli. This agreement, which is carried as an intangible asset on our balance sheet, was valued at $0.5 million and is being amortized over the life of the agreement. As of December 31, 2010, we had made payments of $0.5 million under this non-compete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2011 and 2010, we did not engage in any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preparation of consolidated financial statements requires us to make estimates and judgments that affect the reported amounts of assets, liabilities, revenues and expenses, and related disclosure of contingent liabilities. On an ongoing basis, we evaluate our estimates and judgments, including those related to revenue recognition, contingencies, litigation, and the valuation of inventory, long-lived assets, goodwill, share-based compensation and income tax assets. We base our estimates on historical experience and on appropriate and customary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Changes in our estimates from period to period, such as changes in assumptions underlying our estimates, may have a material impact on our financial condition or results of operations. Similarly, using the ends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range of reasonably possible amounts that we determined in formulating our estimate, rather than the reported estimate, may have a material impact on our financial condition or results of operations. However, during the past three fiscal years, such changes in our estimates, including those related to accounts receivable and inventory valuation, and to warranty cost accruals, have not had a material impact on our overall financial performance or on any individual line item in our consolidated financial statements, with the exception of the change in estimate related to the valuation allowances on our deferred tax assets and our goodwill impairment analysis. Our valuation allowances on our deferred tax assets had a $14.8 million benefit to our tax provision during fiscal 2010 and a $6 million benefit to our tax provision during fiscal 2009 (see Note R to the consolidated financial statements). Our assumptions related to our goodwill valuation analysis did not result in an impairment in fiscal 2011, and fiscal 2010 and fiscal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contracts with customers require us to perform tests of our products prior to shipment to ensure their performance complies with our published product specifications and, on occasion, with additional customer-requested specifications. In these cases, we conduct such tests and, if they are completed successfully, include a written confirmation with each order shipped. As a result, at the time of each product shipment, we believe that no further customer testing requirements exist and that there is no uncertainty of acceptance by our customer.</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enter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2011 was 50% of total revenues. Approximately 30% to 50% of our multiple-deliverable revenue arrangements ship complete within the same quarter.</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Effective July 1, 2009, we adopted the Financial Accounting Standard Boards (“FASB”) Accounting Standards Update (“ASU”) No. 2009-13 (“FASB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amends FASB Accounting Standards Codification (“ASC”) Topic 605-25,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Multiple-Element Arrangements </w:t>
      </w:r>
      <w:r>
        <w:rPr>
          <w:rFonts w:ascii="Arial" w:cs="Arial" w:eastAsia="Arial" w:hAnsi="Arial"/>
          <w:sz w:val="16"/>
          <w:szCs w:val="16"/>
          <w:color w:val="auto"/>
        </w:rPr>
        <w:t>(“FASB ASC 605-25”). FASB ASU 2009-13 eliminates the residual method of allocation for multiple-deliverable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arrangements and requires that arrangement consideration be allocated at the inception of an arrangement to all deliverables using the relative selling price method. FASB ASU 2009-13 also establishes a selling price hierarchy for determining the selling price of a deliverable, which includes: (1) vendor-specific objective evidence (“VSOE”) if available; (2) third-party evidence (“TPE”) if VSOE is not available; and (3) best estimated selling price (“BESP”), if neither VSOE or TPE is available. Additionally, FASB ASU 2009-13 expands the disclosure requirements related to a vendor’s multiple-deliverable revenue arrangements. This guidance is effective for us on July 1, 2010; however, we elected to early adopt, as permitted by the guidance. As such, we have prospectively applied the provisions of FASB ASU 2009-13 to all revenue arrangements entered into or materially modified after July 1, 2009.</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Per the provisions of FASB ASU 2009-13, we allocate arrangement consideration to each deliverable in an arrangement based on its relative selling price. We determine selling price using VSOE, if it exists, otherwise TPE. If neither VSOE nor TPE of selling price exists for a unit of accounting, we use BESP. We generally expect that we will not be able to establish TPE due to the nature of the markets in which we compete, and, as such, we typically will determine selling price using VSOE or BESP.</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we can determine VSOE for the product or service. We define VSOE as a median price of recent standalone transactions that are priced within a narrow range, as defined by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TPE is determined based on the prices charged by our competitors for a similar deliverable when sold separately. As noted above, we are not able to use TPE as we are usually unable to obtain sufficient information on competitor pricing to substantiate TPE.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are unable to establish selling price using VSOE or TPE, and the order was received or materially modified after our FASB ASU 2009-13 implementation date of July 1, 2009, we will use BESP in our allocation of arrangement consideration. The objective of BESP is to determine the price at which we would transact if the product or service were sold by us on a standalone basis.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determination of BESP involves the consideration of several factors based on the specific facts and circumstances of each arrangement. Specifically, we consider the cost to produce the deliverable, the anticipated margin on that deliverable, the selling price and profit margin for similar parts, our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the adoption of FASB ASU 2009-13 on July 1, 2009, we have primarily used our ongoing pricing strategy and policies to determine BESP. We have corroborated the BESP determined by ongoing pricing strategy and policies with the cost to produce the deliverable, the anticipated margin on the deliverable, the selling price and profit margin for similar parts and the characteristics of the varying markets in which the deliverables are sold. We will determine BESP for deliverables in future agreements based on the specific facts and circumstances of each arrangement.</w:t>
      </w:r>
    </w:p>
    <w:p>
      <w:pPr>
        <w:spacing w:after="0" w:line="113"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We plan to analyze the selling prices used in our allocation of arrangement consideration at a minimum on an annual basis. Selling prices will be analyzed on a more frequent basis if a significant change in our business necessitates a more timely analysis or if we experience significant variances in our selling prices.</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deliverable within our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our control. We consider a deliverable to have standalone value if the item is sold separately by us or another vendor or if the item could be resold by the customer. Further, our revenue arrangements generally do not include a general right of return relative to delivered products.</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transactions involving the licensing of standalone software products and of software that is not incidental to the product, we recognize revenue when there is persuasive evidence of an arrangement, delivery of the software has occurred, the price is fixed or determinable, and collection of the related receivable is reasonably assured. Our software products are generally not deemed essential to the functionality of any hardware system and do not require installation by us or significant modification or customization of the software. If fair value of maintenance agreements related to standalone software products is obtained, the fair value of the maintenance agreement is recognized as revenue ratably over the term of each maintenance agreement.</w:t>
      </w:r>
    </w:p>
    <w:p>
      <w:pPr>
        <w:spacing w:after="0" w:line="11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 xml:space="preserve">In electing to early adopt FASB ASU 2009-13, we also early adopted FASB ASU No. 2009-14, </w:t>
      </w:r>
      <w:r>
        <w:rPr>
          <w:rFonts w:ascii="Arial" w:cs="Arial" w:eastAsia="Arial" w:hAnsi="Arial"/>
          <w:sz w:val="16"/>
          <w:szCs w:val="16"/>
          <w:i w:val="1"/>
          <w:iCs w:val="1"/>
          <w:color w:val="auto"/>
        </w:rPr>
        <w:t>Certain Revenue Arrangements That Include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Elements </w:t>
      </w:r>
      <w:r>
        <w:rPr>
          <w:rFonts w:ascii="Arial" w:cs="Arial" w:eastAsia="Arial" w:hAnsi="Arial"/>
          <w:sz w:val="16"/>
          <w:szCs w:val="16"/>
          <w:color w:val="auto"/>
        </w:rPr>
        <w:t>(“FASB ASU 2009-14”). FASB ASU 2009-14 amends the FASB ASC 985-605,</w:t>
      </w:r>
      <w:r>
        <w:rPr>
          <w:rFonts w:ascii="Arial" w:cs="Arial" w:eastAsia="Arial" w:hAnsi="Arial"/>
          <w:sz w:val="16"/>
          <w:szCs w:val="16"/>
          <w:i w:val="1"/>
          <w:iCs w:val="1"/>
          <w:color w:val="auto"/>
        </w:rPr>
        <w:t xml:space="preserve"> Software Revenue Recognition</w:t>
      </w:r>
      <w:r>
        <w:rPr>
          <w:rFonts w:ascii="Arial" w:cs="Arial" w:eastAsia="Arial" w:hAnsi="Arial"/>
          <w:sz w:val="16"/>
          <w:szCs w:val="16"/>
          <w:color w:val="auto"/>
        </w:rPr>
        <w:t>, to change the accounting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arrangements that include both tangible products and software elements, such that tangible products containing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both software and non-software components that function together to deliver the tangible product’s essential functionality are no longer within the scope of software revenue guidance. These arrangements are instead subject to the guidance in FASB ASC 605-25. We monitor all multiple-element arrangements to determine if they are in scope of FASB ASU 2009-14, and when applicable will apply all relevant criteria per guidance. The adoption of FASB ASU 2009-14 has not had a material impact on our financial position or results of operations.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multiple-element arrangements entered into prior to July 1, 2009, in accordance with FASB ASC 605-25, we defer the greater of the fair value of any undelivered elements of the contract or the portion of the sales price that is not payable until the undelivered elements are delivered.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 must be considered probable and substantially within our control. Fair value is generally limited to the price charged when the same or similar element is sold separately or, if applicable, the stated substantive renewal rate in the agreement. For multiple-element arrangements for which we do not have fair value for the undelivered elements, we either defer all revenue until the order ships complete, or in the event where a maintenance arrangement is the only undelivered element, we generally amortize the fair value of maintenance agreement over the maintenance period.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also engage in long-term contracts for development, production and services activities which we account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We establish billing terms at the time project deliverables and milestones are agreed. Normal payment terms are thirty days from invoice date. Revenues recognized in excess of the amounts invoiced to clients are classified as unbilled receivables. The risk to us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 would directly affect operating income. For all types of contracts, we recognize anticipated contract losses as soon as they become known and estimable. Out-of-pocket expenses that are reimbursable by the customer are included in revenue and cost of revenue.</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Our estimates are based upon the professional knowledge and experience of our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do not provide our customers with rights of product return, other than those related to warranty provisions that permit repair or replacement of defective goods. We accrue for anticipated warranty costs upon product shipment. Revenues from product royalties are recognized upon invoicing to the customer unless another reasonable and reliable method of recognition is more appropriate. Additionally, all revenues are reported net of government assessed taxes (e.g. sales taxes or value-added taxes).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we use consistent methodologies to evaluate inventory for net realizable value. We reduce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 AND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CQUIRED</w:t>
      </w:r>
      <w:r>
        <w:rPr>
          <w:rFonts w:ascii="Arial" w:cs="Arial" w:eastAsia="Arial" w:hAnsi="Arial"/>
          <w:sz w:val="18"/>
          <w:szCs w:val="18"/>
          <w:i w:val="1"/>
          <w:iCs w:val="1"/>
          <w:color w:val="auto"/>
        </w:rPr>
        <w:t xml:space="preserve">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Acquired intangible assets result from our various business acquisitions (see Note D) and certain licensed technologies, and consist of identifiable intangible assets, including completed technology, licensing agreements, customer relationships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 or otherwise used up.</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w:t>
      </w:r>
      <w:r>
        <w:rPr>
          <w:rFonts w:ascii="Arial" w:cs="Arial" w:eastAsia="Arial" w:hAnsi="Arial"/>
          <w:sz w:val="16"/>
          <w:szCs w:val="16"/>
          <w:i w:val="1"/>
          <w:iCs w:val="1"/>
          <w:color w:val="auto"/>
        </w:rPr>
        <w:t>Intangibles</w:t>
      </w:r>
      <w:r>
        <w:rPr>
          <w:rFonts w:ascii="Arial" w:cs="Arial" w:eastAsia="Arial" w:hAnsi="Arial"/>
          <w:sz w:val="16"/>
          <w:szCs w:val="16"/>
          <w:color w:val="auto"/>
        </w:rPr>
        <w:t>-</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(“FASB ASC 350”). Goodwill is assessed for impairment at least annually, on a reporting unit basis, or more frequently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Long-lived assets primarily include property and equipment and acquired intangible assets. We periodically evaluate our long-lived assets for events and circumstances that indicate a potential impairment in accordance with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360”).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 based on a discounted cash flow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RODUCT</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ARRANTY</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product sales generally include a standard 12 month hardware warranty. At time of product shipment, we accrue for the estimated cost to repair or replace potentially defective products. Estimated warranty costs are based upon prior actual warranty costs for substantially similar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We record a valuation allowance against net deferred tax assets if, based upon the available evidence, it is more likely than not that some or all of the deferred tax assets will not be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interest and penalties accrued on any unrecognized tax benefits as a component of income tax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TOCK</w:t>
      </w:r>
      <w:r>
        <w:rPr>
          <w:rFonts w:ascii="Arial" w:cs="Arial" w:eastAsia="Arial" w:hAnsi="Arial"/>
          <w:sz w:val="18"/>
          <w:szCs w:val="18"/>
          <w:i w:val="1"/>
          <w:iCs w:val="1"/>
          <w:color w:val="auto"/>
        </w:rPr>
        <w:t>-B</w:t>
      </w:r>
      <w:r>
        <w:rPr>
          <w:rFonts w:ascii="Arial" w:cs="Arial" w:eastAsia="Arial" w:hAnsi="Arial"/>
          <w:sz w:val="14"/>
          <w:szCs w:val="14"/>
          <w:i w:val="1"/>
          <w:iCs w:val="1"/>
          <w:color w:val="auto"/>
        </w:rPr>
        <w:t>ASED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OMPENSATION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Stock-based compensation cost is measured at the grant date based on the value of the award and is recognized as expense over the service period. Our determination of fair value of stock-based payment awards is affected by our stock price as well as assumptions regarding a number of highly complex and subjective variables. These variables include, but are not limited to our expected stock price volatility over the term of the awards, the expected forfeiture rate of the awards and the actual and projected employee stock option exercise behaviors. Any changes in these assumptions may materially affect the estimated fair value of the stock-based award. We have elected under FASB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 recognize the fair value of awards with pro-rata vesting on a straight-line basis over the requisite service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 xml:space="preserve">In December 2010, the FASB issued ASU 2010-28, </w:t>
      </w:r>
      <w:r>
        <w:rPr>
          <w:rFonts w:ascii="Arial" w:cs="Arial" w:eastAsia="Arial" w:hAnsi="Arial"/>
          <w:sz w:val="18"/>
          <w:szCs w:val="18"/>
          <w:i w:val="1"/>
          <w:iCs w:val="1"/>
          <w:color w:val="auto"/>
        </w:rPr>
        <w:t>When to Perform Step 2 of the Goodwill Impairment Test for Reporting Units with Zero or 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Carrying Amounts</w:t>
      </w:r>
      <w:r>
        <w:rPr>
          <w:rFonts w:ascii="Arial" w:cs="Arial" w:eastAsia="Arial" w:hAnsi="Arial"/>
          <w:sz w:val="18"/>
          <w:szCs w:val="18"/>
          <w:color w:val="auto"/>
        </w:rPr>
        <w:t>, a consensus of the FASB Emerging Issues Task Force (Issue No. 10-A). The guidance modifies Step 1 of the goodwill impairment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with zero or negative carrying amounts. For those reporting units, an entity is required to perform Step 2 of the goodwill impairment test if it is more likely than not that a goodwill impairment exists. This guidance is effective for us on July 1, 2011 and it is not expected to have a material impact to our consolidated financial statements.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 (Topic 805), Disclosure of Supplementary Pro 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 consensus of the FASB Emerging Issues Task Force (Issue No. 10-G). This guidance specifies that if a public entity presents comparative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entity (acquirer) should disclose revenue and earnings of the combined entity as though the business combination(s) that occurred during the current year had occurred as of the beginning of the comparable prior annual reporting period only. It also expands the supplemental pro forma disclosures under Topic 805 to include a description of the nature and amount of material, nonrecurring pro forma adjustments directly attributable to the business combination included in the reported pro forma revenue and earnings. This guidance is effective prospectively for material business combinations for which the acquisition date is on or after July 1, 2011.</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exposure to interest rate risk is related primarily to our investment portfolio and our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 Our line of credit was unused at June 30,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these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Mercury Computer Systems, Inc. and subsidiaries as of June 30, 2011 and 2010, and the related consolidated statements of operations, shareholders’ equity and cash flows for each of the years in the three-year period ended June 30, 2011. In connection with our audits of the consolidated financial statements, we have also audited financial statement Schedule II. We also have audited Mercury Computer Systems, Inc.’s internal control over financial reporting as of June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Mercury Computer Systems, Inc.’s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these consolidated financial statements and financial statement schedule and an opinion on the Company’s internal control over financial reporting based on our audits.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Mercury Computer Systems, Inc. and subsidiaries as of June 30, 2011 and 2010, and the results of their operations and their cash flows for each of the years in the three-year period ended June 30, 2011,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Computer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Systems, Inc. maintained, in all material respects, effective internal control over financial reporting as of June 30, 2011,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Mercury Computer Systems, Inc. and subsidiaries acquired LNX Corporation during fiscal year 2011, and management excluded from its assessment of the effectiveness of Mercury Computer Systems, Inc.’s internal control over financial reporting as of June 30, 2011 LNX Corporation’s internal control over financial reporting associated with total assets of 12 percent and total revenues of 2 percent included in the consolidated financial statements of Mercury Computer Systems, Inc. and subsidiaries as of and for the year ended June 30, 2011. Our audit of internal control over financial reporting of Mercury Computer Systems, Inc. and subsidiaries also excluded an evaluation of the internal control over financial reporting of LNX Corporation.</w:t>
      </w:r>
    </w:p>
    <w:p>
      <w:pPr>
        <w:spacing w:after="0" w:line="1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As discussed in Note B to the consolidated financial statements, the Company has changed its method of accounting for revenue arrangements with multiple-deliverables entered into or substantially modified after July 1, 2009 to adopt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18,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tcPr>
          <w:p>
            <w:pPr>
              <w:spacing w:after="0"/>
              <w:rPr>
                <w:sz w:val="24"/>
                <w:szCs w:val="24"/>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660" w:type="dxa"/>
            <w:vAlign w:val="bottom"/>
          </w:tcPr>
          <w:p>
            <w:pPr>
              <w:spacing w:after="0"/>
              <w:rPr>
                <w:sz w:val="24"/>
                <w:szCs w:val="24"/>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6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Receivables related to marketable securities</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Accounts receivable, net of allowance for doubtful accounts of $17 and $163 at June 30, 2011 and 2010,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240,184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145,854</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355,562</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36,206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34,605</w:t>
            </w:r>
          </w:p>
        </w:tc>
        <w:tc>
          <w:tcPr>
            <w:tcW w:w="100" w:type="dxa"/>
            <w:vAlign w:val="bottom"/>
          </w:tcPr>
          <w:p>
            <w:pPr>
              <w:spacing w:after="0"/>
              <w:rPr>
                <w:sz w:val="19"/>
                <w:szCs w:val="19"/>
                <w:color w:val="auto"/>
              </w:rPr>
            </w:pPr>
          </w:p>
        </w:tc>
      </w:tr>
      <w:tr>
        <w:trPr>
          <w:trHeight w:val="218"/>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Common stock, $.01 par value; 85,000,000 shares authorized; 29,143,738 and 22,883,314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60" w:type="dxa"/>
            <w:vAlign w:val="bottom"/>
            <w:shd w:val="clear" w:color="auto" w:fill="CCEEFF"/>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June 30, 2011 and 2010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213,777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110,270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301,436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179,112</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355,562</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199,830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41,548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Impairment of goodwill and long-lived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104,914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17,313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18,692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18,507</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(Loss) gain on sale of discontinued operations, net of income taxes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23,008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18,442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28,358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for sale of businesses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foreign currency translation adjustments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18,755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28,643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lated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4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Compre-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9"/>
                <w:szCs w:val="9"/>
                <w:color w:val="auto"/>
              </w:rPr>
            </w:pPr>
          </w:p>
        </w:tc>
        <w:tc>
          <w:tcPr>
            <w:tcW w:w="90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9"/>
                <w:szCs w:val="9"/>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hensive</w:t>
            </w:r>
          </w:p>
        </w:tc>
        <w:tc>
          <w:tcPr>
            <w:tcW w:w="12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Shares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Earnings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June 30,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21,972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$100,268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$40,575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securities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 currency translation adjustments for sales of businesses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currency translation adjustments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Balance June 30, 2009</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22,376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$104,843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$39,313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28,358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unrealized loss on securities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Balance June 30, 2010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22,883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$ 110,270</w:t>
            </w:r>
          </w:p>
        </w:tc>
        <w:tc>
          <w:tcPr>
            <w:tcW w:w="1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$67,671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942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Follow-on public stock offering</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5,578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employee stock plan awards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investments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29,144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213,777</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8"/>
              </w:rPr>
              <w:t>For The Years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18,442</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28,358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8,348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Provision (benefit) for deferred income taxes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Non-cash 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Impairment of goodwill and long-lived assets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Loss (gain) on sale of discontinued operations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(11,157)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non-cash income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(983)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of businesses acquired and disposed of:</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(15,256)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2,514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income taxes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(2,120)</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(12,668)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revenues and customer advances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(3,696)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86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31,474</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15,708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(29,508)</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18,025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32,025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199,099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(138,583)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(8,825)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Payments for acquired intangible assets</w:t>
            </w: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(2,375)</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proceeds from sale of discontinued operations, net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redemption of insurance policies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(22,683)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23,615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66,946</w:t>
            </w:r>
          </w:p>
        </w:tc>
        <w:tc>
          <w:tcPr>
            <w:tcW w:w="0" w:type="dxa"/>
            <w:vAlign w:val="bottom"/>
          </w:tcPr>
          <w:p>
            <w:pPr>
              <w:spacing w:after="0"/>
              <w:rPr>
                <w:sz w:val="1"/>
                <w:szCs w:val="1"/>
                <w:color w:val="auto"/>
              </w:rPr>
            </w:pPr>
          </w:p>
        </w:tc>
      </w:tr>
      <w:tr>
        <w:trPr>
          <w:trHeight w:val="156"/>
        </w:trPr>
        <w:tc>
          <w:tcPr>
            <w:tcW w:w="89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follow-on public stock offering, net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93,605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employee stock plans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3,690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(Payments) borrowings under line of credit, net</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(33,364)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of deferred financing costs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Payments of deferred offering costs</w:t>
            </w: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Payments of principal under notes payable</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proceeds of capital lease obligations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(298)</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97,800</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8"/>
              </w:rPr>
              <w:t>(30,594)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(90,897)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106,634</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9,291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(12,095)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56,241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46,950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59,045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4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162,875</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56,241</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(received) during the period for:</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2,587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Supplemental disclosures—non-cash activities: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restricted stock awards to employees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6,219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intangible assets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lease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Mercury Computer Systems, Inc. (the “Company” or “Mercury”) designs, manufactures and markets commercially-developed, high-performance embedded, real-time digital signal and image processing sub-systems and software for specialized defense and commercial computing markets. The Company’s solutions play a critical role in a wide range of applications, transforming sensor data to information for analysis and interpretation. In military reconnaissance and surveillance platforms, the Company’s sub-systems process real-time radar, video, sonar and signals intelligence data. The Company provides microwave products for enhanced communications capabilities in military and commercial applications. Additionally, the Company entered the prime defense contracting market space in fiscal 2008 through the creation of its wholly-owned subsidiary, Mercury Federal Systems, Inc. (“MFS”), to focus on reaching the federal intelligence and homeland security agencies.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The Company’s products or solutions have been deployed in approximately 300 different programs with over 25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intercompany transactions and balances have been eliminated. The consolidated financial statements, excluding the fiscal 2009 statement of cash flows, were restated to reflect the discontinuation and sale of the Biotech business (“Biotech”), the Visage Imaging (“VI”) business and the Visualization Sciences Group (“VSG”)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 The results of operations of the acquired LNX Corporation (“LNX”) have been aggregated with the Advanced Computing Solutions (“ACS”) segment and are included in the Company’s consolidated results since the January 12, 2011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2011 was 50% of total revenues. Approximately 30% to 50% of the Company’s multiple-deliverable revenue arrangements ship complete within the same quarter.</w:t>
      </w:r>
    </w:p>
    <w:p>
      <w:pPr>
        <w:spacing w:after="0" w:line="143" w:lineRule="exact"/>
        <w:rPr>
          <w:sz w:val="20"/>
          <w:szCs w:val="20"/>
          <w:color w:val="auto"/>
        </w:rPr>
      </w:pPr>
    </w:p>
    <w:p>
      <w:pPr>
        <w:ind w:right="700" w:firstLine="456"/>
        <w:spacing w:after="0" w:line="286" w:lineRule="auto"/>
        <w:rPr>
          <w:sz w:val="20"/>
          <w:szCs w:val="20"/>
          <w:color w:val="auto"/>
        </w:rPr>
      </w:pPr>
      <w:r>
        <w:rPr>
          <w:rFonts w:ascii="Arial" w:cs="Arial" w:eastAsia="Arial" w:hAnsi="Arial"/>
          <w:sz w:val="16"/>
          <w:szCs w:val="16"/>
          <w:color w:val="auto"/>
        </w:rPr>
        <w:t xml:space="preserve">Effective July 1, 2009, the Company adopted the FASB Accounting Standards Update (“ASU”) No. 2009-13 (“FASB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which amends FASB ASC Topic 605-25,</w:t>
      </w:r>
      <w:r>
        <w:rPr>
          <w:rFonts w:ascii="Arial" w:cs="Arial" w:eastAsia="Arial" w:hAnsi="Arial"/>
          <w:sz w:val="16"/>
          <w:szCs w:val="16"/>
          <w:i w:val="1"/>
          <w:iCs w:val="1"/>
          <w:color w:val="auto"/>
        </w:rPr>
        <w:t xml:space="preserve"> Revenue Recognition Multiple-Element Arrangements </w:t>
      </w:r>
      <w:r>
        <w:rPr>
          <w:rFonts w:ascii="Arial" w:cs="Arial" w:eastAsia="Arial" w:hAnsi="Arial"/>
          <w:sz w:val="16"/>
          <w:szCs w:val="16"/>
          <w:color w:val="auto"/>
        </w:rPr>
        <w:t>(“FASB ASC 605-</w:t>
      </w:r>
    </w:p>
    <w:p>
      <w:pPr>
        <w:spacing w:after="0" w:line="288" w:lineRule="auto"/>
        <w:rPr>
          <w:sz w:val="20"/>
          <w:szCs w:val="20"/>
          <w:color w:val="auto"/>
        </w:rPr>
      </w:pPr>
      <w:r>
        <w:rPr>
          <w:rFonts w:ascii="Arial" w:cs="Arial" w:eastAsia="Arial" w:hAnsi="Arial"/>
          <w:sz w:val="16"/>
          <w:szCs w:val="16"/>
          <w:color w:val="auto"/>
        </w:rPr>
        <w:t>25”). FASB ASU 2009-13 eliminates the residual method of allocation for multiple-deliverable revenue arrangements and requires that arrangement consideration be allocated at the inception of an arrangement to all deliverables using the relative selling price method. FASB ASU 2009-13 also establishes a selling price hierarchy for determining the selling price of a deliverable, which includes: (1) vendor-specific objective evidence (“VSOE”) if available; (2) third-party evidence (“TPE”) if VSOE is not available; and (3) best estimated selling price (“BESP”), if neither VSOE or TPE is available. Additionally, FASB ASU 2009-13 expands the disclosure requirements related to a vendor’s multiple-deliverable revenue arrangements. This guidance is effective for the Company on July 1, 2010; however, the Company elected to early adopt, as permitted by the guidance. As such, the Company has prospectively applied the provisions of FASB ASU 2009-13 to all revenue arrangements entered into or materially modified after July 1, 2009.</w:t>
      </w:r>
    </w:p>
    <w:p>
      <w:pPr>
        <w:spacing w:after="0" w:line="12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Per the provisions of FASB ASU 2009-13, the Company allocates arrangement consideration to each deliverable in an arrangement based on its relative selling price. The Company determines selling price using VSOE, if it exists, otherwise TPE. If neither VSOE nor TPE of selling price exists for a unit of accounting, the Company uses BESP. The Company generally expects that it will not be able to establish TPE due to the nature of the markets in which the Company competes, and, as such, the Company typically will determine selling price using VSOE or BESP.</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TPE is determined based on the prices charged by competitors of the Company for a similar deliverable when sold separately. As noted above, the Company does not use TPE as the Company is usually unable to obtain sufficient information on competitor pricing to substantiate TPE.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Company is unable to establish selling price using VSOE or TPE, and the order was received or materially modified after the Company’s FASB ASU 2009-13 implementation date of July 1, 2009, the Company will use BESP in its allocation of arrangement consideration. The objective of BESP is to determine the price at which the Company would transact if the product or service were sold by the Company on a standalone basis.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Since the adoption of FASB ASU 2009-13 on July 1, 2009, the Company has primarily used its ongoing pricing strategy and policies to determine BESP. The Company has corroborated the BESP determined by ongoing pricing strategy and policies with the cost to produce the deliverable, the anticipated margin on the deliverable, the selling price and profit margin for similar parts and the characteristics of the varying markets in which the deliverables are sold. The Company will determine BESP for deliverables in future agreements based on the specific facts and circumstances of each arrangement.</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plans to analyze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transactions involving the licensing of standalone software products and of software that is not incidental to the product, the Company recognizes revenue when there is persuasive evidence of an arrangement, delivery of the software has occurred, the price is fixed or determinable, and collection of the related receivable is reasonably assured. The Company’s software products are generally not deemed essential to the functionality of any hardware system and do not require installation by the Company or significant modification or customization of the software. If fair value of maintenance agreements related to standalone software products is obtained, the fair value of the maintenance agreement is recognized as revenue ratably over the term of each maintenance agreement.</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electing to early adopt FASB ASU 2009-13, the Company also early adopted FASB ASU No. 2009-14, </w:t>
      </w:r>
      <w:r>
        <w:rPr>
          <w:rFonts w:ascii="Arial" w:cs="Arial" w:eastAsia="Arial" w:hAnsi="Arial"/>
          <w:sz w:val="16"/>
          <w:szCs w:val="16"/>
          <w:i w:val="1"/>
          <w:iCs w:val="1"/>
          <w:color w:val="auto"/>
        </w:rPr>
        <w:t>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Elements </w:t>
      </w:r>
      <w:r>
        <w:rPr>
          <w:rFonts w:ascii="Arial" w:cs="Arial" w:eastAsia="Arial" w:hAnsi="Arial"/>
          <w:sz w:val="16"/>
          <w:szCs w:val="16"/>
          <w:color w:val="auto"/>
        </w:rPr>
        <w:t>(“FASB ASU 2009-14”). FASB ASU 2009-14 amends the FASB ASC 985-605,</w:t>
      </w:r>
      <w:r>
        <w:rPr>
          <w:rFonts w:ascii="Arial" w:cs="Arial" w:eastAsia="Arial" w:hAnsi="Arial"/>
          <w:sz w:val="16"/>
          <w:szCs w:val="16"/>
          <w:i w:val="1"/>
          <w:iCs w:val="1"/>
          <w:color w:val="auto"/>
        </w:rPr>
        <w:t xml:space="preserve"> Software Revenue Recognition</w:t>
      </w:r>
      <w:r>
        <w:rPr>
          <w:rFonts w:ascii="Arial" w:cs="Arial" w:eastAsia="Arial" w:hAnsi="Arial"/>
          <w:sz w:val="16"/>
          <w:szCs w:val="16"/>
          <w:color w:val="auto"/>
        </w:rPr>
        <w:t>, to change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These arrangements are instead subject to the guidance in FASB ASC 605-25. The Company monitors all multiple-element arrangements to determine if they are in scope of FASB ASU 2009-14, and when applicable will apply all relevant criteria per guidance. The adoption of FASB ASU 2009-14 has not had a material impact on the Company’s financial position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For multiple-element arrangements entered into prior to July 1, 2009, in accordance with FASB ASC 605-25, the Company defers the greater of the fair value of any undelivered elements of the contract or the portion of the sales price that is not payable until the undelivered elements are delivered.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 must be considered probable and substantially within the Company’s control. Fair value is generally limited to the price charged when the same or similar element is sold separately or, if applicable, the stated substantive renewal rate in the agreement. For multiple-element arrangements for which the Company does not have fair value for the undelivered elements, it either defers all revenue until the order ships complete, or in the event a maintenance arrangement is the only undelivered element, it generally amortizes the fair value of maintenance agreement over the maintenance period.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Normal payment terms are thirty days from invoice date.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 would directly affect operating income. For all types of contracts, the Company recognizes anticipated contract losses as soon as they become known and estimable. Out-of-pocket expenses that are reimbursable by the customer are included in revenue and cost of revenue.</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unless another reasonable and reliable method of recognition is more appropriate. Additionally, all revenues are reported net of government assessed taxes (e.g. sales taxes or value-added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5" w:lineRule="auto"/>
        <w:rPr>
          <w:sz w:val="20"/>
          <w:szCs w:val="20"/>
          <w:color w:val="auto"/>
        </w:rPr>
      </w:pPr>
      <w:r>
        <w:rPr>
          <w:rFonts w:ascii="Arial" w:cs="Arial" w:eastAsia="Arial" w:hAnsi="Arial"/>
          <w:sz w:val="15"/>
          <w:szCs w:val="15"/>
          <w:color w:val="auto"/>
        </w:rPr>
        <w:t>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remaining maturities of 90 days or less at the date of purchase, are carried at fair market value which approximates cost. The Company also has restricted cash which is classified as a non-current asset due to the length of the restriction.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ECEIVALBES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 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ARKETABLE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classifies investments in marketable securities, as available-for-sale at the time of purchase and periodically re-evaluates such classification. Securities classified as available-for-sale are reported at fair market value. Unrealized gains or losses on available-for-sale securities are included, net of tax, in accumulated other comprehensive income until disposition of the security. There were no securities classified as held-to-maturity as of June 30, 2011 and 2010.</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June 30, 2010, the Company exercised the put option to sell its remaining $18,025 auction rated securities (“ARS”) balance to UBS at par value. The transaction settled on July 1, 2010.</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fair value of cash equivalents and receivable related to marketable securities represents the quoted market prices at the balance sheet dates. Debt securities with maturities at date of purchase of greater than 90 days but less than one year to maturity at a particular balance sheet date are classified as short-term marketable securities. Debt securities that have remaining maturities of greater than one year at a particular balance sheet date are classified as long-term marketable securities. There were no debt securities as of June 30,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cash equivalents, marketable securities and accounts receivable. The Company places its cash and cash equivalents with financial institutions that management believes are of high credit quality. At June 30, 2011 and 2010, the Company had approximately $162,869 and $56,199, respectively, of cash and cash equivalents on deposit or invested with its financial and lending institutions. Additionally, the Company had an $18,025 receivable balance related to marketable securities from UBS as of June 30, 2010.</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provides credit to customers in the normal course of business. The Company performs ongoing credit evaluations of its customers’ financial condition and limits the amount of credit extended when deemed necessary but generally does not require collateral. At June 30, 2011, five customers accounted for 74% of the Company’s receivables. At June 30, 2010, nine customers accounted for 80% of the Company’s receivables.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Goodwill is assessed for impairment at least annually, on a reporting unit basis, or more frequently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Acquired intangible assets result from the Company’s various business acquisitions (see Note D) and certain licensed technologies, and consist of identifiable intangible assets, including completed technology, licensing agreements, customer relationships, backlog,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 or otherwise used 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Long-lived assets primarily include property and equipment and acquired intangible assets. The Company periodically evaluates its long-lived assets for events and circumstances that indicate a potential impairment in accordance with FASB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13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Expenditures for major software purchases and software developed for internal use are capitalized and depreciated using the straight-line method over the estimated useful lives of the related assets, which are generally three to five years. For software developed for internal use, all external direct costs for material and services and certain payroll and related fringe benefit costs are capitalized in accordance with FASB ASC 350. During fiscal 2011, the Company capitalized $1,000 of software development costs. Software development costs qualifying for capitalization were not material for the years ended June 30, 2010 and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expenses advertising costs as incurred. During fiscal 2011, 2010 and 2009, advertising expenses totaled $259, $255 and $148, respectively, and were included in selling, general and administrative expense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interest and penalties accrued on any unrecognized tax benefits as a component of income tax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OSS</w:t>
      </w:r>
      <w:r>
        <w:rPr>
          <w:rFonts w:ascii="Arial" w:cs="Arial" w:eastAsia="Arial" w:hAnsi="Arial"/>
          <w:sz w:val="18"/>
          <w:szCs w:val="18"/>
          <w:b w:val="1"/>
          <w:bCs w:val="1"/>
          <w:color w:val="auto"/>
        </w:rPr>
        <w:t>)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Basic net earnings (loss) per share is calculated by dividing net income (loss) by the weighted-average number of common shares outstanding during the period. Diluted net earnings (loss) per share is calculated by dividing net income (loss) by the sum of the weighted-average number of common shares outstanding plus additional common shares that would have been outstanding if potential dilutive common shares had been issued for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on a straight-line basis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the Company’s stock price, expected term of the option, risk-free interest rate and expected dividends. The fair value of restricted stock awards are based on the stock price on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Comprehensive income consists of net income (loss) and other comprehensive income, which includes foreign currency translation adjustments and unrealized gains and losses on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50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foreign currency translation adjustments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$1,253</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net unrealized gains on investments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1,255</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Local currencies are used as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Effective March 31, 2010, FASB amended FASB ASC 350, to require an entity to disclose accumulated goodwill impairment losses in the rollforward of goodwill for years beginning after December 15, 2008. The FASB staff clarified that the intent of the amendment was to include accumulated goodwill impairment losses in the rollforward from the adoption date of FASB ASC 350. There are no accumulated goodwill impairment losses at June 30, 2011.</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Effective July 1, 2010, the Company adopted FASB ASU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This ASU increases the prominence of other comprehensive income in financial statements. Under this ASU, an entity will have the option to present the components of net income and comprehensive income in either one or two consecutive financial statements. The ASU eliminates the option in U.S. generally accepted accounting principles to present other comprehensive income in the statement of changes in equity. An entity should apply the ASU retrospectively and early adoption is permitted. This guidance is effective for the Company on January 1, 2012; however, the Company has elected to early adopt as permitted by the guidance. As such, effective June 2011, the Company has presented the components of net income and comprehensive income in one consecutive financial statement. Such adoption did not have a material impact on the Company’s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In December 2010, the FASB issued ASU 2010-28, </w:t>
      </w:r>
      <w:r>
        <w:rPr>
          <w:rFonts w:ascii="Arial" w:cs="Arial" w:eastAsia="Arial" w:hAnsi="Arial"/>
          <w:sz w:val="18"/>
          <w:szCs w:val="18"/>
          <w:i w:val="1"/>
          <w:iCs w:val="1"/>
          <w:color w:val="auto"/>
        </w:rPr>
        <w:t>When to Perform Step 2 of the Goodwill Impairment Test for Reporting Units with Zero or 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Carrying Amounts</w:t>
      </w:r>
      <w:r>
        <w:rPr>
          <w:rFonts w:ascii="Arial" w:cs="Arial" w:eastAsia="Arial" w:hAnsi="Arial"/>
          <w:sz w:val="18"/>
          <w:szCs w:val="18"/>
          <w:color w:val="auto"/>
        </w:rPr>
        <w:t>, a consensus of the FASB Emerging Issues Task Force (Issue No. 10-A). The guidance modifies Step 1 of the goodwill impairment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with zero or negative carrying amounts. For those reporting units, an entity is required to perform Step 2 of the goodwill impairment test if it is more likely than not that a goodwill impairment exists. This guidance is effective for the Company on July 1, 2011 and it is not expected to have a material impact to the Company’s consolidated financial statements.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December 2010, the FASB issued ASU 2010-29, </w:t>
      </w:r>
      <w:r>
        <w:rPr>
          <w:rFonts w:ascii="Arial" w:cs="Arial" w:eastAsia="Arial" w:hAnsi="Arial"/>
          <w:sz w:val="18"/>
          <w:szCs w:val="18"/>
          <w:i w:val="1"/>
          <w:iCs w:val="1"/>
          <w:color w:val="auto"/>
        </w:rPr>
        <w:t>Business Combinations (Topic 805), Disclosure of Supplementary Pro Forma Information for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 consensus of the FASB Emerging Issues Task Force (Issue No. 10-G). This guidance specifies that if a public entity presents comparative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entity (acquirer) should disclose revenue and earnings of the combined entity as though the business combination(s) that occurred during the current year had occurred as of the beginning of the comparable prior annual reporting period only. It also expands the supplemental pro forma disclosures under Topic 805 to</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include a description of the nature and amount of material, nonrecurring pro forma adjustments directly attributable to the business combination included in the reported pro forma revenue and earnings. This guidance is effective prospectively for material business combinations for which the acquisition date is on or after July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January 12, 2011, the Company entered into a stock purchase agreement (the “Stock Purchase Agreement”) with LNX, the holders of the equity interests of LNX, and Lamberto Raffaelli, as the sellers’ representative (collectively, the “Sellers”).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 LNX is included in the Advanced Computing Solutions (“ACS”) business unit.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acquired LNX for a purchase price of $31,000 paid in cash, plus an earnout of up to $5,000 payable in cash, based upon achievement of financial targets during calendar years 2011 and 2012. The purchase price was subject to post-closing adjustment based on a determination of LNX’s closing net working capital. The Company funded the purchase price with cash on hand. The Company acquired LNX free of bank debt. Immediately prior to the consummation of the acquisition, LNX divested its non-defense global procurement business. The Company determined the fair value of the contingent consideration as part of the LNX acquisition based on the probability of LNX attaining the specified financial targets and assigned a fair value of $4,828 to the liability. As of June 30, 2011, the Company expects to achieve the financial targets and to pay the full earnout. In accordance with the Stock Purchase Agreement, $6,200 of the purchase price was placed into escrow to support the post-closing working capital adjustment and the sellers’ indemnification obligations, of which $1,523 was released to the Sellers and $27 was released to the Company in March 2011, upon the final calculation of net working capital. The $4,650 remaining in escrow is available for indemnification claims through January 2013.</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Following the acquisition, the Company’s LNX subsidiary became a guarantor under the Company’s Loan Agreement and granted a security interest in its assets in favor of the Lender (see Note 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net purchase price for the acquisition of LNX:</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Net 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Consideration transferred</w:t>
            </w:r>
          </w:p>
        </w:tc>
        <w:tc>
          <w:tcPr>
            <w:tcW w:w="5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Cash paid at closing</w:t>
            </w:r>
          </w:p>
        </w:tc>
        <w:tc>
          <w:tcPr>
            <w:tcW w:w="5640" w:type="dxa"/>
            <w:vAlign w:val="bottom"/>
            <w:gridSpan w:val="2"/>
          </w:tcPr>
          <w:p>
            <w:pPr>
              <w:ind w:left="5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adjustment</w:t>
            </w: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Less cash acquired</w:t>
            </w:r>
          </w:p>
        </w:tc>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net of cash acquired</w:t>
            </w:r>
          </w:p>
        </w:tc>
        <w:tc>
          <w:tcPr>
            <w:tcW w:w="5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Fair value of contingent consideration</w:t>
            </w:r>
          </w:p>
        </w:tc>
        <w:tc>
          <w:tcPr>
            <w:tcW w:w="5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5640" w:type="dxa"/>
            <w:vAlign w:val="bottom"/>
            <w:gridSpan w:val="2"/>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80" w:type="dxa"/>
            <w:vAlign w:val="bottom"/>
            <w:vMerge w:val="restart"/>
          </w:tcPr>
          <w:p>
            <w:pPr>
              <w:jc w:val="right"/>
              <w:ind w:right="4192"/>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preliminary allocation of the net purchase price for LNX:</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Net Purchase</w:t>
            </w:r>
          </w:p>
        </w:tc>
      </w:tr>
      <w:tr>
        <w:trPr>
          <w:trHeight w:val="149"/>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Price</w:t>
            </w:r>
          </w:p>
        </w:tc>
      </w:t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Allocation</w:t>
            </w:r>
          </w:p>
        </w:tc>
      </w:tr>
      <w:tr>
        <w:trPr>
          <w:trHeight w:val="210"/>
        </w:trPr>
        <w:tc>
          <w:tcPr>
            <w:tcW w:w="20" w:type="dxa"/>
            <w:vAlign w:val="bottom"/>
          </w:tcPr>
          <w:p>
            <w:pPr>
              <w:spacing w:after="0"/>
              <w:rPr>
                <w:sz w:val="18"/>
                <w:szCs w:val="18"/>
                <w:color w:val="auto"/>
              </w:rPr>
            </w:pPr>
          </w:p>
        </w:tc>
        <w:tc>
          <w:tcPr>
            <w:tcW w:w="960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21,905</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Deferred taxes &amp; other non-current liabilities</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(6,238)</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Less cash acquired</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amounts above represent the fair value estimates as of June 30, 2011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 There were no material adjustments to the initial fair value estimates.</w:t>
      </w:r>
    </w:p>
    <w:p>
      <w:pPr>
        <w:spacing w:after="0" w:line="8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goodwill of $21,905 arising from the LNX acquisition consists largely of the synergies and expansion of the Company’s service offerings related to next generation radio frequency receivers for signal intelligence, communication intelligence as well as electronic attack applications expected from combining the operations of the Company and LNX.</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incurred $412 in acquisition costs and other related expenses during fiscal 2011, which were expensed as incurred.</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fiscal 2011, LNX revenues and net income included in the Company’s consolidated statements of operations was immaterial. Pro forma results of operations have not been presented due to the immaterial nature of these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the years ended June 30,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Balance at June 30,</w:t>
            </w:r>
          </w:p>
        </w:tc>
        <w:tc>
          <w:tcPr>
            <w:tcW w:w="842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2009 and 2010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gridSpan w:val="2"/>
          </w:tcPr>
          <w:p>
            <w:pPr>
              <w:ind w:left="420"/>
              <w:spacing w:after="0"/>
              <w:rPr>
                <w:sz w:val="20"/>
                <w:szCs w:val="20"/>
                <w:color w:val="auto"/>
              </w:rPr>
            </w:pPr>
            <w:r>
              <w:rPr>
                <w:rFonts w:ascii="Arial" w:cs="Arial" w:eastAsia="Arial" w:hAnsi="Arial"/>
                <w:sz w:val="18"/>
                <w:szCs w:val="18"/>
                <w:color w:val="auto"/>
              </w:rPr>
              <w:t>Goodwill arising from the LNX acquisition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5"/>
              </w:rPr>
              <w:t>Balance at June 30,</w:t>
            </w: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79,558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fiscal 2011, there were no triggering events, as defined by FASB ASC 350, which required an interim goodwill impairment test. The Company performs its annual goodwill impairment test in the fourth quarter of each fiscal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has determined that its reporting units are the same as its operating segments, which, following the divestiture of the VI and VSG operating segments, includes the ACS and the MFS operating segments. As of June 30, 2011 and 2010, the ACS operating segment was the only reporting unit that had a goodwill balance, and as such, the annual impairment analysis was performed for this reporting unit only.</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tests goodwill for impairment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 For fiscal 2011,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reporting unit was deemed to be in excess of the book value. As such, no impairment charge was recorded.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2010 and 2009, goodwill was determined to be appropriately valued and no impairment charge was recorded.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Net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Carrying</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18,300</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10,770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6.7 years</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2,423</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5.5 years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Completed technologies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2,673</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612</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224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26,545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16,702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514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8.0 years</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9,000</w:t>
            </w:r>
          </w:p>
        </w:tc>
        <w:tc>
          <w:tcPr>
            <w:tcW w:w="5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1,141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for acquired intangible assets remaining at June 30, 2011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5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2013</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2015</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5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602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920" w:type="dxa"/>
            <w:vAlign w:val="bottom"/>
            <w:vMerge w:val="restart"/>
          </w:tcPr>
          <w:p>
            <w:pPr>
              <w:jc w:val="right"/>
              <w:ind w:right="4252"/>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acquired intangible assets arising as a result of the LNX acquisition.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4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5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Carrying</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4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Amount</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2011</w:t>
            </w:r>
          </w:p>
        </w:tc>
        <w:tc>
          <w:tcPr>
            <w:tcW w:w="2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20" w:type="dxa"/>
            <w:vAlign w:val="bottom"/>
            <w:gridSpan w:val="3"/>
          </w:tcPr>
          <w:p>
            <w:pPr>
              <w:jc w:val="right"/>
              <w:ind w:right="520"/>
              <w:spacing w:after="0"/>
              <w:rPr>
                <w:sz w:val="20"/>
                <w:szCs w:val="20"/>
                <w:color w:val="auto"/>
              </w:rPr>
            </w:pPr>
            <w:r>
              <w:rPr>
                <w:rFonts w:ascii="Arial" w:cs="Arial" w:eastAsia="Arial" w:hAnsi="Arial"/>
                <w:sz w:val="18"/>
                <w:szCs w:val="18"/>
                <w:color w:val="auto"/>
              </w:rPr>
              <w:t>$11,100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$10,770</w:t>
            </w:r>
          </w:p>
        </w:tc>
        <w:tc>
          <w:tcPr>
            <w:tcW w:w="5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7.7 years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technologies</w:t>
            </w:r>
          </w:p>
        </w:tc>
        <w:tc>
          <w:tcPr>
            <w:tcW w:w="3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Backlog</w:t>
            </w:r>
          </w:p>
        </w:tc>
        <w:tc>
          <w:tcPr>
            <w:tcW w:w="2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2.0 years</w:t>
            </w:r>
          </w:p>
        </w:tc>
      </w:tr>
      <w:tr>
        <w:trPr>
          <w:trHeight w:val="27"/>
        </w:trPr>
        <w:tc>
          <w:tcPr>
            <w:tcW w:w="4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14,055</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In fiscal 2011, the Company purchased two IP licenses for $2,745. These licenses were recorded as intangible assets and are being amortized over one and five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7"/>
              </w:rPr>
              <w:t>Years 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operations—basic</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discontinued operations, net of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11,157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2"/>
            <w:vMerge w:val="continue"/>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18,442</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28,358</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22,416</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Weighted average equity instruments to purchase 753, 1,705 and 3,768 shares of common stock were not included in the calculation of diluted net earnings (loss) per share for the fiscal years ended June 30, 2011, 2010 and 2009, respectively, because the equity instruments were anti-dilutive. Additionally, up to 4,135 shares, which represent the securities that had been contingently issuable under the Company’s outstanding debt obligations, were not included in the dilutive net loss per share for the fiscal year ended June 30, 2009 because the equity instruments were anti-dilutive.</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the Company’s common stock, at a price to the public of $17.75, generating net proceeds, after underwriting fees and expenses, of $93,605. As a result, an additional 2,129 weighted average shares outstanding were included in the calculation of basic and diluted net earnings per shares for fiscal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Receivables Related to Marketable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30, 2010, the Company exercised the put option to sell its remaining $18,025 ARS balance to UBS at par value. The transaction settled on July 1,</w:t>
      </w:r>
    </w:p>
    <w:p>
      <w:pPr>
        <w:spacing w:after="0" w:line="3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2010. As a result of the transaction, the put option was exercised and the Company had a receivable balance of $18,025 from UBS as of June 30, 2010. The realized net gains on the ARS in fiscal 2010 were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Fair Value of Financial Instruments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The Company measures at fair value certain financial assets and liabilities, including cash equivalents, restricted cash, ARS and contingent consideration. FASB ASC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measured at fair value on a recurring basis at June 30,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auto"/>
              </w:rPr>
              <w:t>Fair Value Measurements</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7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153,038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153,038</w:t>
            </w:r>
          </w:p>
        </w:tc>
        <w:tc>
          <w:tcPr>
            <w:tcW w:w="6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156,038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156,038</w:t>
            </w:r>
          </w:p>
        </w:tc>
        <w:tc>
          <w:tcPr>
            <w:tcW w:w="6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carrying values of cash and cash equivalents, accounts receivable and payable, and accrued liabilities approximate fair value due to the short-term maturities of these assets and liabilities.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determines the fair value of the contingent consideration related to the LNX acquisition based on the probability of LNX attaining specific financial targets using an appropriate discount rate to present value the liability. The following table provides a rollforward of the fair value of the contingent consideration, whose fair values were determined by Level 3 inputs: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2010</w:t>
            </w:r>
          </w:p>
        </w:tc>
        <w:tc>
          <w:tcPr>
            <w:tcW w:w="5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Contingent consideration from the LNX acquisition</w:t>
            </w: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Recognition of accretion expense in operating expenses</w:t>
            </w:r>
          </w:p>
        </w:tc>
        <w:tc>
          <w:tcPr>
            <w:tcW w:w="5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6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5180" w:type="dxa"/>
            <w:vAlign w:val="bottom"/>
            <w:gridSpan w:val="2"/>
          </w:tcPr>
          <w:p>
            <w:pPr>
              <w:ind w:left="50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040" w:type="dxa"/>
            <w:vAlign w:val="bottom"/>
            <w:vMerge w:val="restart"/>
          </w:tcPr>
          <w:p>
            <w:pPr>
              <w:jc w:val="right"/>
              <w:ind w:right="4372"/>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measurements as of June 30, 2010, for the Company’s financial instruments: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95"/>
              </w:rPr>
              <w:t>Fair Value Measurements</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29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Level 1</w:t>
            </w:r>
          </w:p>
        </w:tc>
        <w:tc>
          <w:tcPr>
            <w:tcW w:w="20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Level 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40" w:type="dxa"/>
            <w:vAlign w:val="bottom"/>
            <w:gridSpan w:val="3"/>
          </w:tcPr>
          <w:p>
            <w:pPr>
              <w:jc w:val="right"/>
              <w:ind w:right="140"/>
              <w:spacing w:after="0"/>
              <w:rPr>
                <w:sz w:val="20"/>
                <w:szCs w:val="20"/>
                <w:color w:val="auto"/>
              </w:rPr>
            </w:pPr>
            <w:r>
              <w:rPr>
                <w:rFonts w:ascii="Arial" w:cs="Arial" w:eastAsia="Arial" w:hAnsi="Arial"/>
                <w:sz w:val="18"/>
                <w:szCs w:val="18"/>
                <w:color w:val="auto"/>
              </w:rPr>
              <w:t>$52,659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$52,659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2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440"/>
              <w:spacing w:after="0"/>
              <w:rPr>
                <w:sz w:val="20"/>
                <w:szCs w:val="20"/>
                <w:color w:val="auto"/>
              </w:rPr>
            </w:pPr>
            <w:r>
              <w:rPr>
                <w:rFonts w:ascii="Arial" w:cs="Arial" w:eastAsia="Arial" w:hAnsi="Arial"/>
                <w:sz w:val="18"/>
                <w:szCs w:val="18"/>
                <w:color w:val="auto"/>
              </w:rPr>
              <w:t>Total</w:t>
            </w:r>
          </w:p>
        </w:tc>
        <w:tc>
          <w:tcPr>
            <w:tcW w:w="30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55,659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55,659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H. Inventory</w:t>
            </w: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460"/>
              <w:spacing w:after="0"/>
              <w:rPr>
                <w:sz w:val="20"/>
                <w:szCs w:val="20"/>
                <w:color w:val="auto"/>
              </w:rPr>
            </w:pPr>
            <w:r>
              <w:rPr>
                <w:rFonts w:ascii="Arial" w:cs="Arial" w:eastAsia="Arial" w:hAnsi="Arial"/>
                <w:sz w:val="18"/>
                <w:szCs w:val="18"/>
                <w:color w:val="auto"/>
              </w:rPr>
              <w:t>Inventory was comprised of the following:</w:t>
            </w: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86"/>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4"/>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7,314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$ 6,287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Work in process</w:t>
            </w: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7,554</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3,672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44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8"/>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18,540</w:t>
            </w: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Restricted Cash</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deposited $3,000 with its bank as collateral for the landlord pursuant to the sale-lease back transaction entered in April 2007 for the Company’s headquarters in Chelmsford, Massachusetts (see Note J). The balance is classified as restricted cash on the accompanying consolidated balance sheet at June 30, 2011 and 2010, and is reflected in non-current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Estimated Useful Lives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23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210"/>
        </w:trPr>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47,675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6,967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6,795</w:t>
            </w:r>
          </w:p>
        </w:tc>
      </w:tr>
      <w:tr>
        <w:trPr>
          <w:trHeight w:val="20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lesser of estimated useful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0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life or lease term</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5,213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2,732</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1"/>
        </w:trPr>
        <w:tc>
          <w:tcPr>
            <w:tcW w:w="7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61,811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61,561</w:t>
            </w: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(47,291)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(51,263)</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14,520</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10,298</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fiscal 2011 and 2010, the Company retired $10,143 and $20,310, respectively, of fully depreciated computer equipment and software assets that were no longer in use by the Company. The retirement was part of an on-going effort by the Company to review and identify all assets that are still in use by the Company, and to retire those that are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fiscal years ended June 30, 2011, 2010 and 2009 was $6,364, $5,147 and $5,640, respectively.</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with the exception of the vacant parcel of land adjacent to the headquarters. The term of the lease is ten years and includes two five year options to renew. The Company’s net proceeds from the sale, after transaction and other related costs, were $26,365 resulting in a gain of $11,569. Under the provisions of sale-leaseback accounting, the transaction was considered a normal leaseback; thus the realized gain was deferred and will be amortized to other income on a straight-line basis over the initial lease term. The Company recorded the current portion of the deferred gain in accrued expenses and the non-current portion in long-term deferred gain in the accompanying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Product Warranty Accrual</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All of the Company’s product sales generally include a 12 month standard hardware warranty. At the time of product shipment, the Company accrues the estimated cost to repair or replace potentially defective products. Estimated warranty costs are based upon prior actual warranty costs for substantially similar transactions. The following table presents the changes in the Company’s product warranty liability.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0"/>
              </w:rPr>
              <w:t>Fiscal</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8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July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1,186</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Accruals for warranties issued during the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during the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(1,262)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Ending balance at June 30,</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894</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$ 1,186</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$ 1,750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Debt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Debt consisted of the following of which the current portion is included in accrued expenses and the non-current portion is included other non-current liabilities: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w:t>
            </w:r>
          </w:p>
        </w:tc>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capital lease obligations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w w:val="98"/>
              </w:rPr>
              <w:t>The following summarizes the future cash payment obligations (excluding interest) as of June 30, 2011:</w:t>
            </w:r>
          </w:p>
        </w:tc>
        <w:tc>
          <w:tcPr>
            <w:tcW w:w="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6"/>
          </w:tcPr>
          <w:p>
            <w:pPr>
              <w:spacing w:after="0"/>
              <w:rPr>
                <w:sz w:val="20"/>
                <w:szCs w:val="20"/>
                <w:color w:val="auto"/>
              </w:rPr>
            </w:pPr>
            <w:r>
              <w:rPr>
                <w:rFonts w:ascii="Arial" w:cs="Arial" w:eastAsia="Arial" w:hAnsi="Arial"/>
                <w:sz w:val="14"/>
                <w:szCs w:val="14"/>
                <w:b w:val="1"/>
                <w:bCs w:val="1"/>
                <w:color w:val="auto"/>
                <w:w w:val="97"/>
              </w:rPr>
              <w:t>Year 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52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2013</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February 12, 2010, the Company entered into a loan and security agreement (the “Loan Agreement”) with Silicon Valley Bank (the “Lender”). The Loan Agreement provided for a $15,000 revolving line of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“Revolver”) and a $20,000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$20,000, until February 11, 2012. The Term Loan had monthly interest and principal payments through the February 11, 2014 maturity of the Term Loan.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Borrowings are secured by a first-priority security interest in all of the Company’s domestic assets, including intellectual property, but limited to 65% of the voting stock of foreign subsidiaries. The Company’s MFS subsidiary is a guarantor and has granted a security interest in its assets in favor of the Lender. Following the acquisition of LNX Corporation, LNX also became a guarantor.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143"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The Loan Agreement provided for conventional affirmative and negative covenants, including a minimum quick ratio of 1.5 to 1.0. If the Company had less than $10,000 of cash equivalents in accounts with the Lender in excess of the Company’s borrowings, the Company must also satisfy a $15,000 minimum trailing-four-quarter cash-flow covenant.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March 30, 2011, the Company entered into an amendment to the Loan Agreement (as amended, the “Amended Loan Agreement”) with the Lender. The amendment extended the term of the Revolver for an additional two years, to February 11, 2014, terminated the $20,000 Term Loan under the original Loan Agreement, increased the original $15,000 Revolver to $35,000. The amendment also included modifications to the financial covenants as summarized below.</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Amended Loan Agreement provides for conventional affirmative and negative covenants, including a minimum quick ratio of 1.0 to 1.0 and a $15,000 minimum trailing four quarter cash flow covenant through and including June 30, 2012 (with $17,500 of minimum cash flow required thereafter).</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had no borrowings under the credit facility since inception and was in compliance with all covenants in the Amended Loan Agreement as of June 30,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October 2008, the Company received a rights offering from UBS (the “offering”) in which the Company elected to participate. By electing to participate in the offering, the Company (1) received the right to sell the ARS back to UBS at par plus interest, at the Company’s sole discretion, during a two-year period beginning on June 30, 2010, and (2) received an option to borrow up to 75% of the fair value of the ARS at no cost. Upon borrowing against the ARS, the Company would forgo the interest income on the underlying ARS, while the borrowings are outstanding. The line of credit included in the offering replaced the Company’s previous margin loan facility with UBS. On June 28, 2010, the Company repaid the remaining $11,349 line of credit balance to UBS. As of June 30, 2010, there were no borrowings against this line of credit. The UBS line of credit terminated on July 1, 2010 upon the settlement of the put option for our ARS and the receipt of $18,025 in cash.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Notes Payable</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April 29, 2004, the Company completed a private offering of $125,000 aggregate principal amount of Convertible Senior Notes (the “Notes”), which would have matured on May 1, 2024, bearing interest at 2% per year, payable semiannually in arrears in May and November. The Notes were unsecured, ranked equally in right of payment to the Company’s existing and future unsecured senior debt, and did not subject the Company to any financial covenants.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certain circumstances, the Notes would have been convertible into common stock at a conversion rate of 33.0797 shares per $1,000 principal amount of the Notes, subject to adjustment in certain circumstances. The conversion rate was equal to an initial conversion price of approximately $30.23 per share. At the option of the holder, the Notes could be converted if, on or prior to May 1, 2019, the closing price of the Company’s common stock exceeded $36.28 for at least 20 trading days in a specified 30-day period of each fiscal quarter or on any date after May 1, 2019, the closing price of Mercury’s common stock exceeded $36.28. The Notes could have also been converted at the option of the holder if prior to May 1, 2019, the average trading price for the convertible senior notes was less than 98% of the average conversion value for the convertible senior notes during any five consecutive trading-day period. The holders could have required the Company to repurchase the notes, in whole or in part, (a) on May 1, 2009, 2014 or 2019, (b) upon a change in control, or (c) if the Company’s common stock was neither listed nor approved for trading on specified markets. At the Company’s option, the Notes could be redeemed on or after May 1, 2009 at a price equal to 100% of the principal amount of the Notes to be redeemed plus accrued and unpaid interest.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issuance of the Notes, the Company received net proceeds of $120,889 after offering expenses of $4,111, which were recorded as deferred financing costs in other long-term assets on the balance sheet and were amortized over the five-year term to May 1, 2009, the first optional redemption date of the debt. For fiscal 2009, additional interest expense from the amortization of these deferred financing costs totaled $705. On February 4, 2009, the Company repurchased $119,688 (face value) aggregate principal amount from a holder of the Notes. The Company repurchased the Notes for aggregate consideration equal to the principal amount of the Notes plus accrued interest. The Company paid the consideration for the Notes from a combination of cash on hand and the proceeds from the sale of certain U.S. Treasury securities held by the Company.</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May 1, 2009, the Company repurchased the remaining aggregate principal amount outstanding of $5,312 (face value) of the Notes from the holders of such Notes. The Company repurchased the Notes for aggregate consideration equal to the principal amount of the Notes plus accrued interest. The Company paid the consideration for the Notes from cash on hand. The Company has no further obligations under the Notes, which were cancelled upon repurchase.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connection with the divestitures of the Company’s former VI, VSG, Biotech and ES/PS businesses, which occurred in January 2009, June 2009, September 2008, and May 2008, respectively,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agreed to indemnify the buyer of the VI business for certain post-closing employee severance expenses. The total paid to the buyer under this obligation was $344. As of June 30, 2010, this employee severance obligation was closed. The Company’s indemnification obligations regarding the divested businesses are generally subject to caps on the Company’s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UARANTEES</w:t>
      </w:r>
    </w:p>
    <w:p>
      <w:pPr>
        <w:spacing w:after="0" w:line="96"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As part of the sale of the VSG business reported as discontinued operations in fiscal 2009, the Company made certain guarantees to the buyer in regards to retention bonuses to be paid by the buyer if certain VSG employees remain employed with the buyer in accordance with the terms of their severance agreements, typically six months from the closing date. The Company estimated the obligation against this guarantee to be approximately $730 and accrued this amount as of June 30, 2009. The Company settled this obligation in December 2009, upon the remittance of $715 to the buyer. As of December 31, 2009, this retention bonus obligation was closed.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part of the sale of the ES/PS businesses reported as discontinued operations in fiscal 2008, the Company made certain guarantees to the buyer in regards to potential employee severance costs incurred by the buyer if the ES/PS employees were terminated prior to December 19, 2008. This guarantee was settled in the second quarter of fiscal 2009 with no material payments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June 30, 2011, the remaining minimum commitment related to this agreement was $1,617, which is the 35% penalty on the remaining inventory balance. As of June 30, 2011, the Company has recorded an accrued liability of approximately $586 for the 35% penalty it anticipates on paying for unpurchased inventory.</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June 30, 2011, the Company has entered into non-cancelable purchase commitments for certain inventory components and services used in its normal operations. The purchase commitments covered by these agreements are for less than one year and aggregate to approximately $15,966.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2017.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2011, 2010 and 2009 was $3,369, $3,613 and $3,575, respectively. Minimum lease payments under the Company’s non-cancelable operating leases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210"/>
        </w:trPr>
        <w:tc>
          <w:tcPr>
            <w:tcW w:w="20" w:type="dxa"/>
            <w:vAlign w:val="bottom"/>
          </w:tcPr>
          <w:p>
            <w:pPr>
              <w:spacing w:after="0"/>
              <w:rPr>
                <w:sz w:val="18"/>
                <w:szCs w:val="18"/>
                <w:color w:val="auto"/>
              </w:rPr>
            </w:pPr>
          </w:p>
        </w:tc>
        <w:tc>
          <w:tcPr>
            <w:tcW w:w="10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r>
        <w:rPr>
          <w:rFonts w:ascii="Arial" w:cs="Arial" w:eastAsia="Arial" w:hAnsi="Arial"/>
          <w:sz w:val="14"/>
          <w:szCs w:val="14"/>
          <w:b w:val="1"/>
          <w:bCs w:val="1"/>
          <w:color w:val="auto"/>
        </w:rPr>
        <w:t>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FFERING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common stock, which were sold at a price to the public of $17.75. The follow-on public stock offering resulted in $93,605 of net proceeds to the Company. The underwriting discount of $4,950 and other expenses of $446 related to the follow-on public stock offering were recorded as an offset to additional paid-in-capital.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adopted a Shareholder Rights Plan, the purpose of which is, among other things, to enhance the Board’s ability to protect the shareholder interests and to ensure that shareholders receive fair treatment in the event any coercive takeover attempt of the Company is made in the future. The following summary description of the Shareholder Rights Plan does not purport to be complete and is qualified in its entirety by reference to the Company’s Shareholder Rights Plan, which has been previously filed with the Securities and Exchange Commission as an exhibit to a Registration Statement on Form 8-A.</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(a “Right”) for each outstanding share of common stock to shareholders of record as of the close of business on December 23, 2005. The Rights currently are not exercisable and are attached to and trade with the outstanding shares of common stock. Under the Shareholder Rights Plan, the Rights become exercisable if a person becomes an “acquiring person” by acquiring 15% or more of the outstanding shares of common stock or if a person commences a tender offer that would result in that person owning 15% or more of the common stock. If a person becomes an “acquiring person,” each holder of a Right (other than the acquiring person) would be entitled to purchase, at the then-current exercise price, such number of shares of the Company’s preferred stock which are equivalent to shares of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ETTLEMENT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may net settle shares in connection with the surrender of shares to cover the minimum taxes on vesting of restricted stock. During fiscal 2010, 42 shares were net settled in such transactions for a total cost of $433, while 89 shares were net settled during fiscal 2009 for a total cost of $684. Effective May 1, 2010, the Company discontinued the net share settlement practice for settling restricted stock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96"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5,092 shares, which will be increased by any future cancellations, forfeitures or terminations (other than by exercise) under the Company’s 1997 Stock Option Plan (“the 1997 Plan”). On October 21, 2010, the Company’s shareholders approved an increase in the number of shares authorized for issuance under the 2005 plan to 5,092, an increase of 1,000.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2,540 shares available for future grant under the 2005 Plan at June 30, 2011.</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2011, 2010 and 2009 was 89, 94 and 96, respectively. Shares available for future purchase under the ESPP totaled 164 at June 30, 2011.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840" w:type="dxa"/>
            <w:vAlign w:val="bottom"/>
          </w:tcPr>
          <w:p>
            <w:pPr>
              <w:spacing w:after="0"/>
              <w:rPr>
                <w:sz w:val="12"/>
                <w:szCs w:val="12"/>
                <w:color w:val="auto"/>
              </w:rPr>
            </w:pPr>
          </w:p>
        </w:tc>
        <w:tc>
          <w:tcPr>
            <w:tcW w:w="19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Exercise Price</w:t>
            </w:r>
          </w:p>
        </w:tc>
        <w:tc>
          <w:tcPr>
            <w:tcW w:w="840" w:type="dxa"/>
            <w:vAlign w:val="bottom"/>
          </w:tcPr>
          <w:p>
            <w:pPr>
              <w:spacing w:after="0"/>
              <w:rPr>
                <w:sz w:val="14"/>
                <w:szCs w:val="14"/>
                <w:color w:val="auto"/>
              </w:rPr>
            </w:pPr>
          </w:p>
        </w:tc>
        <w:tc>
          <w:tcPr>
            <w:tcW w:w="19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of 6/30/2011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8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17.38</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Vested and expected to vest at June 30, 2011</w:t>
            </w:r>
          </w:p>
        </w:tc>
        <w:tc>
          <w:tcPr>
            <w:tcW w:w="1100" w:type="dxa"/>
            <w:vAlign w:val="bottom"/>
            <w:gridSpan w:val="2"/>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14.38</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3.88</w:t>
            </w:r>
          </w:p>
        </w:tc>
        <w:tc>
          <w:tcPr>
            <w:tcW w:w="8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12,117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2,278</w:t>
            </w:r>
          </w:p>
        </w:tc>
        <w:tc>
          <w:tcPr>
            <w:tcW w:w="4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at June 30, 2011</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1,891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intrinsic value of the options exercised during fiscal year 2011, 2010 and 2009 was $2,979, $532 and $24, respectively. Non-vested stock options are subject to the risk of forfeiture until the fulfillment of specified conditions. As of June 30, 2011, there was $1,218 of total unrecognized compensation cost related to non-vested options granted under the Company’s stock plans that is expected to be recognized over a weighted-average period of 0.9 years from June 30, 2011. As of June 30, 2010, there was $2,406 of total unrecognized compensation cost related to non-vested options granted under the Company’s stock plans that was expected to be recognized over a weighted-average period of 1.8 years from June 30,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460" w:type="dxa"/>
            <w:vAlign w:val="bottom"/>
          </w:tcPr>
          <w:p>
            <w:pPr>
              <w:spacing w:after="0"/>
              <w:rPr>
                <w:sz w:val="18"/>
                <w:szCs w:val="18"/>
                <w:color w:val="auto"/>
              </w:rPr>
            </w:pPr>
          </w:p>
        </w:tc>
        <w:tc>
          <w:tcPr>
            <w:tcW w:w="7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 aggregate of 79 shares of restricted stock that were granted to employees of LNX Corporation joining the Company in connection with the acquisition of LNX in January 2011 are included in the granted figure in the table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fair value of restricted stock awards vested during fiscal year 2011, 2010 and 2009 was $4,175, $3,485 and $2,945,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2011, there was $10,400 of total unrecognized compensation cost related to non-vested restricted stock awards granted under the Company’s stock plans that is expected to be recognized over a weighted-average period of 2.6 years from June 30, 2011. As of June 30, 2010, there was $6,411 of total unrecognized compensation cost related to non-vested restricted stock awards granted under the Company’s stock plans that is expected to be recognized over a weighted-average period of 2.8 years from June 30,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fiscal years 2011, 2010 and 2009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331"/>
              <w:spacing w:after="0"/>
              <w:rPr>
                <w:sz w:val="20"/>
                <w:szCs w:val="20"/>
                <w:color w:val="auto"/>
              </w:rPr>
            </w:pPr>
            <w:r>
              <w:rPr>
                <w:rFonts w:ascii="Arial" w:cs="Arial" w:eastAsia="Arial" w:hAnsi="Arial"/>
                <w:sz w:val="14"/>
                <w:szCs w:val="14"/>
                <w:b w:val="1"/>
                <w:bCs w:val="1"/>
                <w:color w:val="auto"/>
                <w:w w:val="89"/>
              </w:rPr>
              <w:t>Year Ended 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251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3,145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3,223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1,108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Share-based compensation expense before tax</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4,582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(1,966)</w:t>
            </w: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(1,499)</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$ 3,614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$ 2,517</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75"/>
              </w:rPr>
              <w:t>4,582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1420" w:type="dxa"/>
            <w:vAlign w:val="bottom"/>
            <w:gridSpan w:val="20"/>
          </w:tcPr>
          <w:p>
            <w:pPr>
              <w:ind w:left="460"/>
              <w:spacing w:after="0"/>
              <w:rPr>
                <w:sz w:val="20"/>
                <w:szCs w:val="20"/>
                <w:color w:val="auto"/>
              </w:rPr>
            </w:pPr>
            <w:r>
              <w:rPr>
                <w:rFonts w:ascii="Arial" w:cs="Arial" w:eastAsia="Arial" w:hAnsi="Arial"/>
                <w:sz w:val="18"/>
                <w:szCs w:val="18"/>
                <w:color w:val="auto"/>
                <w:w w:val="91"/>
              </w:rPr>
              <w:t>The following table sets forth the weighted-average key assumptions and fair value results for stock options granted during fiscal years 2011, 2010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w w:val="97"/>
              </w:rPr>
              <w:t>2009:</w:t>
            </w:r>
          </w:p>
        </w:tc>
        <w:tc>
          <w:tcPr>
            <w:tcW w:w="6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1"/>
          </w:tcPr>
          <w:p>
            <w:pPr>
              <w:jc w:val="right"/>
              <w:ind w:right="780"/>
              <w:spacing w:after="0"/>
              <w:rPr>
                <w:sz w:val="20"/>
                <w:szCs w:val="20"/>
                <w:color w:val="auto"/>
              </w:rPr>
            </w:pPr>
            <w:r>
              <w:rPr>
                <w:rFonts w:ascii="Arial" w:cs="Arial" w:eastAsia="Arial" w:hAnsi="Arial"/>
                <w:sz w:val="14"/>
                <w:szCs w:val="14"/>
                <w:b w:val="1"/>
                <w:bCs w:val="1"/>
                <w:color w:val="auto"/>
              </w:rPr>
              <w:t>Years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of options granted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Option life(1)</w:t>
            </w:r>
          </w:p>
        </w:tc>
        <w:tc>
          <w:tcPr>
            <w:tcW w:w="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5.0 years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5"/>
          </w:tcPr>
          <w:p>
            <w:pPr>
              <w:ind w:left="40"/>
              <w:spacing w:after="0"/>
              <w:rPr>
                <w:sz w:val="20"/>
                <w:szCs w:val="20"/>
                <w:color w:val="auto"/>
              </w:rPr>
            </w:pPr>
            <w:r>
              <w:rPr>
                <w:rFonts w:ascii="Arial" w:cs="Arial" w:eastAsia="Arial" w:hAnsi="Arial"/>
                <w:sz w:val="18"/>
                <w:szCs w:val="18"/>
                <w:color w:val="auto"/>
                <w:w w:val="86"/>
              </w:rPr>
              <w:t>5.0 years</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4"/>
          </w:tcPr>
          <w:p>
            <w:pPr>
              <w:jc w:val="right"/>
              <w:ind w:right="51"/>
              <w:spacing w:after="0"/>
              <w:rPr>
                <w:sz w:val="20"/>
                <w:szCs w:val="20"/>
                <w:color w:val="auto"/>
              </w:rPr>
            </w:pPr>
            <w:r>
              <w:rPr>
                <w:rFonts w:ascii="Arial" w:cs="Arial" w:eastAsia="Arial" w:hAnsi="Arial"/>
                <w:sz w:val="18"/>
                <w:szCs w:val="18"/>
                <w:color w:val="auto"/>
                <w:w w:val="94"/>
              </w:rPr>
              <w:t>5.5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Stock volatility(3)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Operating Segment, Significant Customers and Geographic Information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business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8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signal end-to-end processing solutions that encompass signal acquisition including microwave front-end, digitalization, computing, storage and communications, targeted to key market segments, including defense, communications and other commercial application.</w:t>
      </w:r>
    </w:p>
    <w:p>
      <w:pPr>
        <w:spacing w:after="0" w:line="59"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chief operating decision maker (“CODM”)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ACS</w:t>
            </w: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MFS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30, 2011</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217,423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11,415</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(6,312)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223,683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(6,440)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188,967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10,735</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193,746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(4,987)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21,956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6,829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183,393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5,546</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185,251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(4,582)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and long-lived assets from continuing operations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Asia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Pacific</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30, 2011</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219,435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5,610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225,072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5,942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5,853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(8,157)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9,767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(14,903)</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194,019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10,749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9,965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(14,903)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13,384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175,586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9,823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3,530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(10,584)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184,915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10,789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3,819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(10,584)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fiscal years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Northrop Grumman Corporation (ACS)</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Raytheon Company (ACS)</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17</w:t>
            </w:r>
          </w:p>
        </w:tc>
        <w:tc>
          <w:tcPr>
            <w:tcW w:w="48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11</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Lockheed Martin Corporation (ACS)</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13</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Argon ST, Inc. (ACS).</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4"/>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13</w:t>
            </w:r>
          </w:p>
        </w:tc>
        <w:tc>
          <w:tcPr>
            <w:tcW w:w="2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51%</w:t>
            </w: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51%</w:t>
            </w:r>
          </w:p>
        </w:tc>
      </w:tr>
      <w:tr>
        <w:trPr>
          <w:trHeight w:val="20"/>
        </w:trPr>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year.</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Although the Company typically has several customers from which it derives 10% or more of its revenue, the sales to each of these customers are spread across multiple programs and platforms. For the fiscal years ended June 30, 2011 and 2009, no single program comprised 10% or more of the Company’s revenues. For the year ended June 30, 2010, the Aegis program individually comprised 15% of the Company’s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Discontinued Operations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June 2009, the Company closed on the sale of the VSG operating segment for gross consideration of $12,000 in cash. The sale resulted in a gain of $6,406 on disposal of the discontinued operation. The gain was primarily comprised of cash proceeds of $8,231, net of transaction costs, and recognition of a cumulative foreign currency translation gain of $1,560, offset by net assets of approximately $3,385. There were no material adjustments to the gain on disposal during fiscal 2010 and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January 2009, the Company completed the sale of the VI operating segment for gross consideration of $3,000 in cash. Of the proceeds, a total of $1,100 was held back for general indemnification purposes and employee termination payments incurred by the buyer. Of the total held back, $344 was used for termination payments, $423 was used for general indemnification purposes and $333 was remitted back to the Company. The sale resulted in a gain of $4,207 on disposal of the discontinued operation. The gain was primarily comprised of expected cash proceeds, net of transaction costs, of $990 and the recognition of a cumulative foreign currency translation gain of $3,894, offset by net assets of the business of approximately $780. There were no material adjustments to the gain on disposal during fiscal 2010 and 2011.</w:t>
      </w:r>
    </w:p>
    <w:p>
      <w:pPr>
        <w:spacing w:after="0" w:line="14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September 2008, the Company completed an asset sale of the Biotech business for a $130 cash payment, which was received in the second quarter of fiscal 2009, and $300 of preferred shares in the acquiring entity. The Biotech business was previously reported in the results of the MFS operating segment, formerly referred to as the Emerging Business Unit. The sale resulted in a gain of $328 on disposal of the discontinued operation.</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all periods presented in the Company’s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in income (loss) from discontinued operations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VSG</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9,913</w:t>
            </w: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income from discontinued operations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VI</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5,133</w:t>
            </w: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Loss (income) from discontinued operations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320"/>
              <w:spacing w:after="0"/>
              <w:rPr>
                <w:sz w:val="20"/>
                <w:szCs w:val="20"/>
                <w:color w:val="auto"/>
              </w:rPr>
            </w:pPr>
            <w:r>
              <w:rPr>
                <w:rFonts w:ascii="Arial" w:cs="Arial" w:eastAsia="Arial" w:hAnsi="Arial"/>
                <w:sz w:val="16"/>
                <w:szCs w:val="16"/>
                <w:color w:val="auto"/>
                <w:w w:val="78"/>
              </w:rPr>
              <w:t>83</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(20,298)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Biotech</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r>
    </w:tbl>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of June 30, 2011 and 2010, there were no assets or liabilities of discontinued operations included in the balances represented in the Company’s consolidated balance sheets.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taxes and income tax expense (benefit)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18,714</w:t>
            </w:r>
          </w:p>
        </w:tc>
        <w:tc>
          <w:tcPr>
            <w:tcW w:w="3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8,465</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r>
      <w:tr>
        <w:trPr>
          <w:trHeight w:val="20"/>
        </w:trPr>
        <w:tc>
          <w:tcPr>
            <w:tcW w:w="8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26,567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18,692</w:t>
            </w:r>
          </w:p>
        </w:tc>
        <w:tc>
          <w:tcPr>
            <w:tcW w:w="3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8,018</w:t>
            </w:r>
          </w:p>
        </w:tc>
      </w:tr>
      <w:tr>
        <w:trPr>
          <w:trHeight w:val="20"/>
        </w:trPr>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1,577</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(8,286)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(1,651)</w:t>
            </w:r>
          </w:p>
        </w:tc>
      </w:tr>
      <w:tr>
        <w:trPr>
          <w:trHeight w:val="27"/>
        </w:trPr>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(8,642)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23"/>
        </w:trPr>
        <w:tc>
          <w:tcPr>
            <w:tcW w:w="874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0"/>
        </w:trPr>
        <w:tc>
          <w:tcPr>
            <w:tcW w:w="8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8,060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(9,377)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0"/>
        </w:trPr>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the reconciliation between the statutory federal income tax rate and the Company’s effective income tax rate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7"/>
              </w:rPr>
              <w:t>Year Ended 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at federal statutory rates</w:t>
            </w:r>
          </w:p>
        </w:tc>
        <w:tc>
          <w:tcPr>
            <w:tcW w:w="3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State income tax, net of federal tax benefit</w:t>
            </w:r>
          </w:p>
        </w:tc>
        <w:tc>
          <w:tcPr>
            <w:tcW w:w="454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4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8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Domestic manufacturing deduction</w:t>
            </w: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Deemed repatriation of foreign earnings</w:t>
            </w:r>
          </w:p>
        </w:tc>
        <w:tc>
          <w:tcPr>
            <w:tcW w:w="3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Equity compensation</w:t>
            </w:r>
          </w:p>
        </w:tc>
        <w:tc>
          <w:tcPr>
            <w:tcW w:w="454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IRS audit adjustments</w:t>
            </w:r>
          </w:p>
        </w:tc>
        <w:tc>
          <w:tcPr>
            <w:tcW w:w="3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Goodwill impairment</w:t>
            </w:r>
          </w:p>
        </w:tc>
        <w:tc>
          <w:tcPr>
            <w:tcW w:w="36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8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(79.8)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1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80" w:type="dxa"/>
            <w:vAlign w:val="bottom"/>
            <w:vMerge w:val="restart"/>
          </w:tcPr>
          <w:p>
            <w:pPr>
              <w:jc w:val="right"/>
              <w:ind w:right="2092"/>
              <w:spacing w:after="0"/>
              <w:rPr>
                <w:sz w:val="20"/>
                <w:szCs w:val="20"/>
                <w:color w:val="auto"/>
              </w:rPr>
            </w:pPr>
            <w:r>
              <w:rPr>
                <w:rFonts w:ascii="Arial" w:cs="Arial" w:eastAsia="Arial" w:hAnsi="Arial"/>
                <w:sz w:val="18"/>
                <w:szCs w:val="18"/>
                <w:color w:val="auto"/>
              </w:rPr>
              <w:t>87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net deferred tax assets (liabilities)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Inventory valuation and receivable allowances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4,189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Equity compensation</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5,565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Net operating loss</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accruals</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Repatriation of foreign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temporary differences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24,348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(7,973)</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16,375</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Property and equipment depreciation</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intangible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vMerge w:val="restart"/>
          </w:tcPr>
          <w:p>
            <w:pPr>
              <w:ind w:left="42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(12,574)</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At June 30, 2011,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continues to conclude that it was “more likely than not”, that most domestic deferred tax assets would be realizable based on the financial performance in fiscal year 2011, projected future taxable income and the reversal of existing deferred tax liabilities.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continues to record a full valuation allowance on Massachusetts research and development (“R&amp;D”) and investment tax credits as of June 30, 2011 as management continues to believe that it is not more likely than not that these deferred tax assets would be realized.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June 30, 2010, the Company concluded that it was more likely than not that most of the domestic deferred tax assets would be realizable and released a portion of the valuation allowance.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June 30, 2011, the Company had federal net operating loss carryforwards of $2,368 from an acquiree that will be included in a carryback claim. The Company also had federal and state research and development credit carryforwards of $856 and $11,721 respectively, which will expire in 2032 and 2017 through 2026, respectively. The Company also had state investment tax credits carryforwards of $241 that will expire in 2014. As of June 30, 2011, the Company also had approximately $399 in foreign operating loss carryforwards.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June 30, 2010, the Company had federal and state net operating loss carryforwards of $3,027. The Company also had federal and state research and development credit carryforwards of $2,485 and $11,623 respectively, which will expire in 2011 and 2019, respectively. As of June 30, 2010, the Company also had approximately $723 in foreign net operating loss carryforwards.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would no longer need to permanently reinvest the earnings of certain foreign subsidiaries. Therefore, the Company has accrued deferred taxes in association with the $1,100 in undistributed earnings and profits.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files income tax returns in all jurisdictions in which it operates. The Company has established reserves to provide for additional income taxes that may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beginning of period</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$ 1,856</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$ 1,069</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Increases for previously recognized positions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previously recognized positions</w:t>
            </w: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Decreases for previously recognized positions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(229)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currently recognized positions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$ 1,831</w:t>
            </w:r>
          </w:p>
        </w:tc>
        <w:tc>
          <w:tcPr>
            <w:tcW w:w="7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$ 1,856</w:t>
            </w:r>
          </w:p>
        </w:tc>
      </w:tr>
      <w:tr>
        <w:trPr>
          <w:trHeight w:val="20"/>
        </w:trPr>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$1,831 of unrecognized tax benefits as of June 30, 2011, if released, would affect income tax expense.</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analyzed filing positions in all of the federal and state jurisdictions where it is required to file income tax returns, as well as all open tax years in these jurisdictions. The Company has reviewed the tax positions taken on returns filed domestically and in its foreign jurisdictions for all open years, generally 2008 through 2010, and believes that tax adjustments in any audited year will not be material.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expects that there will not be any material changes in its reserves for unrecognized tax benefits within the next 12 months. Currently there are no significant tax audits underway.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Employee Benefit Plans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maintains a qualified 401(k) plan (the “401(k) Plan”) for its U.S. employees. The 401(k) Plan covers U.S. employees who have attained the age of 21. During fiscal 2011, 2010 and 2009, the Company matched employee contributions up to 3% of eligible compensation. The Company may also make optional contributions to the plan for any plan year at its discretion. Expense recognized by the Company for matching contributions related to the 401(k) plan was $1,762, $1,569 and $1,561 during the fiscal years ended June 30, 2011,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Related Party Transactions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July 2008, the Company and our former CEO, James Bertelli, entered into an agreement for consulting services through June 30, 2010. The consideration for these services totaled $190 and was paid out over the service period. As of June 30, 2010, the Company had made payments of $190 for consulting services under this agreement. Additionally, in July 2008, the Company entered into a five year non-compete agreement with Mr. Bertelli. This agreement, which is carried as an intangible asset on the Company’s balance sheet, was valued at $500 and is being amortized over the life of the agreement. As of December 31, 2010, the Company had made all payments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Subsequent Events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 No subsequent events were noted.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2011 (In thousands, except per share data)</w:t>
            </w:r>
          </w:p>
        </w:tc>
        <w:tc>
          <w:tcPr>
            <w:tcW w:w="1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1ST QUARTER</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3RD QUARTER</w:t>
            </w:r>
          </w:p>
        </w:tc>
        <w:tc>
          <w:tcPr>
            <w:tcW w:w="2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4TH QUARTER</w:t>
            </w: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52,108</w:t>
            </w: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55,513</w:t>
            </w: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59,855</w:t>
            </w: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61,234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30,660</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31,640</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32,882</w:t>
            </w:r>
          </w:p>
        </w:tc>
        <w:tc>
          <w:tcPr>
            <w:tcW w:w="6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34,717</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6,518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5,759</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6,879</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7,385</w:t>
            </w:r>
          </w:p>
        </w:tc>
        <w:tc>
          <w:tcPr>
            <w:tcW w:w="6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6,544</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1,696</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3,682</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5,183</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5,378</w:t>
            </w:r>
          </w:p>
        </w:tc>
        <w:tc>
          <w:tcPr>
            <w:tcW w:w="6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4,264</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5,183</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4,251</w:t>
            </w:r>
          </w:p>
        </w:tc>
        <w:tc>
          <w:tcPr>
            <w:tcW w:w="80" w:type="dxa"/>
            <w:vAlign w:val="bottom"/>
            <w:shd w:val="clear" w:color="auto" w:fill="CCEEFF"/>
          </w:tcPr>
          <w:p>
            <w:pPr>
              <w:spacing w:after="0"/>
              <w:rPr>
                <w:sz w:val="18"/>
                <w:szCs w:val="18"/>
                <w:color w:val="auto"/>
              </w:rPr>
            </w:pPr>
          </w:p>
        </w:tc>
      </w:tr>
      <w:tr>
        <w:trPr>
          <w:trHeight w:val="322"/>
        </w:trPr>
        <w:tc>
          <w:tcPr>
            <w:tcW w:w="4300" w:type="dxa"/>
            <w:vAlign w:val="bottom"/>
            <w:gridSpan w:val="2"/>
          </w:tcPr>
          <w:p>
            <w:pPr>
              <w:spacing w:after="0"/>
              <w:rPr>
                <w:sz w:val="20"/>
                <w:szCs w:val="20"/>
                <w:color w:val="auto"/>
              </w:rPr>
            </w:pPr>
            <w:r>
              <w:rPr>
                <w:rFonts w:ascii="Arial" w:cs="Arial" w:eastAsia="Arial" w:hAnsi="Arial"/>
                <w:sz w:val="18"/>
                <w:szCs w:val="18"/>
                <w:color w:val="auto"/>
              </w:rPr>
              <w:t>Net earnings per common share:</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r>
      <w:tr>
        <w:trPr>
          <w:trHeight w:val="222"/>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4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r>
      <w:tr>
        <w:trPr>
          <w:trHeight w:val="365"/>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2010 (In thousands, except per share data)</w:t>
            </w: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1ST QUARTER</w:t>
            </w:r>
          </w:p>
        </w:tc>
        <w:tc>
          <w:tcPr>
            <w:tcW w:w="640" w:type="dxa"/>
            <w:vAlign w:val="bottom"/>
          </w:tcPr>
          <w:p>
            <w:pPr>
              <w:spacing w:after="0"/>
              <w:rPr>
                <w:sz w:val="24"/>
                <w:szCs w:val="2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2ND QUARTER</w:t>
            </w: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3RD QUARTER</w:t>
            </w: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4TH QUARTER</w:t>
            </w: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47,431</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45,158</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43,603</w:t>
            </w: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63,638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27,302</w:t>
            </w:r>
          </w:p>
        </w:tc>
        <w:tc>
          <w:tcPr>
            <w:tcW w:w="20" w:type="dxa"/>
            <w:vAlign w:val="bottom"/>
          </w:tcPr>
          <w:p>
            <w:pPr>
              <w:spacing w:after="0"/>
              <w:rPr>
                <w:sz w:val="18"/>
                <w:szCs w:val="18"/>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25,865</w:t>
            </w: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24,803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34,562</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9,192</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18"/>
                <w:szCs w:val="18"/>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2,245</w:t>
            </w: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9,652</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(2,235)</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(8,378)</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18"/>
                <w:szCs w:val="18"/>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1,915</w:t>
            </w: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3,699</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18,030</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18,653</w:t>
            </w:r>
          </w:p>
        </w:tc>
        <w:tc>
          <w:tcPr>
            <w:tcW w:w="80" w:type="dxa"/>
            <w:vAlign w:val="bottom"/>
            <w:shd w:val="clear" w:color="auto" w:fill="CCEEFF"/>
          </w:tcPr>
          <w:p>
            <w:pPr>
              <w:spacing w:after="0"/>
              <w:rPr>
                <w:sz w:val="18"/>
                <w:szCs w:val="18"/>
                <w:color w:val="auto"/>
              </w:rPr>
            </w:pPr>
          </w:p>
        </w:tc>
      </w:tr>
      <w:tr>
        <w:trPr>
          <w:trHeight w:val="322"/>
        </w:trPr>
        <w:tc>
          <w:tcPr>
            <w:tcW w:w="4300" w:type="dxa"/>
            <w:vAlign w:val="bottom"/>
            <w:gridSpan w:val="2"/>
          </w:tcPr>
          <w:p>
            <w:pPr>
              <w:spacing w:after="0"/>
              <w:rPr>
                <w:sz w:val="20"/>
                <w:szCs w:val="20"/>
                <w:color w:val="auto"/>
              </w:rPr>
            </w:pPr>
            <w:r>
              <w:rPr>
                <w:rFonts w:ascii="Arial" w:cs="Arial" w:eastAsia="Arial" w:hAnsi="Arial"/>
                <w:sz w:val="18"/>
                <w:szCs w:val="18"/>
                <w:color w:val="auto"/>
              </w:rPr>
              <w:t>Net earnings per common share:</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18"/>
                <w:szCs w:val="18"/>
                <w:color w:val="auto"/>
              </w:rPr>
            </w:pPr>
          </w:p>
        </w:tc>
      </w:tr>
      <w:tr>
        <w:trPr>
          <w:trHeight w:val="222"/>
        </w:trPr>
        <w:tc>
          <w:tcPr>
            <w:tcW w:w="430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64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5180" w:hanging="5612"/>
        <w:spacing w:after="0" w:line="408" w:lineRule="auto"/>
        <w:tabs>
          <w:tab w:leader="none" w:pos="218"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Due to the effects of rounding, the sum of the four quarters does not equal the annual. 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an evaluation as of June 30, 2011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2011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20"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2011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published by the Committee of Sponsoring Organizations of the Treadway Commission. As a result of this assessment, management concluded that our internal control over financial reporting was effective as of June 30, 2011. The effectiveness of our internal control over financial reporting as of June 30, 2011 has been audited by KPMG LLP, an independent registered public accounting firm, as stated in its report.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audited consolidated financial statements of the Company include the results of acquired LNX Corporation (“acquired business”). Upon consideration of the date of the acquisition and the time constraints under which our management’s assessment would have to be made, management determined that it would not be possible to conduct a sufficiently comprehensive assessment of the acquired business controls over financial reporting. Accordingly, these operations have been excluded from the scope of management’s assessment of internal controls. The Company’s consolidated financial statements reflect revenues and total assets from the acquired business of approximately 2 percent and 12 percent, respectively, as of June 30, 2011.</w:t>
      </w:r>
    </w:p>
    <w:p>
      <w:pPr>
        <w:spacing w:after="0" w:line="116"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2011 identified in connection with our Chief Executive Officer’s and Chief Financial Officer’s evaluation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2011 Annual Meeting of Shareholders (the “Shareholders Meeting”), except that information required by this item concerning our executive officers appears in Part I, Item 4.1 of this Annual Report on Form 10-K.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than the summary of our change in control severance agreements set forth below, the information required by this item is incorporated by reference to our Proxy Statement for the Shareholders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Severance Agreements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recognize that Mercury, as a publicly-traded company, may become the target of a proposal which could result in a change in control, and that such possibility and the uncertainty and questions which such a proposal may raise among management could cause our executive officers to leave or could distract them in the performance of their duties, to the detriment of Mercury and our shareholders. Our named executive officers have agreements intended to reinforce and encourage the continued attention of our executive officers to their assigned duties without distraction and to ensure the continued availability to Mercury of each of our executive officers in the event of a proposed change in control transaction. We believe that these objectives are in the best interests of Mercury and our shareholders.</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part of our normal review cycle, we recently entered into new forms of change in control severance agreements with our Chief Executive Officer and certain other executive officers. We have entered into such agreements with the following named executive officers: Mr. Aslett; Mr. Haines; Mr. Hult; and Mr. Thibaud. The new forms of change in control severance agreement became effective on August 16, 2011.</w:t>
      </w:r>
    </w:p>
    <w:p>
      <w:pPr>
        <w:spacing w:after="0" w:line="10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change in control includes, among other events and subject to certain exceptions, the acquisition by any person of beneficial ownership of 30% or more of our outstanding common stock. If a tender offer or exchange offer is made for more than 30% of our outstanding common stock, the executive has agreed not to leave our employ, except in the case of disability or retirement and certain other circumstances, and to continue to render services to Mercury until such offer has been abandoned or terminated or a change in control has occurred.</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Compensation Committee worked with Radford as compensation consultant to provide market data and analysis of market practices for such agreements in the period of time since Mercury’s prior forms of such agreements were adopted.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CEO is entitled to severance benefits if, within 24 months after a change in control of Mercury (or during a potential change in control period provided that a change in control takes place within 24 months thereafter), the CEO’s employment is terminated (1) by us other than for “cause” or disability or (2) by the CEO for “good reason.” “Cause” is defined in the agreement to include the CEO’s willful failure to perform his duties, conviction of the executive for a felony, and the CEO’s willful engaging in fraud, dishonesty, or other conduct demonstrably and materially injurious to Mercury. “Good Reason” is defined in the agreement to include an adverse change in the CEO’s status or position with Mercury, a reduction in base salary or annual target bonus, failure to maintain the CEO’s participation in existing or at least equivalent health and benefit plans, and a significant relocation of the CEO’s principal office.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Severance benefits under the agreement include the following, in addition to the payment of any earned or accrued but unpaid compensation for services previously rendered:</w:t>
      </w:r>
    </w:p>
    <w:p>
      <w:pPr>
        <w:spacing w:after="0" w:line="51" w:lineRule="exact"/>
        <w:rPr>
          <w:sz w:val="20"/>
          <w:szCs w:val="20"/>
          <w:color w:val="auto"/>
        </w:rPr>
      </w:pPr>
    </w:p>
    <w:p>
      <w:pPr>
        <w:ind w:left="900" w:right="5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 sum cash payment equal to two times (2x) the sum of the CEO’s then current annualized base salary and bonus target under our annual executive bonus plan (excluding any over-achievement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outplacement services up to a maximum of $45,000;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the cost of providing the CEO with health and dental insurance up to 24 months following such termination on the same basis as though the CEO had remained an active employee.</w:t>
      </w:r>
    </w:p>
    <w:p>
      <w:pPr>
        <w:spacing w:after="0" w:line="5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if the CEO’s employment is terminated within 24 months after a change in control (or during a potential change in control period provided that a change in control takes place within 24 months thereafter), vesting of all his then outstanding stock options and other stock-based awards immediately accelerates and all such awards become exercisable or non-forfeitable.</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Payment of the above-described severance benefits is subject to the CEO releasing all his claims against Mercury other than claims that arise from Mercury’s obligations under the severance agreement. In addition, if the CEO is party to an employment agreement with Mercury providing for change in control payments or benefits, the CEO will receive the benefits payable under this agreement and not under the employment agreement.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agreement provides for a reduction of payments and benefits payable under the agreement to a level where the CEO would not be subject to the excise tax pursuant to section 4999 of the Code, but only if such reduction would put the CEO in a better after-tax position than if the payments and benefits were paid in full. In addition, the agreement provides for the payment by Mercury of the CEO’s legal fees and expenses incurred in connection with good faith disputes under the agreement.</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agreement continues in effect through June 30, 2014, subject to automatic one-year extensions thereafter unless notice is given of our or the CEO’s intention not to extend the term of the agreement; provided, however, that the agreement continues in effect for not less than 24 months following a change in control that occurs during the term of the agreement. Except as otherwise provided in the agreement, we and the CEO may terminate the CEO’s employment at any time.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Non-CEO Executives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executive is entitled to severance benefits if, within 18 months after a change in control of Mercury (or during a potential change in control period provided that a change in control takes place within 18 months thereafter), the executive’s employment is terminated (1) by us other than for “cause” or disability or (2) by the executive for “good reason.” “Cause” is defined in each agreement to include the executive’s willful failure to perform his duties, conviction of the executive for a felony, and the executive’s willful engaging in fraud, dishonesty, or other conduct demonstrably and materially injurious to Mercury. “Good Reason” is defined in each agreement to include an adverse change in the executive’s status or position with Mercury, a reduction in base salary or annual target bonus, failure to maintain the executive’s participation in existing or at least equivalent health and benefit plans, and a significant relocation of the executive’s principal office.</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Severance benefits under each agreement include the following, in addition to the payment of any earned or accrued but unpaid compensation for services previously rendered:</w:t>
      </w:r>
    </w:p>
    <w:p>
      <w:pPr>
        <w:spacing w:after="0" w:line="51" w:lineRule="exact"/>
        <w:rPr>
          <w:sz w:val="20"/>
          <w:szCs w:val="20"/>
          <w:color w:val="auto"/>
        </w:rPr>
      </w:pPr>
    </w:p>
    <w:p>
      <w:pPr>
        <w:ind w:left="900" w:right="3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lump sum cash payment equal to one and one-half times (1.5x) the sum of the executive’s then current annualized base salary and bonus target under our annual executive bonus plan (excluding any over-achievement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outplacement services up to a maximum of $45,000;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health and dental insurance up to 18 months following such termination on the same basis as though the executive had remained an active employee.</w:t>
      </w:r>
    </w:p>
    <w:p>
      <w:pPr>
        <w:spacing w:after="0" w:line="5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if the executive’s employment is terminated within 18 months after a change in control (or during a potential change in control period provided that a change in control takes place within 18 months thereafter), vesting of all his then outstanding stock options and other stock-based awards immediately accelerates and all such awards become exercisable or non-forfeitable.</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Payment of the above-described severance benefits is subject to the executive releasing all his claims against Mercury other than claims that arise from Mercury’s obligations under the severance agreement. In addition, if the executive is party to an employment agreement with Mercury providing for change in control payments or benefits, the executive will receive the benefits payable under this agreement and not under the employment agreement.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agreement provides for a reduction of payments and benefits payable under the agreement to a level where the executive would not be subject to the excise tax pursuant to section 4999 of the Code, but only if such reduction would put the executive in a better after-tax position than if the payments and benefits were paid in full. In addition, each agreement provides for the payment by Mercury of the executive’s legal fees and expenses incurred in connection with good faith disputes under the agreement.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agreements continue in effect through June 30, 2014, subject to automatic one-year extensions thereafter unless notice is given of our or the executive’s intention not to extend the term of the agreement; provided, however, that the agreement continues in effect for not less than 18 months following a change in control that occurs during the term of the agreement. Except as otherwise provided in the agreement, we and each executive may terminate the executive’s employment at any time.</w:t>
      </w:r>
    </w:p>
    <w:p>
      <w:pPr>
        <w:spacing w:after="0" w:line="259" w:lineRule="exact"/>
        <w:rPr>
          <w:sz w:val="20"/>
          <w:szCs w:val="20"/>
          <w:color w:val="auto"/>
        </w:rPr>
      </w:pPr>
    </w:p>
    <w:p>
      <w:pPr>
        <w:ind w:left="1140" w:right="5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SCHEDULES AND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financial statements, schedule, and exhibits listed below are included in or incorporated by reference as part of this report:</w:t>
      </w:r>
    </w:p>
    <w:p>
      <w:pPr>
        <w:spacing w:after="0" w:line="12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as of June 30, 2011 and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Operations for the fiscal years ended June 30, 2011, 2010 and 2009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Consolidated Statements of Shareholders’ Equity for the fiscal years ended June 30, 2011, 2010 and 2009</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Cash Flows for the years ended June 30, 2011, 2010 and 2009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Consolidated Financial Statements</w:t>
      </w:r>
    </w:p>
    <w:p>
      <w:pPr>
        <w:spacing w:after="0" w:line="8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Valuation and Qualifying Accounts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Doubtful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BALANCE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49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3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END OF</w:t>
            </w:r>
          </w:p>
        </w:tc>
      </w:tr>
      <w:tr>
        <w:trPr>
          <w:trHeight w:val="161"/>
        </w:trPr>
        <w:tc>
          <w:tcPr>
            <w:tcW w:w="49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OF PERIOD</w:t>
            </w:r>
          </w:p>
        </w:tc>
        <w:tc>
          <w:tcPr>
            <w:tcW w:w="3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6"/>
              </w:rPr>
              <w:t>ADDITIONS</w:t>
            </w:r>
          </w:p>
        </w:tc>
        <w:tc>
          <w:tcPr>
            <w:tcW w:w="7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REVERSALS</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OFFS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PERIOD</w:t>
            </w:r>
          </w:p>
        </w:tc>
      </w:tr>
      <w:tr>
        <w:trPr>
          <w:trHeight w:val="210"/>
        </w:trPr>
        <w:tc>
          <w:tcPr>
            <w:tcW w:w="4900" w:type="dxa"/>
            <w:vAlign w:val="bottom"/>
            <w:tcBorders>
              <w:top w:val="single" w:sz="8" w:color="CCEEFF"/>
            </w:tcBorders>
            <w:shd w:val="clear" w:color="auto" w:fill="CCEEFF"/>
          </w:tcPr>
          <w:p>
            <w:pPr>
              <w:jc w:val="right"/>
              <w:ind w:right="4452"/>
              <w:spacing w:after="0" w:line="202" w:lineRule="exact"/>
              <w:rPr>
                <w:sz w:val="20"/>
                <w:szCs w:val="20"/>
                <w:color w:val="auto"/>
              </w:rPr>
            </w:pPr>
            <w:r>
              <w:rPr>
                <w:rFonts w:ascii="Arial" w:cs="Arial" w:eastAsia="Arial" w:hAnsi="Arial"/>
                <w:sz w:val="18"/>
                <w:szCs w:val="18"/>
                <w:color w:val="auto"/>
                <w:w w:val="84"/>
              </w:rPr>
              <w:t>2011</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155</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jc w:val="right"/>
              <w:ind w:right="4452"/>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295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jc w:val="right"/>
              <w:ind w:right="4452"/>
              <w:spacing w:after="0"/>
              <w:rPr>
                <w:sz w:val="20"/>
                <w:szCs w:val="20"/>
                <w:color w:val="auto"/>
              </w:rPr>
            </w:pPr>
            <w:r>
              <w:rPr>
                <w:rFonts w:ascii="Arial" w:cs="Arial" w:eastAsia="Arial" w:hAnsi="Arial"/>
                <w:sz w:val="18"/>
                <w:szCs w:val="18"/>
                <w:color w:val="auto"/>
                <w:w w:val="84"/>
              </w:rPr>
              <w:t>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AT</w:t>
            </w:r>
          </w:p>
        </w:tc>
        <w:tc>
          <w:tcPr>
            <w:tcW w:w="36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CHARGED</w:t>
            </w:r>
          </w:p>
        </w:tc>
        <w:tc>
          <w:tcPr>
            <w:tcW w:w="340" w:type="dxa"/>
            <w:vAlign w:val="bottom"/>
          </w:tcPr>
          <w:p>
            <w:pPr>
              <w:spacing w:after="0"/>
              <w:rPr>
                <w:sz w:val="12"/>
                <w:szCs w:val="12"/>
                <w:color w:val="auto"/>
              </w:rPr>
            </w:pP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43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3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COSTS &amp;</w:t>
            </w:r>
          </w:p>
        </w:tc>
        <w:tc>
          <w:tcPr>
            <w:tcW w:w="34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OTHER</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END OF</w:t>
            </w:r>
          </w:p>
        </w:tc>
      </w:tr>
      <w:tr>
        <w:trPr>
          <w:trHeight w:val="161"/>
        </w:trPr>
        <w:tc>
          <w:tcPr>
            <w:tcW w:w="43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OF PERIOD</w:t>
            </w:r>
          </w:p>
        </w:tc>
        <w:tc>
          <w:tcPr>
            <w:tcW w:w="36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EXPENSES</w:t>
            </w:r>
          </w:p>
        </w:tc>
        <w:tc>
          <w:tcPr>
            <w:tcW w:w="3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ACCOUNTS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PERIOD</w:t>
            </w:r>
          </w:p>
        </w:tc>
      </w:tr>
      <w:tr>
        <w:trPr>
          <w:trHeight w:val="210"/>
        </w:trPr>
        <w:tc>
          <w:tcPr>
            <w:tcW w:w="4380" w:type="dxa"/>
            <w:vAlign w:val="bottom"/>
            <w:tcBorders>
              <w:top w:val="single" w:sz="8" w:color="CCEEFF"/>
            </w:tcBorders>
            <w:shd w:val="clear" w:color="auto" w:fill="CCEEFF"/>
          </w:tcPr>
          <w:p>
            <w:pPr>
              <w:jc w:val="right"/>
              <w:ind w:right="3932"/>
              <w:spacing w:after="0" w:line="202" w:lineRule="exact"/>
              <w:rPr>
                <w:sz w:val="20"/>
                <w:szCs w:val="20"/>
                <w:color w:val="auto"/>
              </w:rPr>
            </w:pPr>
            <w:r>
              <w:rPr>
                <w:rFonts w:ascii="Arial" w:cs="Arial" w:eastAsia="Arial" w:hAnsi="Arial"/>
                <w:sz w:val="18"/>
                <w:szCs w:val="18"/>
                <w:color w:val="auto"/>
                <w:w w:val="84"/>
              </w:rPr>
              <w:t>2011</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jc w:val="right"/>
              <w:ind w:right="3932"/>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22,394</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(14,839)</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jc w:val="right"/>
              <w:ind w:right="3932"/>
              <w:spacing w:after="0"/>
              <w:rPr>
                <w:sz w:val="20"/>
                <w:szCs w:val="20"/>
                <w:color w:val="auto"/>
              </w:rPr>
            </w:pPr>
            <w:r>
              <w:rPr>
                <w:rFonts w:ascii="Arial" w:cs="Arial" w:eastAsia="Arial" w:hAnsi="Arial"/>
                <w:sz w:val="18"/>
                <w:szCs w:val="18"/>
                <w:color w:val="auto"/>
                <w:w w:val="84"/>
              </w:rPr>
              <w:t>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28,262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(1,547)</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4,321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Prior year results have been reclassified for the discontinuation of the Visage Imaging (“VI”) and Visualization Sciences Group (“VSG”) operating segments and for the sale of the Biotech business (see Note Q to the consolidated financial statements).</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required by Item 601 of Regulation S-K are listed in the Exhibit Index on page 98,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18, 2011.</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MERCURY COMPUTER SYSTEMS, INC.</w:t>
      </w:r>
    </w:p>
    <w:p>
      <w:pPr>
        <w:spacing w:after="0" w:line="208"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E. Hult</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SENIOR VICE PRESIDENT, CHIEF FINANCIAL OFFICER, AND</w:t>
      </w:r>
    </w:p>
    <w:p>
      <w:pPr>
        <w:jc w:val="center"/>
        <w:ind w:left="7240"/>
        <w:spacing w:after="0" w:line="237" w:lineRule="auto"/>
        <w:rPr>
          <w:sz w:val="20"/>
          <w:szCs w:val="20"/>
          <w:color w:val="auto"/>
        </w:rPr>
      </w:pPr>
      <w:r>
        <w:rPr>
          <w:rFonts w:ascii="Arial" w:cs="Arial" w:eastAsia="Arial" w:hAnsi="Arial"/>
          <w:sz w:val="14"/>
          <w:szCs w:val="14"/>
          <w:b w:val="1"/>
          <w:bCs w:val="1"/>
          <w:color w:val="auto"/>
        </w:rPr>
        <w:t>TREASURER</w:t>
      </w:r>
    </w:p>
    <w:p>
      <w:pPr>
        <w:jc w:val="center"/>
        <w:ind w:left="722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1720"/>
        <w:spacing w:after="0"/>
        <w:tabs>
          <w:tab w:leader="none" w:pos="5780" w:val="left"/>
          <w:tab w:leader="none" w:pos="97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Title(s)</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b w:val="1"/>
          <w:bCs w:val="1"/>
          <w:color w:val="auto"/>
        </w:rPr>
        <w:t>Mark Aslett</w:t>
      </w:r>
    </w:p>
    <w:p>
      <w:pPr>
        <w:spacing w:after="0" w:line="154" w:lineRule="exact"/>
        <w:rPr>
          <w:sz w:val="20"/>
          <w:szCs w:val="20"/>
          <w:color w:val="auto"/>
        </w:rPr>
      </w:pPr>
    </w:p>
    <w:p>
      <w:pPr>
        <w:ind w:left="1080"/>
        <w:spacing w:after="0"/>
        <w:tabs>
          <w:tab w:leader="none" w:pos="1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4"/>
          <w:szCs w:val="14"/>
          <w:b w:val="1"/>
          <w:bCs w:val="1"/>
          <w:color w:val="auto"/>
        </w:rPr>
        <w:t>Robert E. Hult</w:t>
      </w:r>
    </w:p>
    <w:p>
      <w:pPr>
        <w:spacing w:after="0" w:line="154"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HARLES</w:t>
      </w:r>
      <w:r>
        <w:rPr>
          <w:rFonts w:ascii="Arial" w:cs="Arial" w:eastAsia="Arial" w:hAnsi="Arial"/>
          <w:sz w:val="16"/>
          <w:szCs w:val="16"/>
          <w:color w:val="auto"/>
        </w:rPr>
        <w:t xml:space="preserve"> A. S</w:t>
      </w:r>
      <w:r>
        <w:rPr>
          <w:rFonts w:ascii="Arial" w:cs="Arial" w:eastAsia="Arial" w:hAnsi="Arial"/>
          <w:sz w:val="13"/>
          <w:szCs w:val="13"/>
          <w:color w:val="auto"/>
        </w:rPr>
        <w:t>PEICHER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b w:val="1"/>
          <w:bCs w:val="1"/>
          <w:color w:val="auto"/>
        </w:rPr>
        <w:t>Charles A. Speicher</w:t>
      </w:r>
    </w:p>
    <w:p>
      <w:pPr>
        <w:spacing w:after="0" w:line="154"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K.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4"/>
          <w:szCs w:val="14"/>
          <w:b w:val="1"/>
          <w:bCs w:val="1"/>
          <w:color w:val="auto"/>
        </w:rPr>
        <w:t>James K. Bass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President, Chief Executive Officer and Director</w:t>
      </w:r>
      <w:r>
        <w:rPr>
          <w:sz w:val="20"/>
          <w:szCs w:val="20"/>
          <w:color w:val="auto"/>
        </w:rPr>
        <w:tab/>
      </w:r>
      <w:r>
        <w:rPr>
          <w:rFonts w:ascii="Arial" w:cs="Arial" w:eastAsia="Arial" w:hAnsi="Arial"/>
          <w:sz w:val="15"/>
          <w:szCs w:val="15"/>
          <w:color w:val="auto"/>
        </w:rPr>
        <w:t>August 18,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Senior Vice President, Chief Financial Officer,</w:t>
      </w:r>
      <w:r>
        <w:rPr>
          <w:sz w:val="20"/>
          <w:szCs w:val="20"/>
          <w:color w:val="auto"/>
        </w:rPr>
        <w:tab/>
      </w:r>
      <w:r>
        <w:rPr>
          <w:rFonts w:ascii="Arial" w:cs="Arial" w:eastAsia="Arial" w:hAnsi="Arial"/>
          <w:sz w:val="15"/>
          <w:szCs w:val="15"/>
          <w:color w:val="auto"/>
        </w:rPr>
        <w:t>August 18,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Treasurer (principal financial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Vice President, Controller, and Chief Accounting</w:t>
      </w:r>
      <w:r>
        <w:rPr>
          <w:sz w:val="20"/>
          <w:szCs w:val="20"/>
          <w:color w:val="auto"/>
        </w:rPr>
        <w:tab/>
      </w:r>
      <w:r>
        <w:rPr>
          <w:rFonts w:ascii="Arial" w:cs="Arial" w:eastAsia="Arial" w:hAnsi="Arial"/>
          <w:sz w:val="15"/>
          <w:szCs w:val="15"/>
          <w:color w:val="auto"/>
        </w:rPr>
        <w:t>August 18,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accounting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18, 2011</w:t>
      </w:r>
    </w:p>
    <w:p>
      <w:pPr>
        <w:spacing w:after="0" w:line="327" w:lineRule="exact"/>
        <w:rPr>
          <w:sz w:val="20"/>
          <w:szCs w:val="20"/>
          <w:color w:val="auto"/>
        </w:rPr>
      </w:pPr>
    </w:p>
    <w:p>
      <w:pPr>
        <w:sectPr>
          <w:pgSz w:w="11900" w:h="16838" w:orient="portrait"/>
          <w:cols w:equalWidth="0" w:num="2">
            <w:col w:w="3520" w:space="720"/>
            <w:col w:w="712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EORGE</w:t>
            </w:r>
            <w:r>
              <w:rPr>
                <w:rFonts w:ascii="Arial" w:cs="Arial" w:eastAsia="Arial" w:hAnsi="Arial"/>
                <w:sz w:val="18"/>
                <w:szCs w:val="18"/>
                <w:color w:val="auto"/>
                <w:w w:val="99"/>
              </w:rPr>
              <w:t xml:space="preserve"> W. C</w:t>
            </w:r>
            <w:r>
              <w:rPr>
                <w:rFonts w:ascii="Arial" w:cs="Arial" w:eastAsia="Arial" w:hAnsi="Arial"/>
                <w:sz w:val="14"/>
                <w:szCs w:val="14"/>
                <w:color w:val="auto"/>
                <w:w w:val="99"/>
              </w:rPr>
              <w:t>HAMILLARD</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8"/>
              </w:rPr>
              <w:t>George W. Chamillard</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9"/>
              </w:rPr>
              <w:t>Michael A. Daniels</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67"/>
              <w:spacing w:after="0"/>
              <w:rPr>
                <w:sz w:val="20"/>
                <w:szCs w:val="20"/>
                <w:color w:val="auto"/>
              </w:rPr>
            </w:pPr>
            <w:r>
              <w:rPr>
                <w:rFonts w:ascii="Arial" w:cs="Arial" w:eastAsia="Arial" w:hAnsi="Arial"/>
                <w:sz w:val="14"/>
                <w:szCs w:val="14"/>
                <w:b w:val="1"/>
                <w:bCs w:val="1"/>
                <w:color w:val="auto"/>
                <w:w w:val="90"/>
              </w:rPr>
              <w:t>George K. Muellner</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20" w:type="dxa"/>
            <w:vAlign w:val="bottom"/>
            <w:tcBorders>
              <w:bottom w:val="single" w:sz="8" w:color="auto"/>
            </w:tcBorders>
            <w:gridSpan w:val="2"/>
          </w:tcPr>
          <w:p>
            <w:pPr>
              <w:jc w:val="center"/>
              <w:ind w:right="947"/>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93"/>
              </w:rPr>
              <w:t>William K. O’Brien</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60" w:type="dxa"/>
            <w:vAlign w:val="bottom"/>
            <w:tcBorders>
              <w:bottom w:val="single" w:sz="8" w:color="auto"/>
            </w:tcBorders>
          </w:tcPr>
          <w:p>
            <w:pPr>
              <w:jc w:val="center"/>
              <w:ind w:right="1187"/>
              <w:spacing w:after="0"/>
              <w:rPr>
                <w:sz w:val="20"/>
                <w:szCs w:val="20"/>
                <w:color w:val="auto"/>
              </w:rPr>
            </w:pPr>
            <w:r>
              <w:rPr>
                <w:rFonts w:ascii="Arial" w:cs="Arial" w:eastAsia="Arial" w:hAnsi="Arial"/>
                <w:sz w:val="18"/>
                <w:szCs w:val="18"/>
                <w:color w:val="auto"/>
                <w:w w:val="95"/>
              </w:rPr>
              <w:t>L</w:t>
            </w:r>
            <w:r>
              <w:rPr>
                <w:rFonts w:ascii="Arial" w:cs="Arial" w:eastAsia="Arial" w:hAnsi="Arial"/>
                <w:sz w:val="14"/>
                <w:szCs w:val="14"/>
                <w:color w:val="auto"/>
                <w:w w:val="95"/>
              </w:rPr>
              <w:t>EE</w:t>
            </w:r>
            <w:r>
              <w:rPr>
                <w:rFonts w:ascii="Arial" w:cs="Arial" w:eastAsia="Arial" w:hAnsi="Arial"/>
                <w:sz w:val="18"/>
                <w:szCs w:val="18"/>
                <w:color w:val="auto"/>
                <w:w w:val="95"/>
              </w:rPr>
              <w:t xml:space="preserve"> C. S</w:t>
            </w:r>
            <w:r>
              <w:rPr>
                <w:rFonts w:ascii="Arial" w:cs="Arial" w:eastAsia="Arial" w:hAnsi="Arial"/>
                <w:sz w:val="14"/>
                <w:szCs w:val="14"/>
                <w:color w:val="auto"/>
                <w:w w:val="95"/>
              </w:rPr>
              <w:t>TEELE</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4"/>
              </w:rPr>
              <w:t>Lee C. Steele</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0"/>
        </w:trPr>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tcBorders>
              <w:bottom w:val="single" w:sz="8" w:color="auto"/>
            </w:tcBorders>
          </w:tcPr>
          <w:p>
            <w:pPr>
              <w:jc w:val="center"/>
              <w:ind w:right="1187"/>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3200" w:type="dxa"/>
            <w:vAlign w:val="bottom"/>
          </w:tcPr>
          <w:p>
            <w:pPr>
              <w:ind w:left="240"/>
              <w:spacing w:after="0"/>
              <w:rPr>
                <w:sz w:val="20"/>
                <w:szCs w:val="20"/>
                <w:color w:val="auto"/>
              </w:rPr>
            </w:pPr>
            <w:r>
              <w:rPr>
                <w:rFonts w:ascii="Arial" w:cs="Arial" w:eastAsia="Arial" w:hAnsi="Arial"/>
                <w:sz w:val="18"/>
                <w:szCs w:val="18"/>
                <w:color w:val="auto"/>
              </w:rPr>
              <w:t>Chairman of the Board of</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18, 2011</w:t>
            </w:r>
          </w:p>
        </w:tc>
      </w:tr>
      <w:tr>
        <w:trPr>
          <w:trHeight w:val="202"/>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91"/>
              </w:rPr>
              <w:t>Vincent Vitto</w:t>
            </w:r>
          </w:p>
        </w:tc>
        <w:tc>
          <w:tcPr>
            <w:tcW w:w="3200" w:type="dxa"/>
            <w:vAlign w:val="bottom"/>
          </w:tcPr>
          <w:p>
            <w:pPr>
              <w:ind w:left="240"/>
              <w:spacing w:after="0" w:line="202" w:lineRule="exact"/>
              <w:rPr>
                <w:sz w:val="20"/>
                <w:szCs w:val="20"/>
                <w:color w:val="auto"/>
              </w:rPr>
            </w:pPr>
            <w:r>
              <w:rPr>
                <w:rFonts w:ascii="Arial" w:cs="Arial" w:eastAsia="Arial" w:hAnsi="Arial"/>
                <w:sz w:val="18"/>
                <w:szCs w:val="18"/>
                <w:color w:val="auto"/>
              </w:rPr>
              <w:t>Directors</w:t>
            </w:r>
          </w:p>
        </w:tc>
        <w:tc>
          <w:tcPr>
            <w:tcW w:w="2300" w:type="dxa"/>
            <w:vAlign w:val="bottom"/>
          </w:tcPr>
          <w:p>
            <w:pPr>
              <w:spacing w:after="0"/>
              <w:rPr>
                <w:sz w:val="17"/>
                <w:szCs w:val="17"/>
                <w:color w:val="auto"/>
              </w:rPr>
            </w:pPr>
          </w:p>
        </w:tc>
      </w:tr>
      <w:tr>
        <w:trPr>
          <w:trHeight w:val="37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0" w:type="dxa"/>
            <w:vAlign w:val="bottom"/>
          </w:tcPr>
          <w:p>
            <w:pPr>
              <w:ind w:left="1620"/>
              <w:spacing w:after="0"/>
              <w:rPr>
                <w:sz w:val="20"/>
                <w:szCs w:val="20"/>
                <w:color w:val="auto"/>
              </w:rPr>
            </w:pPr>
            <w:r>
              <w:rPr>
                <w:rFonts w:ascii="Arial" w:cs="Arial" w:eastAsia="Arial" w:hAnsi="Arial"/>
                <w:sz w:val="18"/>
                <w:szCs w:val="18"/>
                <w:color w:val="auto"/>
              </w:rPr>
              <w:t>97</w:t>
            </w:r>
          </w:p>
        </w:tc>
        <w:tc>
          <w:tcPr>
            <w:tcW w:w="2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40" w:type="dxa"/>
            <w:vAlign w:val="bottom"/>
          </w:tcPr>
          <w:p>
            <w:pPr>
              <w:ind w:left="16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ITEM NO.</w:t>
            </w:r>
          </w:p>
        </w:tc>
        <w:tc>
          <w:tcPr>
            <w:tcW w:w="103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1.1</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Underwriting Agreement,</w:t>
            </w: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88"/>
              </w:rPr>
              <w:t>dated February 10, 2011, among the Company and Jefferies &amp; Company, Inc. and Lazard Capital Markets LLC as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representatives of the several underwriters named therein (incorporated herein by reference to Exhibit 1.1 of the Company’s current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8-K filed on February 11, 2011)</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Articles of Organization (incorporated herein by reference to Exhibit 3.1.1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ended June 30, 2009)</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Articles of Amendment (incorporated herein by reference to Exhibit 3.1.2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ended June 30, 2010)</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5"/>
              </w:rPr>
              <w:t>Articles of Amendment (incorporated herein by reference to Exhibit 1 of the Company’s registration statement on Form 8-A filed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December 15, 2005)</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Bylaws, amended and restated effective as of May 4, 2011 (incorporated herein by reference to Exhibit 3.2 of the Company’s quarterly report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on Form 10-Q for the quarter ended March 31, 2011)</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Certificate (incorporated herein by reference to Exhibit 4.1 of the Company’s Registration Statement on Form S-1 (File No.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333-41139))</w:t>
            </w:r>
          </w:p>
        </w:tc>
        <w:tc>
          <w:tcPr>
            <w:tcW w:w="8040" w:type="dxa"/>
            <w:vAlign w:val="bottom"/>
          </w:tcPr>
          <w:p>
            <w:pPr>
              <w:spacing w:after="0"/>
              <w:rPr>
                <w:sz w:val="18"/>
                <w:szCs w:val="18"/>
                <w:color w:val="auto"/>
              </w:rPr>
            </w:pP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Shareholder Rights Agreement, dated as of December 14, 2005, between the Company and Computershare Trust Company, N.A. (formerly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3"/>
              </w:rPr>
              <w:t>known as EquiServe Trust Company, N.A.) (incorporated herein by reference to Exhibit 2 of the Company’s registration statement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8-A filed on December 15, 2005)</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1997 Stock Option Plan, as amended and restated (incorporated herein by reference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Exhibit 10.1.1 of the Company’s annual report on Form 10-K for the fiscal year ended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Option Agreement under the 1997 Stock Option Plan (incorporated herein by reference to Exhibit 10.1.2 of the Company’s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annual report on Form 10-K for the fiscal year ended 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1"/>
              </w:rPr>
              <w:t>Form of Restricted Stock Award Agreement under the 1997 Stock Option Plan (incorporated herein by reference to Exhibit 10.1.3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1998 Stock Option Plan (incorporated herein by reference to Exhibit 10.2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1997 Employee Stock Purchase Plan, as amended and restated (incorporated herein by reference to Appendix B to the Company’s definitive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proxy statement filed on September 21,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Form of Indemnification Agreement between the Company and each of its current directors (incorporated herein by reference to Exhibit 10.4</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of the Company’s annual report on 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Annual Executive Bonus Plan – Corporate Financial Performance (incorporated herein by reference to Exhibit 10.6 of the Company’s annual</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9"/>
              </w:rPr>
              <w:t>Annual Executive Bonus Plan – Individual Performance (incorporated herein by reference to Exhibit 10.7 of the Company’s annual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1"/>
              </w:rPr>
              <w:t>2005 Stock Incentive Plan, as amended and restated (incorporated herein by reference to Appendix A to the Company’s definitive proxy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statement filed on September 20, 2010)</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10.8.1*††</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of Stock Option Agreement under the 2005 Stock Incentive Plan</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10.8.2*††</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of Restricted Stock Award Agreement under the 2005 Stock Incentive Plan</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10.8.3*††</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of Deferred Stock Award Agreement under the 2005 Stock Incentive Plan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Option Agreement for performance stock options under the 2005 Stock Incentive Plan (incorporated herein by reference to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Exhibit 10.1 of the Company’s current report on</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8-K filed on September 28, 2007)</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20" w:type="dxa"/>
            <w:vAlign w:val="bottom"/>
            <w:gridSpan w:val="3"/>
          </w:tcPr>
          <w:p>
            <w:pPr>
              <w:ind w:left="452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720" w:type="dxa"/>
            <w:vAlign w:val="bottom"/>
          </w:tcPr>
          <w:p>
            <w:pPr>
              <w:spacing w:after="0"/>
              <w:rPr>
                <w:sz w:val="14"/>
                <w:szCs w:val="14"/>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10.9.1*†</w:t>
            </w:r>
          </w:p>
        </w:tc>
        <w:tc>
          <w:tcPr>
            <w:tcW w:w="720" w:type="dxa"/>
            <w:vAlign w:val="bottom"/>
          </w:tcPr>
          <w:p>
            <w:pPr>
              <w:spacing w:after="0"/>
              <w:rPr>
                <w:sz w:val="17"/>
                <w:szCs w:val="17"/>
                <w:color w:val="auto"/>
              </w:rPr>
            </w:pPr>
          </w:p>
        </w:tc>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Form of Change in Control</w:t>
            </w:r>
          </w:p>
        </w:tc>
        <w:tc>
          <w:tcPr>
            <w:tcW w:w="8140" w:type="dxa"/>
            <w:vAlign w:val="bottom"/>
          </w:tcPr>
          <w:p>
            <w:pPr>
              <w:ind w:left="60"/>
              <w:spacing w:after="0" w:line="201" w:lineRule="exact"/>
              <w:rPr>
                <w:sz w:val="20"/>
                <w:szCs w:val="20"/>
                <w:color w:val="auto"/>
              </w:rPr>
            </w:pPr>
            <w:r>
              <w:rPr>
                <w:rFonts w:ascii="Arial" w:cs="Arial" w:eastAsia="Arial" w:hAnsi="Arial"/>
                <w:sz w:val="18"/>
                <w:szCs w:val="18"/>
                <w:color w:val="auto"/>
              </w:rPr>
              <w:t>Severance Agreement between the Company and Mark Aslett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10.9.2*†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Change in Control Severance Agreement between the Company and Non-CEO Executives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Policy for Non-Employee Directors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November 19, 2007, by and between the Company and Mark Aslett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November 20,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Employment Agreement, dated as of December 20, 2008, by and between the Company and Mark Aslett (incorporated by</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10.2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Second Amendment to Employment Agreement, dated as of September 30, 2009, by and between the Company and Mark Aslett (incorporated</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10.1 of the Company’s quarterly report on Form 10-Q for the quarter ended September 30, 2009)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Agreement, dated as of March 27, 2008, by and between the Company and Didier M.C. Thibaud (incorporated herein by reference to Exhibit</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10.13 of the Company’s annual report on Form 10-K for the fiscal year ended June 30,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Agreement, dated as of December 22, 2008, by and between the Company and Didier M.C. Thibaud (incorporated herein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Agreement, dated March 1, 2010, by and between the Company and Gerald M. Haines II</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Purchase and Sale Agreement dated as of April 12, 2007 among 1999 Riverneck, LLC, Riverneck Road, LLC, 191 Riverneck, LLC and BTI</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199-201 Riverneck, L.P. (incorporated herein by reference to Exhibit 10.1 of the Company’s quarterly report on Form 10-Q for the quarter</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ended March 31,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Lease Agreement dated April 20, 2007 between BTI 199-201 Riverneck, L.P. and the Company (incorporated herein by reference to Exhibit</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10.2 of the Company’s quarterly report on Form 10-Q for the quarter ended March 31,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Loan and Security Agreement dated February 12, 2010 between the Company and Silicon Valley Bank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February 19, 2010)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First Loan Modification Agreement dated March 30, 2011 between the Company and Silicon Valley Bank (incorporated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8-K filed on April 1,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Stock Purchase Agreement by and among the Company, LNX Corporation, and the Holders of the Securities of LNX Corporation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(incorporated herein by reference to Exhibit 10.1 of the Company’s quarterly report on Form 10-Q for the quarter ended March 31,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Subsidiaries of the Company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KPMG LLP</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Certification of the Company’s Chief Executive Officer and Chief Financial Officer pursuant to Section 906 of the Sarbanes-Oxley Act of</w:t>
            </w:r>
          </w:p>
        </w:tc>
      </w:tr>
      <w:tr>
        <w:trPr>
          <w:trHeight w:val="222"/>
        </w:trPr>
        <w:tc>
          <w:tcPr>
            <w:tcW w:w="660" w:type="dxa"/>
            <w:vAlign w:val="bottom"/>
          </w:tcPr>
          <w:p>
            <w:pPr>
              <w:spacing w:after="0"/>
              <w:rPr>
                <w:sz w:val="19"/>
                <w:szCs w:val="19"/>
                <w:color w:val="auto"/>
              </w:rPr>
            </w:pPr>
          </w:p>
        </w:tc>
        <w:tc>
          <w:tcPr>
            <w:tcW w:w="2620" w:type="dxa"/>
            <w:vAlign w:val="bottom"/>
            <w:gridSpan w:val="2"/>
          </w:tcPr>
          <w:p>
            <w:pPr>
              <w:ind w:left="720"/>
              <w:spacing w:after="0"/>
              <w:rPr>
                <w:sz w:val="20"/>
                <w:szCs w:val="20"/>
                <w:color w:val="auto"/>
              </w:rPr>
            </w:pPr>
            <w:r>
              <w:rPr>
                <w:rFonts w:ascii="Arial" w:cs="Arial" w:eastAsia="Arial" w:hAnsi="Arial"/>
                <w:sz w:val="18"/>
                <w:szCs w:val="18"/>
                <w:color w:val="auto"/>
              </w:rPr>
              <w:t>2002</w:t>
            </w:r>
          </w:p>
        </w:tc>
        <w:tc>
          <w:tcPr>
            <w:tcW w:w="8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with this Form 10-K.</w:t>
      </w:r>
    </w:p>
    <w:p>
      <w:pPr>
        <w:spacing w:after="0" w:line="9" w:lineRule="exact"/>
        <w:rPr>
          <w:rFonts w:ascii="Arial" w:cs="Arial" w:eastAsia="Arial" w:hAnsi="Arial"/>
          <w:sz w:val="16"/>
          <w:szCs w:val="16"/>
          <w:color w:val="auto"/>
        </w:rPr>
      </w:pPr>
    </w:p>
    <w:p>
      <w:pPr>
        <w:ind w:left="220" w:right="200" w:hanging="216"/>
        <w:spacing w:after="0" w:line="250" w:lineRule="auto"/>
        <w:rPr>
          <w:rFonts w:ascii="Arial" w:cs="Arial" w:eastAsia="Arial" w:hAnsi="Arial"/>
          <w:sz w:val="16"/>
          <w:szCs w:val="16"/>
          <w:color w:val="auto"/>
        </w:rPr>
      </w:pPr>
      <w:r>
        <w:rPr>
          <w:rFonts w:ascii="Arial" w:cs="Arial" w:eastAsia="Arial" w:hAnsi="Arial"/>
          <w:sz w:val="18"/>
          <w:szCs w:val="18"/>
          <w:color w:val="auto"/>
        </w:rPr>
        <w:t>†† Indicates an exhibit the Company is re-filing with this Form 10-K since the Company cannot incorporate by reference to Exchange Act reports that are more than five years old.</w:t>
      </w:r>
    </w:p>
    <w:p>
      <w:pPr>
        <w:jc w:val="right"/>
        <w:ind w:left="220" w:right="200" w:hanging="216"/>
        <w:spacing w:after="0" w:line="323" w:lineRule="auto"/>
        <w:rPr>
          <w:rFonts w:ascii="Arial" w:cs="Arial" w:eastAsia="Arial" w:hAnsi="Arial"/>
          <w:sz w:val="16"/>
          <w:szCs w:val="16"/>
          <w:color w:val="auto"/>
        </w:rPr>
      </w:pPr>
      <w:r>
        <w:rPr>
          <w:rFonts w:ascii="Arial" w:cs="Arial" w:eastAsia="Arial" w:hAnsi="Arial"/>
          <w:sz w:val="16"/>
          <w:szCs w:val="16"/>
          <w:color w:val="auto"/>
        </w:rPr>
        <w:t>+  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Exhibit 10.8.1</w:t>
            </w:r>
          </w:p>
        </w:tc>
      </w:tr>
      <w:tr>
        <w:trPr>
          <w:trHeight w:val="406"/>
        </w:trPr>
        <w:tc>
          <w:tcPr>
            <w:tcW w:w="4260" w:type="dxa"/>
            <w:vAlign w:val="bottom"/>
          </w:tcPr>
          <w:p>
            <w:pPr>
              <w:spacing w:after="0"/>
              <w:rPr>
                <w:sz w:val="24"/>
                <w:szCs w:val="24"/>
                <w:color w:val="auto"/>
              </w:rPr>
            </w:pPr>
          </w:p>
        </w:tc>
        <w:tc>
          <w:tcPr>
            <w:tcW w:w="7160" w:type="dxa"/>
            <w:vAlign w:val="bottom"/>
            <w:gridSpan w:val="3"/>
          </w:tcPr>
          <w:p>
            <w:pPr>
              <w:ind w:left="1800"/>
              <w:spacing w:after="0"/>
              <w:rPr>
                <w:sz w:val="20"/>
                <w:szCs w:val="20"/>
                <w:color w:val="auto"/>
              </w:rPr>
            </w:pPr>
            <w:r>
              <w:rPr>
                <w:rFonts w:ascii="Arial" w:cs="Arial" w:eastAsia="Arial" w:hAnsi="Arial"/>
                <w:sz w:val="18"/>
                <w:szCs w:val="18"/>
                <w:b w:val="1"/>
                <w:bCs w:val="1"/>
                <w:color w:val="auto"/>
              </w:rPr>
              <w:t>Mercury Computer Systems,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2400" w:type="dxa"/>
            <w:vAlign w:val="bottom"/>
          </w:tcPr>
          <w:p>
            <w:pPr>
              <w:ind w:left="1800"/>
              <w:spacing w:after="0"/>
              <w:rPr>
                <w:sz w:val="20"/>
                <w:szCs w:val="20"/>
                <w:color w:val="auto"/>
              </w:rPr>
            </w:pPr>
            <w:r>
              <w:rPr>
                <w:rFonts w:ascii="Arial" w:cs="Arial" w:eastAsia="Arial" w:hAnsi="Arial"/>
                <w:sz w:val="18"/>
                <w:szCs w:val="18"/>
                <w:color w:val="auto"/>
              </w:rPr>
              <w:t xml:space="preserve">ID: </w:t>
            </w:r>
            <w:r>
              <w:rPr>
                <w:rFonts w:ascii="Arial" w:cs="Arial" w:eastAsia="Arial" w:hAnsi="Arial"/>
                <w:sz w:val="18"/>
                <w:szCs w:val="18"/>
                <w:b w:val="1"/>
                <w:bCs w:val="1"/>
                <w:color w:val="auto"/>
              </w:rPr>
              <w:t>[</w:t>
            </w:r>
          </w:p>
        </w:tc>
        <w:tc>
          <w:tcPr>
            <w:tcW w:w="1180" w:type="dxa"/>
            <w:vAlign w:val="bottom"/>
          </w:tcPr>
          <w:p>
            <w:pPr>
              <w:jc w:val="right"/>
              <w:ind w:right="772"/>
              <w:spacing w:after="0"/>
              <w:rPr>
                <w:sz w:val="20"/>
                <w:szCs w:val="20"/>
                <w:color w:val="auto"/>
              </w:rPr>
            </w:pPr>
            <w:r>
              <w:rPr>
                <w:rFonts w:ascii="Arial" w:cs="Arial" w:eastAsia="Arial" w:hAnsi="Arial"/>
                <w:sz w:val="18"/>
                <w:szCs w:val="18"/>
                <w:b w:val="1"/>
                <w:bCs w:val="1"/>
                <w:color w:val="auto"/>
              </w:rPr>
              <w:t>]</w:t>
            </w:r>
          </w:p>
        </w:tc>
        <w:tc>
          <w:tcPr>
            <w:tcW w:w="358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b w:val="1"/>
                <w:bCs w:val="1"/>
                <w:color w:val="auto"/>
              </w:rPr>
              <w:t>and Option Agreement</w:t>
            </w:r>
          </w:p>
        </w:tc>
        <w:tc>
          <w:tcPr>
            <w:tcW w:w="3580" w:type="dxa"/>
            <w:vAlign w:val="bottom"/>
            <w:gridSpan w:val="2"/>
          </w:tcPr>
          <w:p>
            <w:pPr>
              <w:ind w:left="1800"/>
              <w:spacing w:after="0"/>
              <w:rPr>
                <w:sz w:val="20"/>
                <w:szCs w:val="20"/>
                <w:color w:val="auto"/>
              </w:rPr>
            </w:pPr>
            <w:r>
              <w:rPr>
                <w:rFonts w:ascii="Arial" w:cs="Arial" w:eastAsia="Arial" w:hAnsi="Arial"/>
                <w:sz w:val="18"/>
                <w:szCs w:val="18"/>
                <w:color w:val="auto"/>
              </w:rPr>
              <w:t>199 Riverneck Road</w:t>
            </w:r>
          </w:p>
        </w:tc>
        <w:tc>
          <w:tcPr>
            <w:tcW w:w="3580" w:type="dxa"/>
            <w:vAlign w:val="bottom"/>
          </w:tcPr>
          <w:p>
            <w:pPr>
              <w:spacing w:after="0"/>
              <w:rPr>
                <w:sz w:val="19"/>
                <w:szCs w:val="19"/>
                <w:color w:val="auto"/>
              </w:rPr>
            </w:pPr>
          </w:p>
        </w:tc>
      </w:tr>
      <w:tr>
        <w:trPr>
          <w:trHeight w:val="222"/>
        </w:trPr>
        <w:tc>
          <w:tcPr>
            <w:tcW w:w="4260" w:type="dxa"/>
            <w:vAlign w:val="bottom"/>
          </w:tcPr>
          <w:p>
            <w:pPr>
              <w:spacing w:after="0"/>
              <w:rPr>
                <w:sz w:val="19"/>
                <w:szCs w:val="19"/>
                <w:color w:val="auto"/>
              </w:rPr>
            </w:pPr>
          </w:p>
        </w:tc>
        <w:tc>
          <w:tcPr>
            <w:tcW w:w="3580" w:type="dxa"/>
            <w:vAlign w:val="bottom"/>
            <w:gridSpan w:val="2"/>
          </w:tcPr>
          <w:p>
            <w:pPr>
              <w:ind w:left="1800"/>
              <w:spacing w:after="0"/>
              <w:rPr>
                <w:sz w:val="20"/>
                <w:szCs w:val="20"/>
                <w:color w:val="auto"/>
              </w:rPr>
            </w:pPr>
            <w:r>
              <w:rPr>
                <w:rFonts w:ascii="Arial" w:cs="Arial" w:eastAsia="Arial" w:hAnsi="Arial"/>
                <w:sz w:val="18"/>
                <w:szCs w:val="18"/>
                <w:color w:val="auto"/>
                <w:w w:val="95"/>
              </w:rPr>
              <w:t>Chelmsford, MA 01824</w:t>
            </w:r>
          </w:p>
        </w:tc>
        <w:tc>
          <w:tcPr>
            <w:tcW w:w="3580" w:type="dxa"/>
            <w:vAlign w:val="bottom"/>
          </w:tcPr>
          <w:p>
            <w:pPr>
              <w:spacing w:after="0"/>
              <w:rPr>
                <w:sz w:val="19"/>
                <w:szCs w:val="19"/>
                <w:color w:val="auto"/>
              </w:rPr>
            </w:pPr>
          </w:p>
        </w:tc>
      </w:tr>
      <w:tr>
        <w:trPr>
          <w:trHeight w:val="312"/>
        </w:trPr>
        <w:tc>
          <w:tcPr>
            <w:tcW w:w="4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580" w:type="dxa"/>
            <w:vAlign w:val="bottom"/>
            <w:gridSpan w:val="2"/>
          </w:tcPr>
          <w:p>
            <w:pPr>
              <w:ind w:left="1800"/>
              <w:spacing w:after="0"/>
              <w:rPr>
                <w:sz w:val="20"/>
                <w:szCs w:val="20"/>
                <w:color w:val="auto"/>
              </w:rPr>
            </w:pPr>
            <w:r>
              <w:rPr>
                <w:rFonts w:ascii="Arial" w:cs="Arial" w:eastAsia="Arial" w:hAnsi="Arial"/>
                <w:sz w:val="18"/>
                <w:szCs w:val="18"/>
                <w:b w:val="1"/>
                <w:bCs w:val="1"/>
                <w:color w:val="auto"/>
              </w:rPr>
              <w:t>Option Number: [</w:t>
            </w:r>
          </w:p>
        </w:tc>
        <w:tc>
          <w:tcPr>
            <w:tcW w:w="3580" w:type="dxa"/>
            <w:vAlign w:val="bottom"/>
          </w:tcPr>
          <w:p>
            <w:pPr>
              <w:jc w:val="right"/>
              <w:ind w:right="3332"/>
              <w:spacing w:after="0"/>
              <w:rPr>
                <w:sz w:val="20"/>
                <w:szCs w:val="20"/>
                <w:color w:val="auto"/>
              </w:rPr>
            </w:pPr>
            <w:r>
              <w:rPr>
                <w:rFonts w:ascii="Arial" w:cs="Arial" w:eastAsia="Arial" w:hAnsi="Arial"/>
                <w:sz w:val="18"/>
                <w:szCs w:val="18"/>
                <w:b w:val="1"/>
                <w:bCs w:val="1"/>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7160" w:type="dxa"/>
            <w:vAlign w:val="bottom"/>
            <w:gridSpan w:val="3"/>
          </w:tcPr>
          <w:p>
            <w:pPr>
              <w:ind w:left="18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2005 Stock Incentive Plan</w:t>
            </w:r>
          </w:p>
        </w:tc>
      </w:tr>
      <w:tr>
        <w:trPr>
          <w:trHeight w:val="228"/>
        </w:trPr>
        <w:tc>
          <w:tcPr>
            <w:tcW w:w="4260" w:type="dxa"/>
            <w:vAlign w:val="bottom"/>
          </w:tcPr>
          <w:p>
            <w:pPr>
              <w:spacing w:after="0"/>
              <w:rPr>
                <w:sz w:val="19"/>
                <w:szCs w:val="19"/>
                <w:color w:val="auto"/>
              </w:rPr>
            </w:pPr>
          </w:p>
        </w:tc>
        <w:tc>
          <w:tcPr>
            <w:tcW w:w="2400" w:type="dxa"/>
            <w:vAlign w:val="bottom"/>
          </w:tcPr>
          <w:p>
            <w:pPr>
              <w:ind w:left="1800"/>
              <w:spacing w:after="0"/>
              <w:rPr>
                <w:sz w:val="20"/>
                <w:szCs w:val="20"/>
                <w:color w:val="auto"/>
              </w:rPr>
            </w:pPr>
            <w:r>
              <w:rPr>
                <w:rFonts w:ascii="Arial" w:cs="Arial" w:eastAsia="Arial" w:hAnsi="Arial"/>
                <w:sz w:val="18"/>
                <w:szCs w:val="18"/>
                <w:b w:val="1"/>
                <w:bCs w:val="1"/>
                <w:color w:val="auto"/>
              </w:rPr>
              <w:t>ID: [</w:t>
            </w:r>
          </w:p>
        </w:tc>
        <w:tc>
          <w:tcPr>
            <w:tcW w:w="1180" w:type="dxa"/>
            <w:vAlign w:val="bottom"/>
          </w:tcPr>
          <w:p>
            <w:pPr>
              <w:jc w:val="right"/>
              <w:ind w:right="752"/>
              <w:spacing w:after="0"/>
              <w:rPr>
                <w:sz w:val="20"/>
                <w:szCs w:val="20"/>
                <w:color w:val="auto"/>
              </w:rPr>
            </w:pPr>
            <w:r>
              <w:rPr>
                <w:rFonts w:ascii="Arial" w:cs="Arial" w:eastAsia="Arial" w:hAnsi="Arial"/>
                <w:sz w:val="18"/>
                <w:szCs w:val="18"/>
                <w:b w:val="1"/>
                <w:bCs w:val="1"/>
                <w:color w:val="auto"/>
              </w:rPr>
              <w:t>]</w:t>
            </w:r>
          </w:p>
        </w:tc>
        <w:tc>
          <w:tcPr>
            <w:tcW w:w="3580" w:type="dxa"/>
            <w:vAlign w:val="bottom"/>
          </w:tcPr>
          <w:p>
            <w:pPr>
              <w:spacing w:after="0"/>
              <w:rPr>
                <w:sz w:val="19"/>
                <w:szCs w:val="19"/>
                <w:color w:val="auto"/>
              </w:rPr>
            </w:pPr>
          </w:p>
        </w:tc>
      </w:tr>
    </w:tbl>
    <w:p>
      <w:pPr>
        <w:spacing w:after="0" w:line="156"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32" w:lineRule="auto"/>
        <w:rPr>
          <w:sz w:val="20"/>
          <w:szCs w:val="20"/>
          <w:color w:val="auto"/>
        </w:rPr>
      </w:pPr>
      <w:r>
        <w:rPr>
          <w:rFonts w:ascii="Arial" w:cs="Arial" w:eastAsia="Arial" w:hAnsi="Arial"/>
          <w:sz w:val="16"/>
          <w:szCs w:val="16"/>
          <w:color w:val="auto"/>
        </w:rPr>
        <w:t>Effective [ stock at [</w:t>
      </w:r>
    </w:p>
    <w:p>
      <w:pPr>
        <w:spacing w:after="0" w:line="20" w:lineRule="exact"/>
        <w:rPr>
          <w:sz w:val="20"/>
          <w:szCs w:val="20"/>
          <w:color w:val="auto"/>
        </w:rPr>
      </w:pPr>
      <w:r>
        <w:rPr>
          <w:sz w:val="20"/>
          <w:szCs w:val="20"/>
          <w:color w:val="auto"/>
        </w:rPr>
        <w:br w:type="column"/>
      </w:r>
    </w:p>
    <w:p>
      <w:pPr>
        <w:ind w:firstLine="99"/>
        <w:spacing w:after="0" w:line="268" w:lineRule="auto"/>
        <w:rPr>
          <w:sz w:val="20"/>
          <w:szCs w:val="20"/>
          <w:color w:val="auto"/>
        </w:rPr>
      </w:pPr>
      <w:r>
        <w:rPr>
          <w:rFonts w:ascii="Arial" w:cs="Arial" w:eastAsia="Arial" w:hAnsi="Arial"/>
          <w:sz w:val="18"/>
          <w:szCs w:val="18"/>
          <w:color w:val="auto"/>
        </w:rPr>
        <w:t>], you have been granted a[n] [Incentive] Stock Option to buy [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Mercury Computer Systems, Inc. (the “Company”) common</w:t>
      </w:r>
    </w:p>
    <w:p>
      <w:pPr>
        <w:spacing w:after="0" w:line="410" w:lineRule="exact"/>
        <w:rPr>
          <w:sz w:val="20"/>
          <w:szCs w:val="20"/>
          <w:color w:val="auto"/>
        </w:rPr>
      </w:pPr>
    </w:p>
    <w:p>
      <w:pPr>
        <w:sectPr>
          <w:pgSz w:w="11900" w:h="16838" w:orient="portrait"/>
          <w:cols w:equalWidth="0" w:num="3">
            <w:col w:w="760" w:space="420"/>
            <w:col w:w="4540" w:space="520"/>
            <w:col w:w="518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The total option price of the shares granted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sectPr>
          <w:pgSz w:w="11900" w:h="16838" w:orient="portrait"/>
          <w:cols w:equalWidth="0" w:num="2">
            <w:col w:w="3280" w:space="540"/>
            <w:col w:w="76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020" w:type="dxa"/>
            <w:vAlign w:val="bottom"/>
          </w:tcPr>
          <w:p>
            <w:pPr>
              <w:spacing w:after="0"/>
              <w:rPr>
                <w:sz w:val="15"/>
                <w:szCs w:val="15"/>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2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Vest Type</w:t>
            </w:r>
          </w:p>
        </w:tc>
        <w:tc>
          <w:tcPr>
            <w:tcW w:w="80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Full Vest</w:t>
            </w:r>
          </w:p>
        </w:tc>
        <w:tc>
          <w:tcPr>
            <w:tcW w:w="2000" w:type="dxa"/>
            <w:vAlign w:val="bottom"/>
            <w:gridSpan w:val="2"/>
          </w:tcPr>
          <w:p>
            <w:pPr>
              <w:ind w:left="700"/>
              <w:spacing w:after="0"/>
              <w:rPr>
                <w:sz w:val="20"/>
                <w:szCs w:val="20"/>
                <w:color w:val="auto"/>
              </w:rPr>
            </w:pPr>
            <w:r>
              <w:rPr>
                <w:rFonts w:ascii="Arial" w:cs="Arial" w:eastAsia="Arial" w:hAnsi="Arial"/>
                <w:sz w:val="14"/>
                <w:szCs w:val="14"/>
                <w:b w:val="1"/>
                <w:bCs w:val="1"/>
                <w:color w:val="auto"/>
              </w:rPr>
              <w:t>Expiration</w:t>
            </w:r>
          </w:p>
        </w:tc>
      </w:tr>
      <w:tr>
        <w:trPr>
          <w:trHeight w:val="210"/>
        </w:trPr>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On Vest Date</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On Vest Date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2"/>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On Vest Date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r>
      <w:tr>
        <w:trPr>
          <w:trHeight w:val="222"/>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On Vest Date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92"/>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By your signature and the Company’s signature below, you and the Company agree that these options are granted under and governed by the terms and conditions of the Company’s 2005 Stock Incentive Plan, as amended from time to time, and the Option Agreement, all of which are attached and made a part of this document.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Mercury Computer Systems, Inc.</w:t>
            </w:r>
          </w:p>
        </w:tc>
        <w:tc>
          <w:tcPr>
            <w:tcW w:w="1480" w:type="dxa"/>
            <w:vAlign w:val="bottom"/>
          </w:tcPr>
          <w:p>
            <w:pPr>
              <w:spacing w:after="0"/>
              <w:rPr>
                <w:sz w:val="20"/>
                <w:szCs w:val="20"/>
                <w:color w:val="auto"/>
              </w:rPr>
            </w:pPr>
          </w:p>
        </w:tc>
        <w:tc>
          <w:tcPr>
            <w:tcW w:w="5020" w:type="dxa"/>
            <w:vAlign w:val="bottom"/>
            <w:tcBorders>
              <w:top w:val="single" w:sz="8" w:color="auto"/>
            </w:tcBorders>
          </w:tcPr>
          <w:p>
            <w:pPr>
              <w:ind w:left="2340"/>
              <w:spacing w:after="0"/>
              <w:rPr>
                <w:sz w:val="20"/>
                <w:szCs w:val="20"/>
                <w:color w:val="auto"/>
              </w:rPr>
            </w:pPr>
            <w:r>
              <w:rPr>
                <w:rFonts w:ascii="Arial" w:cs="Arial" w:eastAsia="Arial" w:hAnsi="Arial"/>
                <w:sz w:val="18"/>
                <w:szCs w:val="18"/>
                <w:color w:val="auto"/>
              </w:rPr>
              <w:t>Date</w:t>
            </w:r>
          </w:p>
        </w:tc>
      </w:tr>
      <w:tr>
        <w:trPr>
          <w:trHeight w:val="434"/>
        </w:trPr>
        <w:tc>
          <w:tcPr>
            <w:tcW w:w="492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8"/>
                <w:szCs w:val="18"/>
                <w:color w:val="auto"/>
              </w:rPr>
              <w:t>[Name]</w:t>
            </w:r>
          </w:p>
        </w:tc>
        <w:tc>
          <w:tcPr>
            <w:tcW w:w="1480" w:type="dxa"/>
            <w:vAlign w:val="bottom"/>
          </w:tcPr>
          <w:p>
            <w:pPr>
              <w:spacing w:after="0"/>
              <w:rPr>
                <w:sz w:val="19"/>
                <w:szCs w:val="19"/>
                <w:color w:val="auto"/>
              </w:rPr>
            </w:pPr>
          </w:p>
        </w:tc>
        <w:tc>
          <w:tcPr>
            <w:tcW w:w="5020" w:type="dxa"/>
            <w:vAlign w:val="bottom"/>
          </w:tcPr>
          <w:p>
            <w:pPr>
              <w:ind w:left="234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type w:val="continuous"/>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OPTION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77"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for Employees]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Stock Option shall terminate and no portion will be exercisable on the earliest of the following: (i) the expiration date; (ii) 90 days after the Optionee ceases to be an employee of the Company or one of its subsidiaries for any reason other than as specified in clauses (iii) – (vi) below; (iii) the date the Optionee ceases to be an employee of the Company or one of its subsidiaries if such termination of employment is because of dismissal for cause or because the Optionee is in breach of any employment agreement; (iv) 12 months from the date the Optionee ceases to be an employee if such termination of employment is because the Optionee has become permanently disabled (within the meaning of Section 22(e)(3) of the Code); (v) 12 months from the date of death in the event of the death of the Optionee; or (vi) five years after the Optionee ceases to be an employee of the Company or one of its subsidiaries if such termination of employment is because of the Optionee’s retirement on or after attaining the minimum age, completing the minimum number of years of service and satisfying all other conditions specified for retirement status under the Company’s Retirement Policy Statement. This Stock Option shall be exercisable in accordance with the preceding sentence after the Optionee’s death or after the Optionee otherwise ceases to be an employee of the Company or one of its subsidiaries only to the extent it was vested and exercisable immediately prior to the Optionee’s death or cessation or termination of employment.</w:t>
      </w:r>
    </w:p>
    <w:p>
      <w:pPr>
        <w:spacing w:after="0" w:line="12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the Optionee, either on the date of grant of this Stock Option or subsequent thereto, is or becomes a director, and thereafter ceases to be an employee while remaining a non-employee director, such change in status shall not be a termination of employment for purposes of clauses (ii) or (vi) of the preceding paragraph until the Optionee’s service as a director shall have ceased.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for Board of Directors]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Stock Option shall terminate and no portion will be exercisable on the earliest of the following: (i) the expiration date; (ii) 12 months from the date of death in the event of the death of the Optionee while serving as a director; or (iii) five years after the Optionee ceases to be a director of the Company if such cessation is for any reason other than death. This Stock Option shall be exercisable in accordance with the preceding sentence after the Optionee’s death or after the Optionee otherwise ceases to be a director of the Company only to the extent it was vested and exercisable immediately prior to the Optionee’s death or cessation of service as a director.</w:t>
      </w:r>
    </w:p>
    <w:p>
      <w:pPr>
        <w:spacing w:after="0" w:line="143" w:lineRule="exact"/>
        <w:rPr>
          <w:sz w:val="20"/>
          <w:szCs w:val="20"/>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40" w:firstLine="443"/>
        <w:spacing w:after="0" w:line="259" w:lineRule="auto"/>
        <w:tabs>
          <w:tab w:leader="none" w:pos="11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From time to time on or prior to the expiration of this Stock Option, the Optionee may give written notice to the Company of his election to purchase some or all of the shares of Mercury Computer Systems, Inc. (“Stock”) purchasable at the time of such notice. This notice shall specify the number of shares of Stock to be purchased.</w:t>
      </w:r>
    </w:p>
    <w:p>
      <w:pPr>
        <w:spacing w:after="0" w:line="59"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Payment of the purchase price for the shares may be made by one or more of the following methods: (i) in cash, by certified or bank check or other instrument acceptable to the Company; (ii) through the delivery of shares of Stock that have been purchased by the Optionee on the open market or that have been beneficially owned by the Optionee for at least six months; (iii) a</w:t>
      </w:r>
    </w:p>
    <w:p>
      <w:pPr>
        <w:sectPr>
          <w:pgSz w:w="11900" w:h="16838" w:orient="portrait"/>
          <w:cols w:equalWidth="0" w:num="1">
            <w:col w:w="11380"/>
          </w:cols>
          <w:pgMar w:left="240" w:top="274" w:right="279" w:bottom="1440" w:gutter="0" w:footer="0" w:header="0"/>
        </w:sectPr>
      </w:pPr>
    </w:p>
    <w:bookmarkStart w:id="101" w:name="page102"/>
    <w:bookmarkEnd w:id="10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combination of (i) and (ii); or (iv)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Payment instruments will be received subject to collection.</w:t>
      </w:r>
    </w:p>
    <w:p>
      <w:pPr>
        <w:spacing w:after="0" w:line="62" w:lineRule="exact"/>
        <w:rPr>
          <w:sz w:val="20"/>
          <w:szCs w:val="20"/>
          <w:color w:val="auto"/>
        </w:rPr>
      </w:pPr>
    </w:p>
    <w:p>
      <w:pPr>
        <w:ind w:right="240" w:firstLine="443"/>
        <w:spacing w:after="0" w:line="290" w:lineRule="auto"/>
        <w:tabs>
          <w:tab w:leader="none" w:pos="687" w:val="left"/>
        </w:tabs>
        <w:numPr>
          <w:ilvl w:val="1"/>
          <w:numId w:val="34"/>
        </w:numPr>
        <w:rPr>
          <w:rFonts w:ascii="Arial" w:cs="Arial" w:eastAsia="Arial" w:hAnsi="Arial"/>
          <w:sz w:val="16"/>
          <w:szCs w:val="16"/>
          <w:color w:val="auto"/>
        </w:rPr>
      </w:pPr>
      <w:r>
        <w:rPr>
          <w:rFonts w:ascii="Arial" w:cs="Arial" w:eastAsia="Arial" w:hAnsi="Arial"/>
          <w:sz w:val="16"/>
          <w:szCs w:val="16"/>
          <w:color w:val="auto"/>
        </w:rPr>
        <w:t>Certificates for shares of Stock purchased upon exercise of this Stock Option shall be issued and delivered to the Optionee upon compliance to the satisfaction of the Company with all requirements under applicable laws or regulations in connection with such issuance and with the requirements hereof and of the Plan.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shall have issued and delivered the shares to the Optionee, and the Optionee’s name shall have been entered as the shareholder of record on the books of the Company. Thereupon, the Optionee shall have full voting, dividend and other ownership rights with respect to such shares of Stock.</w:t>
      </w:r>
    </w:p>
    <w:p>
      <w:pPr>
        <w:spacing w:after="0" w:line="37" w:lineRule="exact"/>
        <w:rPr>
          <w:rFonts w:ascii="Arial" w:cs="Arial" w:eastAsia="Arial" w:hAnsi="Arial"/>
          <w:sz w:val="16"/>
          <w:szCs w:val="16"/>
          <w:color w:val="auto"/>
        </w:rPr>
      </w:pPr>
    </w:p>
    <w:p>
      <w:pPr>
        <w:jc w:val="both"/>
        <w:ind w:right="100" w:firstLine="443"/>
        <w:spacing w:after="0" w:line="259" w:lineRule="auto"/>
        <w:tabs>
          <w:tab w:leader="none" w:pos="6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minimum number of shares of Stock with respect to which this Stock Option may be exercised at any one time shall be 50 shares, unless the number of shares with respect to which this Stock Option is being exercised is the total number of shares subject to exercise under this Stock Option at the time.</w:t>
      </w:r>
    </w:p>
    <w:p>
      <w:pPr>
        <w:spacing w:after="0" w:line="140" w:lineRule="exact"/>
        <w:rPr>
          <w:rFonts w:ascii="Arial" w:cs="Arial" w:eastAsia="Arial" w:hAnsi="Arial"/>
          <w:sz w:val="18"/>
          <w:szCs w:val="18"/>
          <w:color w:val="auto"/>
        </w:rPr>
      </w:pPr>
    </w:p>
    <w:p>
      <w:pPr>
        <w:ind w:left="-460" w:firstLine="464"/>
        <w:spacing w:after="0" w:line="306" w:lineRule="auto"/>
        <w:tabs>
          <w:tab w:leader="none" w:pos="17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This Stock Option may be cancelled, rescinded, suspended, withheld or otherwise limited or restricted by the Administrator at any time, and any gain realized or payment received as a result of the exercise of this Stock Option may be subject to recapture by the Company if the Optionee engages in any Detrimental Activity prior to or during the six months following any exercise, payment or delivery pursuant to this Stock Option.</w:t>
      </w:r>
    </w:p>
    <w:p>
      <w:pPr>
        <w:spacing w:after="0" w:line="106" w:lineRule="exact"/>
        <w:rPr>
          <w:rFonts w:ascii="Arial" w:cs="Arial" w:eastAsia="Arial" w:hAnsi="Arial"/>
          <w:sz w:val="16"/>
          <w:szCs w:val="16"/>
          <w:color w:val="auto"/>
        </w:rPr>
      </w:pPr>
    </w:p>
    <w:p>
      <w:pPr>
        <w:ind w:left="-460" w:firstLine="464"/>
        <w:spacing w:after="0" w:line="332" w:lineRule="auto"/>
        <w:tabs>
          <w:tab w:leader="none" w:pos="17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Notwithstanding anything herein to the contrary, this Stock Option shall be subject to and governed by all the terms and conditions of the Plan. Capitalized terms in this Agreement shall have the meaning specified in the Plan, unless a different meaning is specified herein.</w:t>
      </w:r>
    </w:p>
    <w:p>
      <w:pPr>
        <w:spacing w:after="0" w:line="85" w:lineRule="exact"/>
        <w:rPr>
          <w:rFonts w:ascii="Arial" w:cs="Arial" w:eastAsia="Arial" w:hAnsi="Arial"/>
          <w:sz w:val="16"/>
          <w:szCs w:val="16"/>
          <w:color w:val="auto"/>
        </w:rPr>
      </w:pPr>
    </w:p>
    <w:p>
      <w:pPr>
        <w:jc w:val="both"/>
        <w:ind w:left="-460" w:right="220" w:firstLine="464"/>
        <w:spacing w:after="0" w:line="259" w:lineRule="auto"/>
        <w:tabs>
          <w:tab w:leader="none" w:pos="1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only by the Optionee’s legal representative or legatee. All references herein to the Optionee shall be read to include the Optionee’s representative or legatee.</w:t>
      </w:r>
    </w:p>
    <w:p>
      <w:pPr>
        <w:sectPr>
          <w:pgSz w:w="11900" w:h="16838" w:orient="portrait"/>
          <w:cols w:equalWidth="0" w:num="1">
            <w:col w:w="10960"/>
          </w:cols>
          <w:pgMar w:left="700" w:top="280" w:right="239" w:bottom="1440" w:gutter="0" w:footer="0" w:header="0"/>
        </w:sectPr>
      </w:pPr>
    </w:p>
    <w:bookmarkStart w:id="102" w:name="page103"/>
    <w:bookmarkEnd w:id="102"/>
    <w:p>
      <w:pPr>
        <w:ind w:left="10380"/>
        <w:spacing w:after="0"/>
        <w:rPr>
          <w:sz w:val="20"/>
          <w:szCs w:val="20"/>
          <w:color w:val="auto"/>
        </w:rPr>
      </w:pPr>
      <w:r>
        <w:rPr>
          <w:rFonts w:ascii="Arial" w:cs="Arial" w:eastAsia="Arial" w:hAnsi="Arial"/>
          <w:sz w:val="16"/>
          <w:szCs w:val="16"/>
          <w:b w:val="1"/>
          <w:bCs w:val="1"/>
          <w:color w:val="auto"/>
        </w:rPr>
        <w:t>Exhibit 10.8.2</w:t>
      </w:r>
    </w:p>
    <w:p>
      <w:pPr>
        <w:spacing w:after="0" w:line="20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RESTRICTED STOCK AWARD AGREEMENT</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UNDER THE MERCURY COMPUTER SYSTEMS,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STOCK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Final Acceptance Date:</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the Mercury Computer Systems, Inc. 2005 Stock Incentive Plan (the “Plan”) as amended through the date hereof, Mercury Computer Systems, Inc. (the “Company”) hereby grants a Restricted Stock Award (an “Award”) to the Grantee named above. Upon acceptance of this Award, the Grantee shall receive the number of shares of Common Stock, par value $0.01 per share (the “Stock”), of the Company specified above, subject to the restrictions and conditions set forth herein and in the Plan.</w:t>
      </w:r>
    </w:p>
    <w:p>
      <w:pPr>
        <w:spacing w:after="0" w:line="143" w:lineRule="exact"/>
        <w:rPr>
          <w:sz w:val="20"/>
          <w:szCs w:val="20"/>
          <w:color w:val="auto"/>
        </w:rPr>
      </w:pPr>
    </w:p>
    <w:p>
      <w:pPr>
        <w:ind w:right="100" w:firstLine="464"/>
        <w:spacing w:after="0" w:line="291"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Acceptance of Award</w:t>
      </w:r>
      <w:r>
        <w:rPr>
          <w:rFonts w:ascii="Arial" w:cs="Arial" w:eastAsia="Arial" w:hAnsi="Arial"/>
          <w:sz w:val="16"/>
          <w:szCs w:val="16"/>
          <w:color w:val="auto"/>
        </w:rPr>
        <w:t>. The Grantee shall have no rights with respect to this Award unless he or she shall have accepted this Award prior to the close of business on the Final Acceptance Date specified above by (i) signing and delivering to the Company a copy of this Award Agreement and (ii) delivering to the Company a stock power endorsed in blank. Upon acceptance of this Award by the Grantee, the shares of Restricted Stock so accepted shall be issued and held by the Company’s transfer agent in book entry form, and the Grantee’s name shall be entered as the shareholder of record on the books of the Company. Thereupon, the Grantee shall have all the rights of a shareholder with respect to such shares, including voting and dividend rights, subject, however, to the restrictions and conditions specified in Paragraph 2 below.</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Grantee’s employment with the Company and its Subsidiaries is voluntarily or involuntarily terminated for any reason (including death) prior to vesting of shares of Restricted Stock granted herein, all non-vested shares shall be automatically forfeited to the Company.</w:t>
      </w:r>
    </w:p>
    <w:p>
      <w:pPr>
        <w:spacing w:after="0" w:line="131" w:lineRule="exact"/>
        <w:rPr>
          <w:rFonts w:ascii="Arial" w:cs="Arial" w:eastAsia="Arial" w:hAnsi="Arial"/>
          <w:sz w:val="18"/>
          <w:szCs w:val="18"/>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 The restrictions and conditions in Paragraph 2 of this Agreement shall lapse on the Vesting Date or Dates specified in the following schedule. If a series of Vesting Dates is specified, then the restrictions and conditions in Paragraph 2 shall lapse only with respect to the number of shares of Restricted Stock specified as vested on such date.</w:t>
      </w:r>
    </w:p>
    <w:p>
      <w:pPr>
        <w:sectPr>
          <w:pgSz w:w="11900" w:h="16838" w:orient="portrait"/>
          <w:cols w:equalWidth="0" w:num="1">
            <w:col w:w="11420"/>
          </w:cols>
          <w:pgMar w:left="240" w:top="125" w:right="239" w:bottom="1440" w:gutter="0" w:footer="0" w:header="0"/>
        </w:sectPr>
      </w:pPr>
    </w:p>
    <w:bookmarkStart w:id="103" w:name="page104"/>
    <w:bookmarkEnd w:id="103"/>
    <w:tbl>
      <w:tblPr>
        <w:tblLayout w:type="fixed"/>
        <w:tblInd w:w="2860" w:type="dxa"/>
        <w:tblCellMar>
          <w:top w:w="0" w:type="dxa"/>
          <w:left w:w="0" w:type="dxa"/>
          <w:bottom w:w="0" w:type="dxa"/>
          <w:right w:w="0" w:type="dxa"/>
        </w:tblCellMar>
      </w:tblPr>
      <w:tr>
        <w:trPr>
          <w:trHeight w:val="161"/>
        </w:trPr>
        <w:tc>
          <w:tcPr>
            <w:tcW w:w="3260" w:type="dxa"/>
            <w:vAlign w:val="bottom"/>
          </w:tcPr>
          <w:p>
            <w:pPr>
              <w:jc w:val="center"/>
              <w:ind w:right="1292"/>
              <w:spacing w:after="0"/>
              <w:rPr>
                <w:sz w:val="20"/>
                <w:szCs w:val="20"/>
                <w:color w:val="auto"/>
              </w:rPr>
            </w:pPr>
            <w:r>
              <w:rPr>
                <w:rFonts w:ascii="Arial" w:cs="Arial" w:eastAsia="Arial" w:hAnsi="Arial"/>
                <w:sz w:val="14"/>
                <w:szCs w:val="14"/>
                <w:b w:val="1"/>
                <w:bCs w:val="1"/>
                <w:color w:val="auto"/>
                <w:w w:val="88"/>
              </w:rPr>
              <w:t>Number of</w:t>
            </w:r>
          </w:p>
        </w:tc>
        <w:tc>
          <w:tcPr>
            <w:tcW w:w="2060" w:type="dxa"/>
            <w:vAlign w:val="bottom"/>
          </w:tcPr>
          <w:p>
            <w:pPr>
              <w:spacing w:after="0"/>
              <w:rPr>
                <w:sz w:val="14"/>
                <w:szCs w:val="14"/>
                <w:color w:val="auto"/>
              </w:rPr>
            </w:pPr>
          </w:p>
        </w:tc>
      </w:tr>
      <w:tr>
        <w:trPr>
          <w:trHeight w:val="188"/>
        </w:trPr>
        <w:tc>
          <w:tcPr>
            <w:tcW w:w="3260" w:type="dxa"/>
            <w:vAlign w:val="bottom"/>
          </w:tcPr>
          <w:p>
            <w:pPr>
              <w:jc w:val="center"/>
              <w:ind w:right="1272"/>
              <w:spacing w:after="0"/>
              <w:rPr>
                <w:sz w:val="20"/>
                <w:szCs w:val="20"/>
                <w:color w:val="auto"/>
              </w:rPr>
            </w:pPr>
            <w:r>
              <w:rPr>
                <w:rFonts w:ascii="Arial" w:cs="Arial" w:eastAsia="Arial" w:hAnsi="Arial"/>
                <w:sz w:val="14"/>
                <w:szCs w:val="14"/>
                <w:b w:val="1"/>
                <w:bCs w:val="1"/>
                <w:color w:val="auto"/>
                <w:w w:val="84"/>
              </w:rPr>
              <w:t>Shares of Restricted Stock Vested</w:t>
            </w:r>
          </w:p>
        </w:tc>
        <w:tc>
          <w:tcPr>
            <w:tcW w:w="2060" w:type="dxa"/>
            <w:vAlign w:val="bottom"/>
          </w:tcPr>
          <w:p>
            <w:pPr>
              <w:ind w:left="1320"/>
              <w:spacing w:after="0"/>
              <w:rPr>
                <w:sz w:val="20"/>
                <w:szCs w:val="20"/>
                <w:color w:val="auto"/>
              </w:rPr>
            </w:pPr>
            <w:r>
              <w:rPr>
                <w:rFonts w:ascii="Arial" w:cs="Arial" w:eastAsia="Arial" w:hAnsi="Arial"/>
                <w:sz w:val="14"/>
                <w:szCs w:val="14"/>
                <w:b w:val="1"/>
                <w:bCs w:val="1"/>
                <w:u w:val="single" w:color="auto"/>
                <w:color w:val="auto"/>
                <w:w w:val="84"/>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-15875</wp:posOffset>
            </wp:positionV>
            <wp:extent cx="4922520" cy="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22520" cy="111760"/>
                    </a:xfrm>
                    <a:prstGeom prst="rect">
                      <a:avLst/>
                    </a:prstGeom>
                    <a:noFill/>
                  </pic:spPr>
                </pic:pic>
              </a:graphicData>
            </a:graphic>
          </wp:anchor>
        </w:drawing>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such Vesting Date or Dates, the shares of Stock on which all restrictions and conditions have lapsed shall no longer be deemed Restricted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left="640" w:hanging="176"/>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171" w:lineRule="exact"/>
        <w:rPr>
          <w:rFonts w:ascii="Arial" w:cs="Arial" w:eastAsia="Arial" w:hAnsi="Arial"/>
          <w:sz w:val="18"/>
          <w:szCs w:val="18"/>
          <w:color w:val="auto"/>
        </w:rPr>
      </w:pPr>
    </w:p>
    <w:p>
      <w:pPr>
        <w:jc w:val="both"/>
        <w:ind w:right="140" w:firstLine="464"/>
        <w:spacing w:after="0" w:line="259" w:lineRule="auto"/>
        <w:tabs>
          <w:tab w:leader="none" w:pos="63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3 of the Plan. Capitalized terms in this Agreement shall have the meaning specified in the Plan, unless a different meaning is specified herein.</w:t>
      </w:r>
    </w:p>
    <w:p>
      <w:pPr>
        <w:spacing w:after="0" w:line="140" w:lineRule="exact"/>
        <w:rPr>
          <w:rFonts w:ascii="Arial" w:cs="Arial" w:eastAsia="Arial" w:hAnsi="Arial"/>
          <w:sz w:val="18"/>
          <w:szCs w:val="18"/>
          <w:color w:val="auto"/>
        </w:rPr>
      </w:pPr>
    </w:p>
    <w:p>
      <w:pPr>
        <w:ind w:right="300" w:firstLine="464"/>
        <w:spacing w:after="0" w:line="268" w:lineRule="auto"/>
        <w:tabs>
          <w:tab w:leader="none" w:pos="63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31" w:lineRule="exact"/>
        <w:rPr>
          <w:rFonts w:ascii="Arial" w:cs="Arial" w:eastAsia="Arial" w:hAnsi="Arial"/>
          <w:sz w:val="18"/>
          <w:szCs w:val="18"/>
          <w:color w:val="auto"/>
        </w:rPr>
      </w:pPr>
    </w:p>
    <w:p>
      <w:pPr>
        <w:ind w:right="300" w:firstLine="464"/>
        <w:spacing w:after="0" w:line="303" w:lineRule="auto"/>
        <w:tabs>
          <w:tab w:leader="none" w:pos="632"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Grantee may elect to have the required minimum tax withholding obligation satisfied, in whole or in part, by</w:t>
      </w:r>
    </w:p>
    <w:p>
      <w:pPr>
        <w:spacing w:after="0" w:line="1" w:lineRule="exact"/>
        <w:rPr>
          <w:rFonts w:ascii="Arial" w:cs="Arial" w:eastAsia="Arial" w:hAnsi="Arial"/>
          <w:sz w:val="15"/>
          <w:szCs w:val="15"/>
          <w:color w:val="auto"/>
        </w:rPr>
      </w:pPr>
    </w:p>
    <w:p>
      <w:pPr>
        <w:ind w:firstLine="8"/>
        <w:spacing w:after="0" w:line="261"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Company to withhold from shares of Stock to be issued, or (ii) transferring to the Company, a number of shares of Stock with an aggregate Fair Market Value that would satisfy the withholding amount due.</w:t>
      </w:r>
    </w:p>
    <w:p>
      <w:pPr>
        <w:spacing w:after="0" w:line="137" w:lineRule="exact"/>
        <w:rPr>
          <w:rFonts w:ascii="Arial" w:cs="Arial" w:eastAsia="Arial" w:hAnsi="Arial"/>
          <w:sz w:val="18"/>
          <w:szCs w:val="18"/>
          <w:color w:val="auto"/>
        </w:rPr>
      </w:pPr>
    </w:p>
    <w:p>
      <w:pPr>
        <w:ind w:left="640" w:hanging="176"/>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37" w:val="left"/>
        </w:tabs>
        <w:numPr>
          <w:ilvl w:val="2"/>
          <w:numId w:val="38"/>
        </w:numPr>
        <w:rPr>
          <w:rFonts w:ascii="Arial" w:cs="Arial" w:eastAsia="Arial" w:hAnsi="Arial"/>
          <w:sz w:val="18"/>
          <w:szCs w:val="18"/>
          <w:color w:val="auto"/>
        </w:rPr>
      </w:pPr>
      <w:r>
        <w:rPr>
          <w:rFonts w:ascii="Arial" w:cs="Arial" w:eastAsia="Arial" w:hAnsi="Arial"/>
          <w:sz w:val="18"/>
          <w:szCs w:val="18"/>
          <w:color w:val="auto"/>
        </w:rPr>
        <w:t>Notice hereunder shall be given to the Company at its principal place of business, and shall be given to the Grantee at the address set forth below, or in either case at such other address as one party may subsequently furnish to the other party in writing.</w:t>
      </w:r>
    </w:p>
    <w:p>
      <w:pPr>
        <w:sectPr>
          <w:pgSz w:w="11900" w:h="16838" w:orient="portrait"/>
          <w:cols w:equalWidth="0" w:num="1">
            <w:col w:w="11400"/>
          </w:cols>
          <w:pgMar w:left="240" w:top="263" w:right="259" w:bottom="1440" w:gutter="0" w:footer="0" w:header="0"/>
        </w:sectPr>
      </w:pPr>
    </w:p>
    <w:bookmarkStart w:id="104" w:name="page105"/>
    <w:bookmarkEnd w:id="104"/>
    <w:p>
      <w:pPr>
        <w:ind w:left="1160" w:hanging="257"/>
        <w:spacing w:after="0"/>
        <w:tabs>
          <w:tab w:leader="none" w:pos="1160"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does not confer upon the Grantee any rights with respect to continuation of employment by the Company or any Subsidiary.</w:t>
      </w:r>
    </w:p>
    <w:p>
      <w:pPr>
        <w:spacing w:after="0" w:line="246" w:lineRule="exact"/>
        <w:rPr>
          <w:rFonts w:ascii="Arial" w:cs="Arial" w:eastAsia="Arial" w:hAnsi="Arial"/>
          <w:sz w:val="15"/>
          <w:szCs w:val="15"/>
          <w:color w:val="auto"/>
        </w:rPr>
      </w:pPr>
    </w:p>
    <w:p>
      <w:pPr>
        <w:ind w:left="6860"/>
        <w:spacing w:after="0"/>
        <w:rPr>
          <w:rFonts w:ascii="Arial" w:cs="Arial" w:eastAsia="Arial" w:hAnsi="Arial"/>
          <w:sz w:val="15"/>
          <w:szCs w:val="15"/>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68008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name and address:</w:t>
      </w:r>
    </w:p>
    <w:p>
      <w:pPr>
        <w:sectPr>
          <w:pgSz w:w="11900" w:h="16838" w:orient="portrait"/>
          <w:cols w:equalWidth="0" w:num="1">
            <w:col w:w="11040"/>
          </w:cols>
          <w:pgMar w:left="240" w:top="280" w:right="6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10.8.3</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DEFERRED STOCK AWARD AGREEMENT</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UNDER THE MERCURY COMPUTER SYSTEMS,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STOCK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of Phantom Stock Units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the Mercury Computer Systems, Inc. 2005 Stock Incentive Plan (the “Plan”) as amended through the date hereof, Mercury Computer Systems, Inc. (the “Company”) hereby grants a deferred stock award consisting of the number of phantom stock units listed above (an “Award”) to the Grantee named above. Each “phantom stock unit” shall relate to one share of Common Stock, par value $.01 per share (the “Stock”) of the Company specified above, subject to the restrictions and conditions set forth herein and in the Plan.</w:t>
      </w:r>
    </w:p>
    <w:p>
      <w:pPr>
        <w:spacing w:after="0" w:line="143" w:lineRule="exact"/>
        <w:rPr>
          <w:sz w:val="20"/>
          <w:szCs w:val="20"/>
          <w:color w:val="auto"/>
        </w:rPr>
      </w:pPr>
    </w:p>
    <w:p>
      <w:pPr>
        <w:ind w:right="4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of Award</w:t>
      </w:r>
      <w:r>
        <w:rPr>
          <w:rFonts w:ascii="Arial" w:cs="Arial" w:eastAsia="Arial" w:hAnsi="Arial"/>
          <w:sz w:val="15"/>
          <w:szCs w:val="15"/>
          <w:color w:val="auto"/>
        </w:rPr>
        <w:t>. The Award shall not be sold, transferred, pledged, assigned or otherwise encumbered or disposed of by the Grantee, until (i) the phantom stock units have vested as provided in Section 2 of this Agreement, and (ii) shares have been issued pursuant to Section 4 of this Agreement.</w:t>
      </w:r>
    </w:p>
    <w:p>
      <w:pPr>
        <w:spacing w:after="0" w:line="62" w:lineRule="exact"/>
        <w:rPr>
          <w:rFonts w:ascii="Arial" w:cs="Arial" w:eastAsia="Arial" w:hAnsi="Arial"/>
          <w:sz w:val="15"/>
          <w:szCs w:val="15"/>
          <w:color w:val="auto"/>
        </w:rPr>
      </w:pPr>
    </w:p>
    <w:p>
      <w:pPr>
        <w:ind w:right="460" w:firstLine="464"/>
        <w:spacing w:after="0" w:line="268"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 of Phantom Stock Units</w:t>
      </w:r>
      <w:r>
        <w:rPr>
          <w:rFonts w:ascii="Arial" w:cs="Arial" w:eastAsia="Arial" w:hAnsi="Arial"/>
          <w:sz w:val="18"/>
          <w:szCs w:val="18"/>
          <w:color w:val="auto"/>
        </w:rPr>
        <w:t>. The phantom stock units shall vest in accordance with the schedule set forth below, provided in each case that the Grantee is then, and since the Grant Date has continuously been, employed by the Company or its Subsidiaries.</w:t>
      </w:r>
    </w:p>
    <w:p>
      <w:pPr>
        <w:sectPr>
          <w:pgSz w:w="11900" w:h="16838" w:orient="portrait"/>
          <w:cols w:equalWidth="0" w:num="1">
            <w:col w:w="11420"/>
          </w:cols>
          <w:pgMar w:left="240" w:top="125" w:right="239" w:bottom="1440" w:gutter="0" w:footer="0" w:header="0"/>
        </w:sectPr>
      </w:pPr>
    </w:p>
    <w:p>
      <w:pPr>
        <w:spacing w:after="0" w:line="168" w:lineRule="exact"/>
        <w:rPr>
          <w:sz w:val="20"/>
          <w:szCs w:val="20"/>
          <w:color w:val="auto"/>
        </w:rPr>
      </w:pPr>
    </w:p>
    <w:p>
      <w:pPr>
        <w:jc w:val="center"/>
        <w:ind w:left="920"/>
        <w:spacing w:after="0"/>
        <w:rPr>
          <w:sz w:val="20"/>
          <w:szCs w:val="20"/>
          <w:color w:val="auto"/>
        </w:rPr>
      </w:pPr>
      <w:r>
        <w:rPr>
          <w:rFonts w:ascii="Arial" w:cs="Arial" w:eastAsia="Arial" w:hAnsi="Arial"/>
          <w:sz w:val="14"/>
          <w:szCs w:val="14"/>
          <w:b w:val="1"/>
          <w:bCs w:val="1"/>
          <w:color w:val="auto"/>
        </w:rPr>
        <w:t>Incremental (Aggregate)</w:t>
      </w:r>
    </w:p>
    <w:p>
      <w:pPr>
        <w:jc w:val="center"/>
        <w:ind w:left="920"/>
        <w:spacing w:after="0" w:line="223" w:lineRule="auto"/>
        <w:rPr>
          <w:sz w:val="20"/>
          <w:szCs w:val="20"/>
          <w:color w:val="auto"/>
        </w:rPr>
      </w:pPr>
      <w:r>
        <w:rPr>
          <w:rFonts w:ascii="Arial" w:cs="Arial" w:eastAsia="Arial" w:hAnsi="Arial"/>
          <w:sz w:val="14"/>
          <w:szCs w:val="14"/>
          <w:b w:val="1"/>
          <w:bCs w:val="1"/>
          <w:color w:val="auto"/>
        </w:rPr>
        <w:t>Number of</w:t>
      </w:r>
    </w:p>
    <w:p>
      <w:pPr>
        <w:spacing w:after="0" w:line="1" w:lineRule="exact"/>
        <w:rPr>
          <w:sz w:val="20"/>
          <w:szCs w:val="20"/>
          <w:color w:val="auto"/>
        </w:rPr>
      </w:pPr>
    </w:p>
    <w:p>
      <w:pPr>
        <w:jc w:val="center"/>
        <w:ind w:left="920"/>
        <w:spacing w:after="0"/>
        <w:rPr>
          <w:sz w:val="20"/>
          <w:szCs w:val="20"/>
          <w:color w:val="auto"/>
        </w:rPr>
      </w:pPr>
      <w:r>
        <w:rPr>
          <w:rFonts w:ascii="Arial" w:cs="Arial" w:eastAsia="Arial" w:hAnsi="Arial"/>
          <w:sz w:val="12"/>
          <w:szCs w:val="12"/>
          <w:b w:val="1"/>
          <w:bCs w:val="1"/>
          <w:color w:val="auto"/>
        </w:rPr>
        <w:t>Phantom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203200</wp:posOffset>
            </wp:positionV>
            <wp:extent cx="492252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22520" cy="9461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391795</wp:posOffset>
            </wp:positionV>
            <wp:extent cx="492252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22520" cy="9461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492252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Date</w:t>
      </w:r>
    </w:p>
    <w:p>
      <w:pPr>
        <w:spacing w:after="0" w:line="214"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0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In the event the Grantee’s employment is terminated prior to the applicable vesting dates, all phantom stock units that have not previously been vested on such dates shall be immediately forfeited to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Receipt of Shares of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40" w:firstLine="921"/>
        <w:spacing w:after="0" w:line="259" w:lineRule="auto"/>
        <w:tabs>
          <w:tab w:leader="none" w:pos="11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soon as practicable following each vesting date, the Company shall direct its transfer agent to issue to the Grantee in book entry form the number of shares of Stock equal to the number of phantom stock units credited to the Grantee that have vested pursuant to Section 2 of this Agreement on such date in satisfaction of such phantom stock units.</w:t>
      </w:r>
    </w:p>
    <w:p>
      <w:pPr>
        <w:spacing w:after="0" w:line="140" w:lineRule="exact"/>
        <w:rPr>
          <w:rFonts w:ascii="Arial" w:cs="Arial" w:eastAsia="Arial" w:hAnsi="Arial"/>
          <w:sz w:val="18"/>
          <w:szCs w:val="18"/>
          <w:color w:val="auto"/>
        </w:rPr>
      </w:pPr>
    </w:p>
    <w:p>
      <w:pPr>
        <w:ind w:right="240" w:firstLine="921"/>
        <w:spacing w:after="0" w:line="268"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each instance above, the issuance of shares of Stock shall be subject to the payment by the Grantee by cash or other means acceptable to the Company of any federal,</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local and other applicable taxes required to be withheld in connection with such issuance in accordance with Section 7 of this Agreement. The Grantee understands that once shares have been delivered by book entry to the Grantee in respect of the phantom stock units, the Grantee will be free to sell such shares of Stock, subject to applicable requirements of federal and state securities laws.</w:t>
      </w:r>
    </w:p>
    <w:p>
      <w:pPr>
        <w:spacing w:after="0" w:line="140" w:lineRule="exact"/>
        <w:rPr>
          <w:sz w:val="20"/>
          <w:szCs w:val="20"/>
          <w:color w:val="auto"/>
        </w:rPr>
      </w:pPr>
    </w:p>
    <w:p>
      <w:pPr>
        <w:jc w:val="both"/>
        <w:ind w:right="120" w:firstLine="464"/>
        <w:spacing w:after="0" w:line="259" w:lineRule="auto"/>
        <w:tabs>
          <w:tab w:leader="none" w:pos="63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40" w:lineRule="exact"/>
        <w:rPr>
          <w:rFonts w:ascii="Arial" w:cs="Arial" w:eastAsia="Arial" w:hAnsi="Arial"/>
          <w:sz w:val="18"/>
          <w:szCs w:val="18"/>
          <w:color w:val="auto"/>
        </w:rPr>
      </w:pPr>
    </w:p>
    <w:p>
      <w:pPr>
        <w:ind w:right="240" w:firstLine="464"/>
        <w:spacing w:after="0" w:line="268" w:lineRule="auto"/>
        <w:tabs>
          <w:tab w:leader="none" w:pos="63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Transferability of this Agreement</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31" w:lineRule="exact"/>
        <w:rPr>
          <w:rFonts w:ascii="Arial" w:cs="Arial" w:eastAsia="Arial" w:hAnsi="Arial"/>
          <w:sz w:val="18"/>
          <w:szCs w:val="18"/>
          <w:color w:val="auto"/>
        </w:rPr>
      </w:pPr>
    </w:p>
    <w:p>
      <w:pPr>
        <w:ind w:right="300" w:firstLine="464"/>
        <w:spacing w:after="0" w:line="303" w:lineRule="auto"/>
        <w:tabs>
          <w:tab w:leader="none" w:pos="632" w:val="left"/>
        </w:tabs>
        <w:numPr>
          <w:ilvl w:val="1"/>
          <w:numId w:val="42"/>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Grantee may elect to have the required minimum tax withholding obligation satisfied, in whole or in part, by</w:t>
      </w:r>
    </w:p>
    <w:p>
      <w:pPr>
        <w:spacing w:after="0" w:line="1" w:lineRule="exact"/>
        <w:rPr>
          <w:rFonts w:ascii="Arial" w:cs="Arial" w:eastAsia="Arial" w:hAnsi="Arial"/>
          <w:sz w:val="15"/>
          <w:szCs w:val="15"/>
          <w:color w:val="auto"/>
        </w:rPr>
      </w:pPr>
    </w:p>
    <w:p>
      <w:pPr>
        <w:ind w:firstLine="8"/>
        <w:spacing w:after="0" w:line="261"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authorizing the Company to withhold from shares of Stock to be issued, or (ii) transferring to the Company, a number of shares of Stock with an aggregate Fair Market Value that would satisfy the withholding amount due.</w:t>
      </w:r>
    </w:p>
    <w:p>
      <w:pPr>
        <w:spacing w:after="0" w:line="137" w:lineRule="exact"/>
        <w:rPr>
          <w:rFonts w:ascii="Arial" w:cs="Arial" w:eastAsia="Arial" w:hAnsi="Arial"/>
          <w:sz w:val="18"/>
          <w:szCs w:val="18"/>
          <w:color w:val="auto"/>
        </w:rPr>
      </w:pPr>
    </w:p>
    <w:p>
      <w:pPr>
        <w:ind w:left="640" w:hanging="176"/>
        <w:spacing w:after="0"/>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68" w:lineRule="auto"/>
        <w:tabs>
          <w:tab w:leader="none" w:pos="1152"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Notice hereunder shall be given to the Company at its principal place of business, and shall be given to the Grantee at the address set forth below, or in either case at such other address as one party may subsequently furnish to the other party in writing.</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This Agreement does not confer upon the Grantee any rights with respect to continuation of employment by the Company or any Subsidiary.</w:t>
      </w:r>
    </w:p>
    <w:p>
      <w:pPr>
        <w:spacing w:after="0" w:line="234" w:lineRule="exact"/>
        <w:rPr>
          <w:rFonts w:ascii="Arial" w:cs="Arial" w:eastAsia="Arial" w:hAnsi="Arial"/>
          <w:sz w:val="16"/>
          <w:szCs w:val="16"/>
          <w:color w:val="auto"/>
        </w:rPr>
      </w:pPr>
    </w:p>
    <w:p>
      <w:pPr>
        <w:ind w:left="6860"/>
        <w:spacing w:after="0"/>
        <w:rPr>
          <w:rFonts w:ascii="Arial" w:cs="Arial" w:eastAsia="Arial" w:hAnsi="Arial"/>
          <w:sz w:val="16"/>
          <w:szCs w:val="16"/>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280" w:right="2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accepted and the terms and conditions thereof hereby agreed to by the undersigned.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68605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285750</wp:posOffset>
            </wp:positionV>
            <wp:extent cx="29673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577215</wp:posOffset>
            </wp:positionV>
            <wp:extent cx="29673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868680</wp:posOffset>
            </wp:positionV>
            <wp:extent cx="29673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08" w:name="page109"/>
    <w:bookmarkEnd w:id="108"/>
    <w:p>
      <w:pPr>
        <w:ind w:left="10380"/>
        <w:spacing w:after="0"/>
        <w:rPr>
          <w:sz w:val="20"/>
          <w:szCs w:val="20"/>
          <w:color w:val="auto"/>
        </w:rPr>
      </w:pPr>
      <w:r>
        <w:rPr>
          <w:rFonts w:ascii="Arial" w:cs="Arial" w:eastAsia="Arial" w:hAnsi="Arial"/>
          <w:sz w:val="16"/>
          <w:szCs w:val="16"/>
          <w:b w:val="1"/>
          <w:bCs w:val="1"/>
          <w:color w:val="auto"/>
        </w:rPr>
        <w:t>Exhibit 10.9.1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CONTROL SEVERANCE AGREEMENT</w:t>
      </w:r>
    </w:p>
    <w:p>
      <w:pPr>
        <w:spacing w:after="0" w:line="171"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THIS AGREEMENT, dated as of August 16, 2011, is made by and between Mercury Computer Systems, Inc., a Massachusetts corporation with its principal offices at 201 Riverneck Road, Chelmsford, Massachusetts 01824 (the “Company”), and Mark Aslett (the “Executive”) residing in Winchester, Massachusetts 01890.</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Company considers the establishment and maintenance of a sound and vital management to be essential to protecting and enhancing the best interests of the Company and its shareholders; and</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WHEREAS, the Executive has made and is expected to make, due to the Executive’s intimate knowledge of the business and affairs of the Company, its policies, methods, personnel, and problems, a significant contribution to the profitability, growth, and financial strength of the Company; and</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Company, as a publicly-held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shareholders; and</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WHEREAS, it is in the best interests of the Company and its shareholders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foregoing and other respective covenants and agreements of the parties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The definitions of capitalized terms used in this Agreement are provided in Section 19.</w:t>
      </w:r>
    </w:p>
    <w:p>
      <w:pPr>
        <w:spacing w:after="0" w:line="171" w:lineRule="exact"/>
        <w:rPr>
          <w:rFonts w:ascii="Arial" w:cs="Arial" w:eastAsia="Arial" w:hAnsi="Arial"/>
          <w:sz w:val="18"/>
          <w:szCs w:val="18"/>
          <w:color w:val="auto"/>
        </w:rPr>
      </w:pPr>
    </w:p>
    <w:p>
      <w:pPr>
        <w:ind w:right="160" w:firstLine="464"/>
        <w:spacing w:after="0" w:line="294"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Subject to physical execution by the Executive and a duly authorized officer of the Company, the term of this Agreement (the “Term”) shall commence on the date hereof and shall continue in effect through June 30, 2014;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commencing on July 1, 2012 and each July 1 thereafter, the Term shall automatically be extended for one additional year unless, not later than September 30 of the preceding year, the Company or the Executive shall have given notice not to extend the Term;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in Control shall have occurred during the Term, the Term shall expire no earlier than the last day of the twenty-fourth (24th) month following the month in which such Change in Control occurred.</w:t>
      </w:r>
    </w:p>
    <w:p>
      <w:pPr>
        <w:spacing w:after="0" w:line="115" w:lineRule="exact"/>
        <w:rPr>
          <w:rFonts w:ascii="Arial" w:cs="Arial" w:eastAsia="Arial" w:hAnsi="Arial"/>
          <w:sz w:val="16"/>
          <w:szCs w:val="16"/>
          <w:color w:val="auto"/>
        </w:rPr>
      </w:pPr>
    </w:p>
    <w:p>
      <w:pPr>
        <w:ind w:right="40" w:firstLine="464"/>
        <w:spacing w:after="0" w:line="255"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Company’s Covenants Summarized</w:t>
      </w:r>
      <w:r>
        <w:rPr>
          <w:rFonts w:ascii="Arial" w:cs="Arial" w:eastAsia="Arial" w:hAnsi="Arial"/>
          <w:sz w:val="18"/>
          <w:szCs w:val="18"/>
          <w:color w:val="auto"/>
        </w:rPr>
        <w:t>. In order to induce the Executive to remain in the employ of the Company and in consideration of the Executive’s covenants in Section 4, the Company, under the conditions described herein, shall pay the Executive the Severance Payments and the other payments and benefits described herein. Except as provided in Section 9.1, no Severance Payments shall be payable under this Agreement unless there shall have been a Terminating Event following a Change in Control (or during a Potential Change in Control Period) and during the Term. This Agreement shall not be construed as creating an express 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125" w:right="239" w:bottom="1440" w:gutter="0" w:footer="0" w:header="0"/>
        </w:sectPr>
      </w:pPr>
    </w:p>
    <w:bookmarkStart w:id="109" w:name="page110"/>
    <w:bookmarkEnd w:id="10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implied contract of employment and, except as otherwise agreed in writing between the Executive and the Company, the Executive shall not have any right to be retained in the employ of the Company.</w:t>
      </w:r>
    </w:p>
    <w:p>
      <w:pPr>
        <w:spacing w:after="0" w:line="132" w:lineRule="exact"/>
        <w:rPr>
          <w:sz w:val="20"/>
          <w:szCs w:val="20"/>
          <w:color w:val="auto"/>
        </w:rPr>
      </w:pPr>
    </w:p>
    <w:p>
      <w:pPr>
        <w:ind w:right="320" w:firstLine="464"/>
        <w:spacing w:after="0" w:line="256"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The Executive’s Covenants</w:t>
      </w:r>
      <w:r>
        <w:rPr>
          <w:rFonts w:ascii="Arial" w:cs="Arial" w:eastAsia="Arial" w:hAnsi="Arial"/>
          <w:sz w:val="18"/>
          <w:szCs w:val="18"/>
          <w:color w:val="auto"/>
        </w:rPr>
        <w:t>. Subject to the terms and conditions of this Agreement, in the event of a Potential Change in Control, the Executive shall remain in the employ of the Company until the earliest of (i) the date of a Change in Control, (ii) the date of termination by the Executive of the Executive’s employment for Good Reason or by reason of death, Disability or Retirement, or (iii) the termination by the Company of the Executive’s employment for any reason.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5.1 If the Executive fails to perform the Executive’s full-time duties with the Company following a Change in Control as a result of incapacity due to physical or mental illness, during any period when the Executive so fails to perform the Company shall pay the Base Salary to the Executive, together with all compensation and benefits payable to the Executive under the terms of any compensation or benefit plan, program or arrangement (other than the Company’s short- or long-term disability plan, as applicable, but including any bonus or incentive plan) maintained by the Company during such period, until the Executive resumes the full time performance of such duties or the Executive’s employment is terminated by the Company for Disability.</w:t>
      </w:r>
    </w:p>
    <w:p>
      <w:pPr>
        <w:spacing w:after="0" w:line="11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5.2 If the Executive’s employment shall be terminated for any reason following a Change in Control, the Company shall pay to the Executive within five (5) business days the sum of:</w:t>
      </w:r>
    </w:p>
    <w:p>
      <w:pPr>
        <w:spacing w:after="0" w:line="132" w:lineRule="exact"/>
        <w:rPr>
          <w:sz w:val="20"/>
          <w:szCs w:val="20"/>
          <w:color w:val="auto"/>
        </w:rPr>
      </w:pPr>
    </w:p>
    <w:p>
      <w:pPr>
        <w:ind w:left="1200" w:hanging="279"/>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unpaid salary earned through the Date of Termination;</w:t>
      </w:r>
    </w:p>
    <w:p>
      <w:pPr>
        <w:spacing w:after="0" w:line="171" w:lineRule="exact"/>
        <w:rPr>
          <w:rFonts w:ascii="Arial" w:cs="Arial" w:eastAsia="Arial" w:hAnsi="Arial"/>
          <w:sz w:val="18"/>
          <w:szCs w:val="18"/>
          <w:color w:val="auto"/>
        </w:rPr>
      </w:pPr>
    </w:p>
    <w:p>
      <w:pPr>
        <w:ind w:left="1200" w:hanging="279"/>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accrued but unused vacation earned through the Date of Termination;</w:t>
      </w:r>
    </w:p>
    <w:p>
      <w:pPr>
        <w:spacing w:after="0" w:line="171" w:lineRule="exact"/>
        <w:rPr>
          <w:rFonts w:ascii="Arial" w:cs="Arial" w:eastAsia="Arial" w:hAnsi="Arial"/>
          <w:sz w:val="18"/>
          <w:szCs w:val="18"/>
          <w:color w:val="auto"/>
        </w:rPr>
      </w:pPr>
    </w:p>
    <w:p>
      <w:pPr>
        <w:ind w:right="180" w:firstLine="921"/>
        <w:spacing w:after="0" w:line="303" w:lineRule="auto"/>
        <w:tabs>
          <w:tab w:leader="none" w:pos="1191" w:val="left"/>
        </w:tabs>
        <w:numPr>
          <w:ilvl w:val="1"/>
          <w:numId w:val="46"/>
        </w:numPr>
        <w:rPr>
          <w:rFonts w:ascii="Arial" w:cs="Arial" w:eastAsia="Arial" w:hAnsi="Arial"/>
          <w:sz w:val="15"/>
          <w:szCs w:val="15"/>
          <w:color w:val="auto"/>
        </w:rPr>
      </w:pPr>
      <w:r>
        <w:rPr>
          <w:rFonts w:ascii="Arial" w:cs="Arial" w:eastAsia="Arial" w:hAnsi="Arial"/>
          <w:sz w:val="15"/>
          <w:szCs w:val="15"/>
          <w:color w:val="auto"/>
        </w:rPr>
        <w:t>Reimbursement for (i) any unpaid, valid business expenses that were approved in accordance with Company policy and (ii) any payroll deductions not yet applied to the purchase of stock under the Company’s employee stock purchase plan pursuant to the terms of such plan. Any unpaid valid business expenses submitted for reimbursement no later than sixty (60) days following the Date of Termination shall be paid to the Executive in cash within ten</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days following such submission.</w:t>
      </w:r>
    </w:p>
    <w:p>
      <w:pPr>
        <w:spacing w:after="0" w:line="164" w:lineRule="exact"/>
        <w:rPr>
          <w:rFonts w:ascii="Arial" w:cs="Arial" w:eastAsia="Arial" w:hAnsi="Arial"/>
          <w:sz w:val="18"/>
          <w:szCs w:val="18"/>
          <w:color w:val="auto"/>
        </w:rPr>
      </w:pPr>
    </w:p>
    <w:p>
      <w:pPr>
        <w:ind w:right="160" w:firstLine="921"/>
        <w:spacing w:after="0" w:line="259" w:lineRule="auto"/>
        <w:tabs>
          <w:tab w:leader="none" w:pos="1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other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w:t>
      </w:r>
    </w:p>
    <w:p>
      <w:pPr>
        <w:spacing w:after="0" w:line="140"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color w:val="auto"/>
        </w:rPr>
        <w:t>5.3 Except as expressly provided herein, if the Executive’s employment shall be terminated for any reason following a Change in Control, the Company shall pay to the Executive the Executive’s other normal post-termination compensation and benefits as such payments become due. Such post-termination compensation and benefits shall be determined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00"/>
          </w:cols>
          <w:pgMar w:left="240" w:top="280" w:right="259" w:bottom="1440" w:gutter="0" w:footer="0" w:header="0"/>
        </w:sectPr>
      </w:pPr>
    </w:p>
    <w:bookmarkStart w:id="110" w:name="page111"/>
    <w:bookmarkEnd w:id="110"/>
    <w:p>
      <w:pPr>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w:t>
      </w:r>
    </w:p>
    <w:p>
      <w:pPr>
        <w:spacing w:after="0" w:line="140"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Severance Payments and Benefits; Vesting of Stock Awards</w:t>
      </w:r>
      <w:r>
        <w:rPr>
          <w:rFonts w:ascii="Arial" w:cs="Arial" w:eastAsia="Arial" w:hAnsi="Arial"/>
          <w:sz w:val="18"/>
          <w:szCs w:val="18"/>
          <w:color w:val="auto"/>
        </w:rPr>
        <w:t>.</w:t>
      </w:r>
    </w:p>
    <w:p>
      <w:pPr>
        <w:spacing w:after="0" w:line="171" w:lineRule="exact"/>
        <w:rPr>
          <w:sz w:val="20"/>
          <w:szCs w:val="20"/>
          <w:color w:val="auto"/>
        </w:rPr>
      </w:pPr>
    </w:p>
    <w:p>
      <w:pPr>
        <w:ind w:right="380" w:firstLine="913"/>
        <w:spacing w:after="0" w:line="30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Severance</w:t>
      </w:r>
      <w:r>
        <w:rPr>
          <w:rFonts w:ascii="Arial" w:cs="Arial" w:eastAsia="Arial" w:hAnsi="Arial"/>
          <w:sz w:val="15"/>
          <w:szCs w:val="15"/>
          <w:color w:val="auto"/>
        </w:rPr>
        <w:t>. Subject to the Executive’s execution of and the effectiveness of a General Release in a form substantially the same as the release attached as Exhibit A hereto (the “Release”) within twenty-eight (28) days of the Date of Termination (if after a Change in Control), or within twenty-eight</w:t>
      </w:r>
    </w:p>
    <w:p>
      <w:pPr>
        <w:ind w:right="40" w:firstLine="8"/>
        <w:spacing w:after="0" w:line="285" w:lineRule="auto"/>
        <w:tabs>
          <w:tab w:leader="none" w:pos="3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days of the Change in Control (if during a Potential Change in Control Period), if a Terminating Event occurs within twenty-four (24) months following a Change in Control (or during a Potential Change in Control Period provided that a Change in Control takes place within 24 months thereafter) and during the Term, then the Company shall pay the Executive the amounts, and provide the Executive the benefits, described in this Section 6.1 (“Severance Payments”), in addition to any payments and benefits to which the Executive is entitled under Section 5. Subject to the provisions of Section 6.4 (“</w:t>
      </w:r>
      <w:r>
        <w:rPr>
          <w:rFonts w:ascii="Arial" w:cs="Arial" w:eastAsia="Arial" w:hAnsi="Arial"/>
          <w:sz w:val="16"/>
          <w:szCs w:val="16"/>
          <w:u w:val="single" w:color="auto"/>
          <w:color w:val="auto"/>
        </w:rPr>
        <w:t>Section 409A</w:t>
      </w:r>
      <w:r>
        <w:rPr>
          <w:rFonts w:ascii="Arial" w:cs="Arial" w:eastAsia="Arial" w:hAnsi="Arial"/>
          <w:sz w:val="16"/>
          <w:szCs w:val="16"/>
          <w:color w:val="auto"/>
        </w:rPr>
        <w:t>”), the amounts set forth in subsections (A) and (B) of this Section 6.1 shall be paid in one lump sum payment no later than the thirtieth (30</w:t>
      </w:r>
      <w:r>
        <w:rPr>
          <w:rFonts w:ascii="Arial" w:cs="Arial" w:eastAsia="Arial" w:hAnsi="Arial"/>
          <w:sz w:val="10"/>
          <w:szCs w:val="10"/>
          <w:color w:val="auto"/>
        </w:rPr>
        <w:t>th</w:t>
      </w:r>
      <w:r>
        <w:rPr>
          <w:rFonts w:ascii="Arial" w:cs="Arial" w:eastAsia="Arial" w:hAnsi="Arial"/>
          <w:sz w:val="16"/>
          <w:szCs w:val="16"/>
          <w:color w:val="auto"/>
        </w:rPr>
        <w:t>) day following the Date of Termination provided, however, that if the Terminating Event is during a Potential Change in Control Period, or after the Change in Control but the Change in Control does not constitute a change in the ownership or effective control of the Company, or in the ownership of a substantial portion of the assets of the Company, within the meaning of Section 409A of the Code, and the Executive otherwise has a contractual right to severance that is considered deferred compensation within the meaning of Section 409A of the Code, such amount shall be paid in the same form (e.g., lump sum, salary continuation, etc.) as set forth in such contract beginning with the first payroll date that occurs thirty (30) days after the Date of Termination. Except as described above or in Section 9.1 (“</w:t>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the Executive shall not be entitled to benefits pursuant to this Section 6.1 unless a Change in Control shall have occurred during the Term.</w:t>
      </w:r>
    </w:p>
    <w:p>
      <w:pPr>
        <w:spacing w:after="0" w:line="126" w:lineRule="exact"/>
        <w:rPr>
          <w:rFonts w:ascii="Arial" w:cs="Arial" w:eastAsia="Arial" w:hAnsi="Arial"/>
          <w:sz w:val="16"/>
          <w:szCs w:val="16"/>
          <w:color w:val="auto"/>
        </w:rPr>
      </w:pPr>
    </w:p>
    <w:p>
      <w:pPr>
        <w:ind w:right="200" w:firstLine="1492"/>
        <w:spacing w:after="0" w:line="259" w:lineRule="auto"/>
        <w:tabs>
          <w:tab w:leader="none" w:pos="17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shall pay to the Executive a lump sum severance payment, in cash, equal two (2.0) times the sum of (i) the Base Salary, and (ii) the Target Bonus Amount in respect of the fiscal year in which the Date of Termination occurs (without giving effect to any event or circumstance constituting Good Reason), assuming for this purpose attainment of 100% of any applicable target;</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500" w:firstLine="389"/>
        <w:spacing w:after="0" w:line="289" w:lineRule="auto"/>
        <w:tabs>
          <w:tab w:leader="none" w:pos="2107" w:val="left"/>
        </w:tabs>
        <w:numPr>
          <w:ilvl w:val="2"/>
          <w:numId w:val="49"/>
        </w:numPr>
        <w:rPr>
          <w:rFonts w:ascii="Arial" w:cs="Arial" w:eastAsia="Arial" w:hAnsi="Arial"/>
          <w:sz w:val="16"/>
          <w:szCs w:val="16"/>
          <w:color w:val="auto"/>
        </w:rPr>
      </w:pPr>
      <w:r>
        <w:rPr>
          <w:rFonts w:ascii="Arial" w:cs="Arial" w:eastAsia="Arial" w:hAnsi="Arial"/>
          <w:sz w:val="16"/>
          <w:szCs w:val="16"/>
          <w:color w:val="auto"/>
        </w:rPr>
        <w:t>In the case of Executives who do not receive sales commission-based variable compensation, (a) an amount equal to the Executive’s bonus for any fiscal year ended prior to the year of termination, to the extent such bonus has not already been paid (whether due to deferral or otherwise), calculated in accordance with the associated bonus plan (provided that any portion of such bonus that is discretionary shall be paid using the assumption that Executive has satisfied all individual performance requirements necessary for full payment of any discretionary portion of such bonus), plus (b) an amount equal to the Executive’s Target Bonus Amount multiplied by a fraction, the numerator of which is the number of days elapsed between the beginning of such fiscal year and the date of termination reduced by any periods (expressed in days) for which amounts under such incentive bonus arrangement have already been paid in such year, and the denominator of which is 365; 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00"/>
          </w:cols>
          <w:pgMar w:left="240" w:top="280" w:right="259" w:bottom="1440" w:gutter="0" w:footer="0" w:header="0"/>
        </w:sectPr>
      </w:pPr>
    </w:p>
    <w:bookmarkStart w:id="111" w:name="page112"/>
    <w:bookmarkEnd w:id="111"/>
    <w:p>
      <w:pPr>
        <w:ind w:left="1500" w:right="60" w:firstLine="389"/>
        <w:spacing w:after="0" w:line="290" w:lineRule="auto"/>
        <w:tabs>
          <w:tab w:leader="none" w:pos="2155" w:val="left"/>
        </w:tabs>
        <w:numPr>
          <w:ilvl w:val="2"/>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Executives who receive sales commission-based variable compensation, an amount equal to (a) the Executive’s sales commission-based variable compensation for any fiscal year ended prior to the year of termination, to the extent such sales commission-based variable compensation has not already been paid (whether due to deferral or otherwise), plus (b) the target amount of sales commission-based variable compensation that could be earned by such Executive during the current fiscal year multiplied times a fraction, the numerator of which is the number of days elapsed between the beginning of such fiscal year and the date of termination and the denominator of which is 365, reduced by the amount by which such incentive sales commission-based variable compensation is already payable or has already been paid in respect of such fiscal year;</w:t>
      </w:r>
    </w:p>
    <w:p>
      <w:pPr>
        <w:spacing w:after="0" w:line="118" w:lineRule="exact"/>
        <w:rPr>
          <w:rFonts w:ascii="Arial" w:cs="Arial" w:eastAsia="Arial" w:hAnsi="Arial"/>
          <w:sz w:val="16"/>
          <w:szCs w:val="16"/>
          <w:color w:val="auto"/>
        </w:rPr>
      </w:pPr>
    </w:p>
    <w:p>
      <w:pPr>
        <w:ind w:firstLine="1492"/>
        <w:spacing w:after="0" w:line="290" w:lineRule="auto"/>
        <w:tabs>
          <w:tab w:leader="none" w:pos="1761"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the extent that the Company’s Annual Executive Bonus Plan or any successor plan in existence on the date the Executive’s employment is terminated calls for the potential payment of an award attributable to “over-achievement” performance goals (i.e., requiring the achievement of goals that exceed or are in addition to the goals required for the Executive to receive the target annual bonus) and the Company pays over-achievement bonuses to executives for the fiscal year in which Executive’s employment terminates, the Company shall pay to Executive a lump sum amount equal to the over-achievement bonus for such fiscal year that would have been paid to Executive had he or she been employed by the Company on the date that such over-achievement bonuses are first paid to other participants in such bonus plan. Said amount shall be paid to Executive not later than the date that such over-achievement bonuses are first paid to other participants in said bonus plan;</w:t>
      </w:r>
    </w:p>
    <w:p>
      <w:pPr>
        <w:spacing w:after="0" w:line="118" w:lineRule="exact"/>
        <w:rPr>
          <w:rFonts w:ascii="Arial" w:cs="Arial" w:eastAsia="Arial" w:hAnsi="Arial"/>
          <w:sz w:val="16"/>
          <w:szCs w:val="16"/>
          <w:color w:val="auto"/>
        </w:rPr>
      </w:pPr>
    </w:p>
    <w:p>
      <w:pPr>
        <w:ind w:right="20" w:firstLine="1492"/>
        <w:spacing w:after="0" w:line="287" w:lineRule="auto"/>
        <w:tabs>
          <w:tab w:leader="none" w:pos="17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For the twenty-four (24) month period immediately following the Date of Termination, the Company shall arrange to provide the Executive and his dependents health and dental insurance benefits comparable in all material respects to those in effect immediately prior to the Change in Control, on the same terms and conditions as though the Executive had remained an active employee. The cost of providing the benefits set forth in this Section 6.1(D) shall be in addition to (and shall not reduce) the Severance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plan or program in question, or applicable law, provides for a longer period of coverage following termination of employment, then the Executive shall receive this additional period of coverage pursuant to the terms and conditions as set forth in the plan or program or as prescribed by applicable law. Notwithstanding the foregoing provisions of this subsection, if the Executive becomes reemployed by another employer and is eligible (together with his or her dependents) for medical or dental insurance coverage that is substantially equivalent (as to extent of coverage and Executive’s cost) to the coverage of the same type that he or she (and his or her dependents) were entitled to receive under this subsection, the Company’s obligation to the Executive and his or her dependents under this subsection shall cease with respect to that type of coverage; and</w:t>
      </w:r>
    </w:p>
    <w:p>
      <w:pPr>
        <w:spacing w:after="0" w:line="122" w:lineRule="exact"/>
        <w:rPr>
          <w:rFonts w:ascii="Arial" w:cs="Arial" w:eastAsia="Arial" w:hAnsi="Arial"/>
          <w:sz w:val="16"/>
          <w:szCs w:val="16"/>
          <w:color w:val="auto"/>
        </w:rPr>
      </w:pPr>
    </w:p>
    <w:p>
      <w:pPr>
        <w:ind w:left="1760" w:hanging="268"/>
        <w:spacing w:after="0"/>
        <w:tabs>
          <w:tab w:leader="none" w:pos="17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shall pay the cost of providing the Executive with outplacement services up to a maximum of $45,000, provided that</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begins to utilize such services within six months following the Date of Termination and completes the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00"/>
          </w:cols>
          <w:pgMar w:left="240" w:top="280" w:right="259" w:bottom="1440" w:gutter="0" w:footer="0" w:header="0"/>
        </w:sectPr>
      </w:pPr>
    </w:p>
    <w:bookmarkStart w:id="112" w:name="page113"/>
    <w:bookmarkEnd w:id="1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utilization of such services no later than the last day of the calendar year following the calendar year that contains the Date of Termination, and (ii) such services are provided by an outplacement provider approved by the Company (which approval shall not be unreasonably withheld, delayed or conditioned). Such payment shall be made by the Company directly to the service provider promptly following the provision of such services and the presentation to the Company of documentation of the provision of such services.</w:t>
      </w:r>
    </w:p>
    <w:p>
      <w:pPr>
        <w:spacing w:after="0" w:line="14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Vesting of Stock Awards</w:t>
      </w:r>
      <w:r>
        <w:rPr>
          <w:rFonts w:ascii="Arial" w:cs="Arial" w:eastAsia="Arial" w:hAnsi="Arial"/>
          <w:sz w:val="16"/>
          <w:szCs w:val="16"/>
          <w:color w:val="auto"/>
        </w:rPr>
        <w:t>. Subject to the Executive’s execution of the Release and the effectiveness of the Release within twenty-eight (28) days of the Date of Termination, if a Terminating Event occurs during a Potential Change in Control Period or within twenty-four (24) months following a Change in Control and in either case during the Term, anything contained in any applicable option agreement or stock-based award agreement to the contrary notwithstanding, vesting of all stock options and other stock-based awards (other than any award under the Company’s Employee Stock Purchase Program) granted to the Executive by the Company and outstanding immediately prior to such Terminating Event shall immediately accelerate and all such awards shall become fully vested and exercisable effective immediately prior to the Date of Termination.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Best Net Benefit Limitation</w:t>
      </w:r>
      <w:r>
        <w:rPr>
          <w:rFonts w:ascii="Arial" w:cs="Arial" w:eastAsia="Arial" w:hAnsi="Arial"/>
          <w:sz w:val="18"/>
          <w:szCs w:val="18"/>
          <w:color w:val="auto"/>
        </w:rPr>
        <w:t>.</w:t>
      </w:r>
    </w:p>
    <w:p>
      <w:pPr>
        <w:spacing w:after="0" w:line="171" w:lineRule="exact"/>
        <w:rPr>
          <w:sz w:val="20"/>
          <w:szCs w:val="20"/>
          <w:color w:val="auto"/>
        </w:rPr>
      </w:pPr>
    </w:p>
    <w:p>
      <w:pPr>
        <w:jc w:val="both"/>
        <w:ind w:right="80" w:firstLine="1492"/>
        <w:spacing w:after="0" w:line="298" w:lineRule="auto"/>
        <w:tabs>
          <w:tab w:leader="none" w:pos="17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Anything contained in this Agreement to the contrary notwithstanding, if any of the payments or benefits received or to be received by the Executive (whether pursuant to the terms of this Agreement or any other plan, arrangement or agreement with the Company, any Person whose actions result in a Change in Control or any Person affiliated with the Company or such Person) (all such payments and benefits being hereinafter referred to as the “Total Payments”) will be subject to the Excise Tax, the following provisions shall apply:</w:t>
      </w:r>
    </w:p>
    <w:p>
      <w:pPr>
        <w:spacing w:after="0" w:line="31" w:lineRule="exact"/>
        <w:rPr>
          <w:rFonts w:ascii="Arial" w:cs="Arial" w:eastAsia="Arial" w:hAnsi="Arial"/>
          <w:sz w:val="16"/>
          <w:szCs w:val="16"/>
          <w:color w:val="auto"/>
        </w:rPr>
      </w:pPr>
    </w:p>
    <w:p>
      <w:pPr>
        <w:ind w:left="1500" w:right="100" w:firstLine="389"/>
        <w:spacing w:after="0" w:line="306" w:lineRule="auto"/>
        <w:tabs>
          <w:tab w:leader="none" w:pos="2107"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Total Payments, reduced by the sum of (a) the Excise Tax and (b) the total of the Federal, state, and local income and employment taxes payable by the Executive on the amount of the Total Payments which are in excess of the Threshold Amount, are greater than or equal to the Threshold Amount, the Executive shall be entitled to the full benefits payable under this Agreement.</w:t>
      </w:r>
    </w:p>
    <w:p>
      <w:pPr>
        <w:spacing w:after="0" w:line="25" w:lineRule="exact"/>
        <w:rPr>
          <w:rFonts w:ascii="Arial" w:cs="Arial" w:eastAsia="Arial" w:hAnsi="Arial"/>
          <w:sz w:val="16"/>
          <w:szCs w:val="16"/>
          <w:color w:val="auto"/>
        </w:rPr>
      </w:pPr>
    </w:p>
    <w:p>
      <w:pPr>
        <w:ind w:left="1500" w:right="60" w:firstLine="389"/>
        <w:spacing w:after="0" w:line="288" w:lineRule="auto"/>
        <w:tabs>
          <w:tab w:leader="none" w:pos="21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Threshold Amount is less than (a) the Total Payments, but greater than (b) the Total Payments reduced by the sum of (1) the Excise Tax and (2) the total of the Federal, state and local income and employment taxes on the amount of the Total Payments which are in excess of the Threshold Amount, then the benefits payable under this Agreement shall be reduced (but not below zero) to the extent necessary so that the maximum Total Payments shall not exceed the Threshold Amount. In such event, the Executive will be permitted to request which component items of the Payment will be reduced, provided, however, that the Executive must provide to the Company in writing his or her request within a reasonable time period established by the Company and the Company must in its discretion consent to such request (said consent not to be unreasonably withheld, delayed or conditioned) and absent such a request, the Company shall make its own determinations with respect to which items of the Total Payments are to be reduced. To the extent any payment is to be made over time (e.g., in installments), then the payments shall be reduced in reverse chronological order.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13" w:name="page114"/>
    <w:bookmarkEnd w:id="113"/>
    <w:p>
      <w:pPr>
        <w:ind w:right="40" w:firstLine="1492"/>
        <w:spacing w:after="0" w:line="289" w:lineRule="auto"/>
        <w:tabs>
          <w:tab w:leader="none" w:pos="1761"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as to which of the alternative provisions of subsection (A) above shall apply to the Executive shall be made by a nationally recognized accounting firm selected by the Company (the “Accounting Firm”), which shall provide detailed supporting calculations both to the Company and the Executive within fifteen (15) business days of the Date of Termination, if applicable, or at such earlier time as is reasonably requested by the Company or the Executive. For purposes of determining which of the alternative provisions of subsection (A) above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in this Agreement to the contrary,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only be payable upon the Executive’s “Separation from Service.” The term “Separation from Service” shall mean the Executive’s “separation from service” from the Company, an affiliate of the Company or a successor entity within the meaning set forth in Section 409A of the Code, determined in accordance with the presumptions set forth in Treasury Regulation Section 1.409A-1(h). If the Executive is considered a “specified employee,” within the meaning of Section 409A of the Code on his Date of Termination and severance payable hereunder is considered deferred compensation subject to Section 409A of the Code, no severance payments will be paid during the six-month period following the Executive’s Separation from Service. Any severance amount that would have been paid during such six-month period but for the provisions of the preceding sentence shall be paid in a lump sum within the first five (5) days of the seventh month following the Executive’s Separation from Service.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24"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Source of Payment</w:t>
      </w:r>
      <w:r>
        <w:rPr>
          <w:rFonts w:ascii="Arial" w:cs="Arial" w:eastAsia="Arial" w:hAnsi="Arial"/>
          <w:sz w:val="18"/>
          <w:szCs w:val="18"/>
          <w:color w:val="auto"/>
        </w:rPr>
        <w:t>. Nothing herein shall be construed as establishing a trust or as requiring the Company to set aside funds to meet its obligations hereunder. Notwithstanding the foregoing, if the Board in its sole discretion so determines the Company may establish a so-called “rabbi trust” or similar arrangement to assist it in meeting any such obligations that it may have.</w:t>
      </w:r>
    </w:p>
    <w:p>
      <w:pPr>
        <w:spacing w:after="0" w:line="140"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Procedures and Compensation During Dispute</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After a Change in Control, any purported termination of the Executive’s employment (other than by reason of death) shall be communicated by written Notice of Termination from one party hereto to the other party hereto in accordance with Section 10 (“</w:t>
      </w: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a “Notice 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14" w:name="page115"/>
    <w:bookmarkEnd w:id="11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full-time performance of the Executive’s duties during such thirty (30) day period), and (ii) if the Executive’s employment is terminated for any other reason, the date specified in the Notice of Termination (which, in the case of a termination by the Company, shall not be less than fifteen (15) days (except in the case of a termination for Cause) and, in the case of a termination by the Executive, shall not be less than fifteen (15) days, respectively, from the date such Notice of Termination is given). Notwithstanding the foregoing, if the Executive gives a Notice of Termination to the Company, the Company may unilaterally accelerate the Date of Termination and such acceleration shall not result in a “Termination by the Company” for purposes of this Agreement.</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Dispute Concerning Termination</w:t>
      </w:r>
      <w:r>
        <w:rPr>
          <w:rFonts w:ascii="Arial" w:cs="Arial" w:eastAsia="Arial" w:hAnsi="Arial"/>
          <w:sz w:val="16"/>
          <w:szCs w:val="16"/>
          <w:color w:val="auto"/>
        </w:rPr>
        <w:t xml:space="preserve">. If within ten (10) days after any Notice of Termination is given, or, if later, prior to the Date of Termination (as determined without regard to this Section 7.3), the party receiving such Notice of Termination notifies the other party that a dispute exists concerning the termination, the Date of Termination, and if necessary to accommodate extension of the Date of Termination, the Term, shall be extended until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1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Compensation During Dispute</w:t>
      </w:r>
      <w:r>
        <w:rPr>
          <w:rFonts w:ascii="Arial" w:cs="Arial" w:eastAsia="Arial" w:hAnsi="Arial"/>
          <w:sz w:val="18"/>
          <w:szCs w:val="18"/>
          <w:color w:val="auto"/>
        </w:rPr>
        <w:t>. If the Date of Termination is extended in accordance with Section 7.3 (“</w:t>
      </w:r>
      <w:r>
        <w:rPr>
          <w:rFonts w:ascii="Arial" w:cs="Arial" w:eastAsia="Arial" w:hAnsi="Arial"/>
          <w:sz w:val="18"/>
          <w:szCs w:val="18"/>
          <w:u w:val="single" w:color="auto"/>
          <w:color w:val="auto"/>
        </w:rPr>
        <w:t>Dispute Concerning Termination</w:t>
      </w:r>
      <w:r>
        <w:rPr>
          <w:rFonts w:ascii="Arial" w:cs="Arial" w:eastAsia="Arial" w:hAnsi="Arial"/>
          <w:sz w:val="18"/>
          <w:szCs w:val="18"/>
          <w:color w:val="auto"/>
        </w:rPr>
        <w:t>”), the Company shall continue to pay the Executive the full amount of the highest compensation in effect at any time from the date immediately prior to the Change in Control through the date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7.3. Amounts paid under this Section 7.4 are in addition to all other amounts due under this Agreement (other than those due under Section 5 (“</w:t>
      </w: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and shall not be offset against or reduce any other amounts due under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15" w:name="page116"/>
    <w:bookmarkEnd w:id="115"/>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6"/>
          <w:szCs w:val="16"/>
          <w:u w:val="single" w:color="auto"/>
          <w:color w:val="auto"/>
        </w:rPr>
        <w:t>Legal Fees and Expenses</w:t>
      </w:r>
      <w:r>
        <w:rPr>
          <w:rFonts w:ascii="Arial" w:cs="Arial" w:eastAsia="Arial" w:hAnsi="Arial"/>
          <w:sz w:val="16"/>
          <w:szCs w:val="16"/>
          <w:color w:val="auto"/>
        </w:rPr>
        <w:t>. The Company shall indemnify and hold harmless the Executive from and against, and shall pay to the Executive, all reasonable legal fees and expenses incurred by the Executive in disputing in good faith any issue relating to this Agreement or the enforcement thereof, including but not limited to issues relating to the termination of the Executive’s employment,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w:t>
      </w:r>
    </w:p>
    <w:p>
      <w:pPr>
        <w:spacing w:after="0" w:line="120" w:lineRule="exact"/>
        <w:rPr>
          <w:sz w:val="20"/>
          <w:szCs w:val="20"/>
          <w:color w:val="auto"/>
        </w:rPr>
      </w:pPr>
    </w:p>
    <w:p>
      <w:pPr>
        <w:ind w:firstLine="464"/>
        <w:spacing w:after="0" w:line="294"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If the Executive’s employment with the Company terminates following a Change in Control, the Executive is not required to seek other employment or to attempt in any way to reduce any amounts payable to the Executive by the Company pursuant to Section 6 (“</w:t>
      </w:r>
      <w:r>
        <w:rPr>
          <w:rFonts w:ascii="Arial" w:cs="Arial" w:eastAsia="Arial" w:hAnsi="Arial"/>
          <w:sz w:val="16"/>
          <w:szCs w:val="16"/>
          <w:u w:val="single" w:color="auto"/>
          <w:color w:val="auto"/>
        </w:rPr>
        <w:t>Severance Payments and Benefits;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Vesting of Stock Awards</w:t>
      </w:r>
      <w:r>
        <w:rPr>
          <w:rFonts w:ascii="Arial" w:cs="Arial" w:eastAsia="Arial" w:hAnsi="Arial"/>
          <w:sz w:val="16"/>
          <w:szCs w:val="16"/>
          <w:color w:val="auto"/>
        </w:rPr>
        <w:t>”) or Section 7.4 (“</w:t>
      </w:r>
      <w:r>
        <w:rPr>
          <w:rFonts w:ascii="Arial" w:cs="Arial" w:eastAsia="Arial" w:hAnsi="Arial"/>
          <w:sz w:val="16"/>
          <w:szCs w:val="16"/>
          <w:u w:val="single" w:color="auto"/>
          <w:color w:val="auto"/>
        </w:rPr>
        <w:t>Compensation During Dispute</w:t>
      </w:r>
      <w:r>
        <w:rPr>
          <w:rFonts w:ascii="Arial" w:cs="Arial" w:eastAsia="Arial" w:hAnsi="Arial"/>
          <w:sz w:val="16"/>
          <w:szCs w:val="16"/>
          <w:color w:val="auto"/>
        </w:rPr>
        <w:t>”). Except as set forth in Subsection 6.1(D),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9.1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after a Change in Control and during the Term, except that, for purposes of implementing the foregoing, the date on which any such succession becomes effective shall be deemed the Date of Termination.</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9.2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Executive’s beneficiary designated in writing to the Company prior to his death (or to the executors, personal representatives or administrators of the Executive’s estate, if the Executive fails to make such designation).</w:t>
      </w:r>
    </w:p>
    <w:p>
      <w:pPr>
        <w:spacing w:after="0" w:line="116" w:lineRule="exact"/>
        <w:rPr>
          <w:sz w:val="20"/>
          <w:szCs w:val="20"/>
          <w:color w:val="auto"/>
        </w:rPr>
      </w:pPr>
    </w:p>
    <w:p>
      <w:pPr>
        <w:ind w:right="40" w:firstLine="464"/>
        <w:spacing w:after="0" w:line="259"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16" w:name="page117"/>
    <w:bookmarkEnd w:id="116"/>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to its principal office to the attention of the Chief Executive Officer of the Company with a copy to its Secretary, or to such other address as either party may have furnished to the other in writing in accordance herewith, except that notice of change of address shall be effective only upon receipt.</w:t>
      </w:r>
    </w:p>
    <w:p>
      <w:pPr>
        <w:spacing w:after="0" w:line="85" w:lineRule="exact"/>
        <w:rPr>
          <w:sz w:val="20"/>
          <w:szCs w:val="20"/>
          <w:color w:val="auto"/>
        </w:rPr>
      </w:pPr>
    </w:p>
    <w:p>
      <w:pPr>
        <w:ind w:firstLine="464"/>
        <w:spacing w:after="0" w:line="286" w:lineRule="auto"/>
        <w:tabs>
          <w:tab w:leader="none" w:pos="71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Effect on Other Plans</w:t>
      </w:r>
      <w:r>
        <w:rPr>
          <w:rFonts w:ascii="Arial" w:cs="Arial" w:eastAsia="Arial" w:hAnsi="Arial"/>
          <w:sz w:val="16"/>
          <w:szCs w:val="16"/>
          <w:color w:val="auto"/>
        </w:rPr>
        <w:t>. An election by the Executive to resign for Good Reason after a Change in Control (or during a Potential Change in Control Period)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6.3 (“</w:t>
      </w:r>
      <w:r>
        <w:rPr>
          <w:rFonts w:ascii="Arial" w:cs="Arial" w:eastAsia="Arial" w:hAnsi="Arial"/>
          <w:sz w:val="16"/>
          <w:szCs w:val="16"/>
          <w:u w:val="single" w:color="auto"/>
          <w:color w:val="auto"/>
        </w:rPr>
        <w:t>Best Net Benefit Limitation</w:t>
      </w:r>
      <w:r>
        <w:rPr>
          <w:rFonts w:ascii="Arial" w:cs="Arial" w:eastAsia="Arial" w:hAnsi="Arial"/>
          <w:sz w:val="16"/>
          <w:szCs w:val="16"/>
          <w:color w:val="auto"/>
        </w:rPr>
        <w:t>”) hereof, and except that the Executive shall have no rights to any severance benefits under any Company severance pay plan or arrangement (other than this Agreement) in connection with the occurrence of a Terminating Event within twenty-four (24) months following a Change in Control and during the Term, and if the Executive is party to an employment agreement with the Company providing for change in control or severance payments or benefits (whether or not related to a Change in Control), the Executive will receive the benefits payable under this Agreement and not under the employment agreement. In the event that (i) a Terminating Event occurs during a Potential Change in Control Period and (ii) the Executive receives severance payments pursuant to an employment agreement or any Company severance pay plan or arrangement (other than this Agreement) in connection with the occurrence of a Terminating Event, then any severance payments subsequently payable pursuant to this Agreement shall be reduced by the amount of the severance payments previously made by the Company pursuant to such other program, plan or agreement, and thereafter Executive shall receive severance payments and other benefits solely pursuant to this Agreement.</w:t>
      </w:r>
    </w:p>
    <w:p>
      <w:pPr>
        <w:spacing w:after="0" w:line="124" w:lineRule="exact"/>
        <w:rPr>
          <w:rFonts w:ascii="Arial" w:cs="Arial" w:eastAsia="Arial" w:hAnsi="Arial"/>
          <w:sz w:val="16"/>
          <w:szCs w:val="16"/>
          <w:color w:val="auto"/>
        </w:rPr>
      </w:pPr>
    </w:p>
    <w:p>
      <w:pPr>
        <w:ind w:right="20" w:firstLine="464"/>
        <w:spacing w:after="0" w:line="298" w:lineRule="auto"/>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 Offset</w:t>
      </w:r>
      <w:r>
        <w:rPr>
          <w:rFonts w:ascii="Arial" w:cs="Arial" w:eastAsia="Arial" w:hAnsi="Arial"/>
          <w:sz w:val="16"/>
          <w:szCs w:val="16"/>
          <w:color w:val="auto"/>
        </w:rPr>
        <w:t>. Except as expressly provided in Section 11 (“</w:t>
      </w:r>
      <w:r>
        <w:rPr>
          <w:rFonts w:ascii="Arial" w:cs="Arial" w:eastAsia="Arial" w:hAnsi="Arial"/>
          <w:sz w:val="16"/>
          <w:szCs w:val="16"/>
          <w:u w:val="single" w:color="auto"/>
          <w:color w:val="auto"/>
        </w:rPr>
        <w:t>Effect on Other Plans</w:t>
      </w:r>
      <w:r>
        <w:rPr>
          <w:rFonts w:ascii="Arial" w:cs="Arial" w:eastAsia="Arial" w:hAnsi="Arial"/>
          <w:sz w:val="16"/>
          <w:szCs w:val="16"/>
          <w:color w:val="auto"/>
        </w:rPr>
        <w:t>”), the Company’s obligation to make the payments provided for in this Agreement and otherwise perform its obligations hereunder shall be absolute and unconditional and shall not be affected by any circumstances, including, without limitation, any set-off, counterclaim, recoupment, defense or other right which the Company or any of its affiliates may have against the Executive or others whether by reason of the Executive’s breach of this Agreement, subsequent employment of the Executive, or otherwise.</w:t>
      </w:r>
    </w:p>
    <w:p>
      <w:pPr>
        <w:spacing w:after="0" w:line="112" w:lineRule="exact"/>
        <w:rPr>
          <w:rFonts w:ascii="Arial" w:cs="Arial" w:eastAsia="Arial" w:hAnsi="Arial"/>
          <w:sz w:val="16"/>
          <w:szCs w:val="16"/>
          <w:color w:val="auto"/>
        </w:rPr>
      </w:pPr>
    </w:p>
    <w:p>
      <w:pPr>
        <w:ind w:firstLine="464"/>
        <w:spacing w:after="0" w:line="252"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This Agreement supersedes any other agreements or representations, oral or otherwise, express or implied, with respect to the subject matter hereof which have been made by either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shall not supersede any agreement setting forth the terms and conditions of the Executive’s employment with the Company or any subsidiary of the Company, except as expressly agreed to by the Executive and the Company in writing. The validity, interpretation, construction and performance of this Agreement shall be governed by the laws of The Commonwealth of Massachusetts without regard to provisions or principles thereof relating to conflicts of laws. All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17" w:name="page118"/>
    <w:bookmarkEnd w:id="11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respective obligations of the Company and the Executive under this Agreement which by their nature may require either partial or total performance after the expiration of the Term (including, without limitation, those under Sections 6, 7 and 17) shall survive such expiration.</w:t>
      </w:r>
    </w:p>
    <w:p>
      <w:pPr>
        <w:spacing w:after="0" w:line="113" w:lineRule="exact"/>
        <w:rPr>
          <w:sz w:val="20"/>
          <w:szCs w:val="20"/>
          <w:color w:val="auto"/>
        </w:rPr>
      </w:pPr>
    </w:p>
    <w:p>
      <w:pPr>
        <w:ind w:right="240" w:firstLine="464"/>
        <w:spacing w:after="0" w:line="268"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1" w:lineRule="exact"/>
        <w:rPr>
          <w:rFonts w:ascii="Arial" w:cs="Arial" w:eastAsia="Arial" w:hAnsi="Arial"/>
          <w:sz w:val="18"/>
          <w:szCs w:val="18"/>
          <w:color w:val="auto"/>
        </w:rPr>
      </w:pPr>
    </w:p>
    <w:p>
      <w:pPr>
        <w:ind w:right="80" w:firstLine="464"/>
        <w:spacing w:after="0" w:line="25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understanding between the parties hereto with respect to the subject matter hereof, and supersedes all other prior or contemporaneous agreements and understandings, inducements or conditions, express or implied, oral or written, between Executive and the Company relating to the subject matter of the Agreement. All such other prior or contemporaneous agreements and understandings, inducements or conditions shall be deemed terminated effective immediately.</w:t>
      </w:r>
    </w:p>
    <w:p>
      <w:pPr>
        <w:spacing w:after="0" w:line="143" w:lineRule="exact"/>
        <w:rPr>
          <w:rFonts w:ascii="Arial" w:cs="Arial" w:eastAsia="Arial" w:hAnsi="Arial"/>
          <w:sz w:val="18"/>
          <w:szCs w:val="18"/>
          <w:color w:val="auto"/>
        </w:rPr>
      </w:pPr>
    </w:p>
    <w:p>
      <w:pPr>
        <w:ind w:right="180" w:firstLine="464"/>
        <w:spacing w:after="0" w:line="268"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17.1 All claims by the Executive for payments and benefits under this Agreement prior to a Change in Control shall be directed to and determined in the first instance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 such appeal to be resolved not less than 15 days after submission thereof by the Executive.</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17.2 Any dispute that remains unresolved after the procedure set forth in Section 16.1, and any other dispute or controversy arising under or in connection with this Agreement shall be settled exclusively by arbitration in Boston, Massachusetts in accordance with the rules of the American Arbitration Association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evidentiary standards set forth in this Agreement shall apply. Judgment may be entered on the arbitrator’s award in any court having jurisdiction. Notwithstanding any provision of this Agreement to the contrary, the Executive shall be entitled to specific performance of the Executive’s right to be paid during the pendency of any dispute or controversy arising under or in connection with this Agreement.</w:t>
      </w:r>
    </w:p>
    <w:p>
      <w:pPr>
        <w:spacing w:after="0" w:line="116" w:lineRule="exact"/>
        <w:rPr>
          <w:sz w:val="20"/>
          <w:szCs w:val="20"/>
          <w:color w:val="auto"/>
        </w:rPr>
      </w:pPr>
    </w:p>
    <w:p>
      <w:pPr>
        <w:jc w:val="both"/>
        <w:ind w:right="200" w:firstLine="464"/>
        <w:spacing w:after="0" w:line="256"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cooperate reasonably with the Company in the defense or prosecution of any claims or actions now in existence or which may be brought in the future against or on behalf of the Company which relate to events or occurrences that transpired while the Executive was employed by the Company, other than claims relating to this agreement or which are made by the Company and are or may be adverse to the Executive. The Executive’s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18" w:name="page119"/>
    <w:bookmarkEnd w:id="118"/>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cooperation in connection with such claims or actions shall include, but not be limited to, being available to meet with counsel to prepare for discovery or trial, to act as a witness on behalf of the Company, and if called to testify, to testify truthfully and in good faith about events that happened during the Executive’s employment.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make reasonable efforts to schedule any cooperation required pursuant to this Section 17 at such times that will not unreasonably interfere with the Executive’s search for other employment or performance of other employment services. The Company shall reimburse the Executive for reasonable expenses incurred in connection with the Executive’s performance of obligations pursuant to this Section 17 based on the standards and procedures applicable to expense reimbursement for the Company’s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 below:</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19.1 “Base Salary” shall mean the annual base salary in effect for the Executive immediately prior to the Terminating Event or, if higher, his or her annual base salary as determined immediately prior to the Change in Control).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 “Board” shall mean the Board of Directors of the Company.</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19.3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(iii) the willful engaging by the Executive in fraud, dishonesty or other misconduct which is demonstrably and materially injurious to the Company or its reputation, monetarily or otherwise.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19.4 A “Change in Control” shall be deemed to have occurred if any of the events set forth in any one of the following paragraphs shall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occurred:</w:t>
      </w:r>
    </w:p>
    <w:p>
      <w:pPr>
        <w:spacing w:after="0" w:line="165" w:lineRule="exact"/>
        <w:rPr>
          <w:sz w:val="20"/>
          <w:szCs w:val="20"/>
          <w:color w:val="auto"/>
        </w:rPr>
      </w:pPr>
    </w:p>
    <w:p>
      <w:pPr>
        <w:ind w:right="140" w:firstLine="1492"/>
        <w:spacing w:after="0" w:line="294" w:lineRule="auto"/>
        <w:tabs>
          <w:tab w:leader="none" w:pos="17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Person,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thirty percent (30%) or more of the combined voting power of the Company’s then outstanding securities having the right to vote in an election of the Company’s Board (“Voting Securities”) (in such case other than as a result of an acquisition of securities directly from the Company or an acquisition of securities involving a Corporate Transaction of the type described in the exclusion set forth in subsection (C) below); or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19" w:name="page120"/>
    <w:bookmarkEnd w:id="119"/>
    <w:p>
      <w:pPr>
        <w:ind w:right="100" w:firstLine="1492"/>
        <w:spacing w:after="0" w:line="289" w:lineRule="auto"/>
        <w:tabs>
          <w:tab w:leader="none" w:pos="1761"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who, as of the date hereof, constitute the Board (the “Incumbent Directors”) cease for any reason, including, without limitation, as a result of a tender offer, proxy contest, merger or similar transaction, to constitute at least a majority of the Board, provided that any person becoming a director of the Company subsequent to the date hereof shall be considered an Incumbent Director if such person’s election was approved by or such person was nominated for election by either (i) a vote of at least a majority of the Incumbent Directors or (ii)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118" w:lineRule="exact"/>
        <w:rPr>
          <w:rFonts w:ascii="Arial" w:cs="Arial" w:eastAsia="Arial" w:hAnsi="Arial"/>
          <w:sz w:val="16"/>
          <w:szCs w:val="16"/>
          <w:color w:val="auto"/>
        </w:rPr>
      </w:pPr>
    </w:p>
    <w:p>
      <w:pPr>
        <w:ind w:right="280" w:firstLine="1492"/>
        <w:spacing w:after="0" w:line="294" w:lineRule="auto"/>
        <w:tabs>
          <w:tab w:leader="none" w:pos="176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consummation of a consolidation, merger or consolidation or sale or other disposition of all or substantially all of the assets of the Company (a “Corporate Transaction”); excluding, however, a Corporate Transaction in which the stockholders of the Company immediately prior to the Corporate Transaction, would, immediately after the Corporate Transaction, beneficially own (as such term is defined in Rule 13d-3 under the Exchange Act), directly or indirectly, shares representing in the aggregate more than fifty percent (50%) of the voting shares of the corporation issuing cash or securities in the Corporate Transaction (or of its ultimate parent corporation, if any).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the foregoing, a “Change in Control” of the Company shall not be deemed to have occurred for purposes of the foregoing subsection (A) solely as the result of an acquisition of securities by the Company that, by reducing the number of shares of Voting Securities outstanding, increases the proportionate number of shares of Voting Securities beneficially owned by any Person to thirty percent (30%)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thirty percent (30%) or more of the combined voting power of all then outstanding Voting Securities, then a Change in Control of the Company shall be deemed to have occurred for purposes of the foregoing subsection (A).</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Anything contained in this Agreement to the contrary notwithstanding, no Change in Control shall be deemed to have occurred for purposes of this Agreement by virtue of any transaction which results in the Executive, or a “group” (as such term is used in Section 13(d)(3) of the Exchange Act) which includes the Executive, becoming the “beneficial owner” (as such term is defined in Rule 13d-3 under the Exchange Act), directly or indirectly, of securities of the Company representing thirty percent (30%) or more of the combined voting power of the Company’s then outstanding securities.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19.5 “Code” shall mean the Internal Revenue Code of 1986, as amended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20" w:name="page121"/>
    <w:bookmarkEnd w:id="120"/>
    <w:p>
      <w:pPr>
        <w:jc w:val="both"/>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19.6 “Company” shall mean Mercury Computer Systems, Inc. and, except in determining under Section 18.4 whether or not any Change in Control of the Company has occurred, shall include any successor to its business and/or assets which assumes and agrees to perform this Agreement by operation of law, or otherwise.</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19.7 “Date of Termination” (i) with respect to any purported termination of the Executive’s employment after a Change in Control, shall have the meaning set forth in Section 7.2 and (ii) with respect to the termination of the Executive’s employment during a Potential Change in Control Period, shall mean the date upon which the Executive or the Company provides notice to the other of the Terminating Event or, if later, the date of effectiveness of such Terminating Event as specified in such notice.</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19.8 “Disability” shall be deemed the reason for the termination by the Company of the Executive’s employment, if, as a result of the Executive’s incapacity due to physical or mental illness, the Executive shall have been absent from the full-time performance of the Executive’s duties with the Company for a period of one hundred eighty (180) calendar days in the aggregate in any twelve (12) month period, the Company shall have given the Executive a Notice of 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 “Exchange Act” shall mean the Securities Exchange Act of 1934, as amended from time to time.</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19.10 “Excise Tax” shall mean any excise tax imposed under Section 4999 of the Code, and any interest or penalties incurred by the Executive with respect to such excise tax.</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19.11 “Executive” shall mean the individual named in the first paragraph of this Agreement.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19.12 “Good Reason” for termination by the Executive of the Executive’s employment shall mean the occurrence (without the Executive’s express written consent) after any Change in Control, or during a Potential Change in Control Period (treating all references in subsections (A) through (F) below to a “Change in Control” as including references to a “Potential Change in Control”), of any one of the following acts by the Company, or failures by the Company to act, unless, in the case of any act or failure to act described in subsection (A), (B), (C), (D) or (E) below, such act or failure to act is corrected prior to the Date of Termination specified in the Notice of Termination given in respect thereof:</w:t>
      </w:r>
    </w:p>
    <w:p>
      <w:pPr>
        <w:spacing w:after="0" w:line="116" w:lineRule="exact"/>
        <w:rPr>
          <w:sz w:val="20"/>
          <w:szCs w:val="20"/>
          <w:color w:val="auto"/>
        </w:rPr>
      </w:pPr>
    </w:p>
    <w:p>
      <w:pPr>
        <w:jc w:val="both"/>
        <w:ind w:right="80" w:firstLine="1492"/>
        <w:spacing w:after="0" w:line="298" w:lineRule="auto"/>
        <w:tabs>
          <w:tab w:leader="none" w:pos="1771"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adverse change in the Executive’s status, position, title, reporting relationship, authority, duties or responsibilities with the Company as in effect immediately prior to the Change in Control, including, without limitation, any adverse change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60"/>
          </w:cols>
          <w:pgMar w:left="240" w:top="280" w:right="299" w:bottom="1440" w:gutter="0" w:footer="0" w:header="0"/>
        </w:sectPr>
      </w:pPr>
    </w:p>
    <w:bookmarkStart w:id="121" w:name="page122"/>
    <w:bookmarkEnd w:id="121"/>
    <w:p>
      <w:pPr>
        <w:ind w:left="1760" w:hanging="268"/>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reduction in the Executive’s Base Salary;</w:t>
      </w:r>
    </w:p>
    <w:p>
      <w:pPr>
        <w:spacing w:after="0" w:line="171" w:lineRule="exact"/>
        <w:rPr>
          <w:rFonts w:ascii="Arial" w:cs="Arial" w:eastAsia="Arial" w:hAnsi="Arial"/>
          <w:sz w:val="18"/>
          <w:szCs w:val="18"/>
          <w:color w:val="auto"/>
        </w:rPr>
      </w:pPr>
    </w:p>
    <w:p>
      <w:pPr>
        <w:ind w:firstLine="1492"/>
        <w:spacing w:after="0" w:line="306" w:lineRule="auto"/>
        <w:tabs>
          <w:tab w:leader="none" w:pos="176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failure of the Company to maintain the Executive’s participation in a bonus or incentive plan that provides for an annual target bonus not lower than the Executive’s Target Bonus Amount (at a payout factor of one) for the fiscal year in which the Change in Control occurs, including but not limited to any reduction in the reasonable ability of the participant to achieve the targets in relation to the Company’s then effective operating plan;</w:t>
      </w:r>
    </w:p>
    <w:p>
      <w:pPr>
        <w:spacing w:after="0" w:line="106" w:lineRule="exact"/>
        <w:rPr>
          <w:rFonts w:ascii="Arial" w:cs="Arial" w:eastAsia="Arial" w:hAnsi="Arial"/>
          <w:sz w:val="16"/>
          <w:szCs w:val="16"/>
          <w:color w:val="auto"/>
        </w:rPr>
      </w:pPr>
    </w:p>
    <w:p>
      <w:pPr>
        <w:jc w:val="both"/>
        <w:ind w:right="260" w:firstLine="1492"/>
        <w:spacing w:after="0" w:line="259" w:lineRule="auto"/>
        <w:tabs>
          <w:tab w:leader="none" w:pos="17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by the Company to maintain the Executive’s participation in any thrift, pension, profit sharing, medical, health, disability, accident, life insurance and vacation plan or policy on terms and with benefits, individually and in the aggregate, not less favorable than those provided by the Company immediately prior to the Change in Control;</w:t>
      </w:r>
    </w:p>
    <w:p>
      <w:pPr>
        <w:spacing w:after="0" w:line="140" w:lineRule="exact"/>
        <w:rPr>
          <w:rFonts w:ascii="Arial" w:cs="Arial" w:eastAsia="Arial" w:hAnsi="Arial"/>
          <w:sz w:val="18"/>
          <w:szCs w:val="18"/>
          <w:color w:val="auto"/>
        </w:rPr>
      </w:pPr>
    </w:p>
    <w:p>
      <w:pPr>
        <w:ind w:right="200" w:firstLine="1492"/>
        <w:spacing w:after="0" w:line="259" w:lineRule="auto"/>
        <w:tabs>
          <w:tab w:leader="none" w:pos="17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requiring the Executive to be based at an office that is greater than 30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w:t>
      </w:r>
    </w:p>
    <w:p>
      <w:pPr>
        <w:spacing w:after="0" w:line="140" w:lineRule="exact"/>
        <w:rPr>
          <w:rFonts w:ascii="Arial" w:cs="Arial" w:eastAsia="Arial" w:hAnsi="Arial"/>
          <w:sz w:val="18"/>
          <w:szCs w:val="18"/>
          <w:color w:val="auto"/>
        </w:rPr>
      </w:pPr>
    </w:p>
    <w:p>
      <w:pPr>
        <w:ind w:right="520" w:firstLine="1492"/>
        <w:spacing w:after="0" w:line="268" w:lineRule="auto"/>
        <w:tabs>
          <w:tab w:leader="none" w:pos="17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7.1; for purposes of this Agreement, no such purported termination shall be effective.</w:t>
      </w:r>
    </w:p>
    <w:p>
      <w:pPr>
        <w:spacing w:after="0" w:line="132"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0"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For purposes of any determination regarding the existence of Good Reason, any claim by the Executive that Good Reason exists shall be presumed to be correct unless the Company establishes to the Board by clear and convincing evidence that Good Reason does not exist.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19.13 “Notice of Termination” shall have the meaning set forth in Section 7.1.</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19.14 “Person” shall have the meaning given in Section 3(a)(9) of the Exchange Act, as modified and used in Sections 13(d) and 14(d) thereof, except that such term shall not include (i) the Company or any of its subsidiaries, or (ii) any trustee, fiduciary or other person or entity holding securities under any employee benefit plan or trustee of the Company or any of its subsidiaries.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19.15 “Potential Change in Control” shall be deemed to have occurred if the event set forth in any one of the following subsections shall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occurred:</w:t>
      </w:r>
    </w:p>
    <w:p>
      <w:pPr>
        <w:spacing w:after="0" w:line="165" w:lineRule="exact"/>
        <w:rPr>
          <w:sz w:val="20"/>
          <w:szCs w:val="20"/>
          <w:color w:val="auto"/>
        </w:rPr>
      </w:pPr>
    </w:p>
    <w:p>
      <w:pPr>
        <w:ind w:left="1780" w:hanging="288"/>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enters into an agreement, the consummation of which would result in the occurrence of a Change in Control;</w:t>
      </w:r>
    </w:p>
    <w:p>
      <w:pPr>
        <w:spacing w:after="0" w:line="194" w:lineRule="exact"/>
        <w:rPr>
          <w:rFonts w:ascii="Arial" w:cs="Arial" w:eastAsia="Arial" w:hAnsi="Arial"/>
          <w:sz w:val="16"/>
          <w:szCs w:val="16"/>
          <w:color w:val="auto"/>
        </w:rPr>
      </w:pPr>
    </w:p>
    <w:p>
      <w:pPr>
        <w:ind w:right="620" w:firstLine="1492"/>
        <w:spacing w:after="0" w:line="268" w:lineRule="auto"/>
        <w:tabs>
          <w:tab w:leader="none" w:pos="17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or any Person publicly announces an intention to take or to consider taking actions which, if consummated, would constitute a Change in Control;</w:t>
      </w:r>
    </w:p>
    <w:p>
      <w:pPr>
        <w:spacing w:after="0" w:line="131" w:lineRule="exact"/>
        <w:rPr>
          <w:rFonts w:ascii="Arial" w:cs="Arial" w:eastAsia="Arial" w:hAnsi="Arial"/>
          <w:sz w:val="18"/>
          <w:szCs w:val="18"/>
          <w:color w:val="auto"/>
        </w:rPr>
      </w:pPr>
    </w:p>
    <w:p>
      <w:pPr>
        <w:ind w:right="440" w:firstLine="1492"/>
        <w:spacing w:after="0" w:line="332" w:lineRule="auto"/>
        <w:tabs>
          <w:tab w:leader="none" w:pos="1761"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Person becomes the beneficial owner (as such term is defined in Rule 13d-3 under the Exchange Act), directly or indirectly, of securities of the Company representing 15% or more of the combined voting power of the Company’s then outstanding securities; 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22" w:name="page123"/>
    <w:bookmarkEnd w:id="12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the Board adopts a resolution to the effect that, for purposes of this Agreement, a Potential Change in Control has occurred.</w:t>
      </w:r>
    </w:p>
    <w:p>
      <w:pPr>
        <w:spacing w:after="0" w:line="19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19.16 “Potential Change in Control Period” shall commence upon the occurrence of a Potential Change in Control and shall lapse upon the occurrence of a Change in Control or, if earlier (i) with respect to a Potential Change in Control occurring pursuant to Section 18.15(A), immediately upon the abandonment or termination of the applicable agreement, (ii) with respect to a Potential Change in Control occurring pursuant to Section 18.15(B),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18.15(C) or (D), upon the one year anniversary of the occurrence of a Potential Change in Control (or such earlier date as may be determined by the Board).</w:t>
      </w:r>
    </w:p>
    <w:p>
      <w:pPr>
        <w:spacing w:after="0" w:line="12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19.17 “Retirement” shall be deemed the reason for the termination by the Executive of the Executive’s employment if such employment is terminated because of the Executive’s retirement on or after attaining the minimum age, completing the minimum number of years of service and satisfying all other conditions specified for retirement status under the Company’s Retirement Policy Statement.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19.18 “Severance Payments” shall have the meaning set forth in Section 6.1.</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19.19 “Target Bonus Amount” shall mean the sum of (i) the target annual bonus set forth in writing and available to the Executive immediately prior to the Change in Control (or, if higher, the Executive’s target annual bonus for the fiscal year in which the Date of Termination occurs) under the Company’s Annual Executive Bonus Plan or any successor plan, excluding any portion of such target annual bonus or any other award thereunder attributable to “over-achievement” performance goals (i.e., requiring the achievement of goals that exceed or are in addition to the goals required for the Executive to receive the target annual bonus) approved by the Compensation Committee or the Board, and (ii) the target annual bonus set forth in writing and available to the Executive upon the satisfaction of any individual performance objectives approved by the Compensation Committee or the Board for the Executive as part of a “management-by-results” process (i.e., MBRs).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19.20 “Term” shall mean the period of time described in Section 2 (including any extension, continuation or termination described therein).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19.21 “Terminating Event” shall mean termination of the Executive’s employment with the Company, other than (a) by the Company for Cause,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 by reason of death or Disability, or (c) by the Executive without Good Reason.</w:t>
      </w:r>
    </w:p>
    <w:p>
      <w:pPr>
        <w:spacing w:after="0" w:line="16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19.22 “Threshold Amount” shall mean three times the Executive’s “base amount” within the meaning of Section 280G(b)(3) of the Code and the regulations promulgated thereunder, less one dollar ($1.00).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19.23 “Total Payments” shall mean those payments so described in Section 6.3.</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23" w:name="page124"/>
    <w:bookmarkEnd w:id="12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 on behalf of Mercury Computer Systems, Inc., and the Executive have hereunto set their hands as an agreement under seal, all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E. Hult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Mark Aslett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200"/>
          </w:cols>
          <w:pgMar w:left="240" w:top="280" w:right="45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exchange for and as a condition to Mercury Computer Systems, Inc.’s (the “Company”) promises to me contained in the Change in Control Severance Agreement between the Company and me (the “Agreement”), I agree as follows: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 hereby irrevocably and unconditionally release, acquit and forever discharge the Company, its predecessors, successors, affiliates, other related entities and assigns, and the directors, officers, employees, shareholders, and representatives of any of the foregoing, and any persons acting on behalf or through any of the foregoing (any and all of whom or which are hereinafter referred to as the “Company”),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(collectively, “Claims”), that I now have, own, or hold, or claim to have, own, or hold, or that I at any time had, owned, or held, or claimed to have had, owned or held against the Company. This general release of Claims includes, without implication of limitation, the complete release of all Claims of breach of express or implied contract, including, without limitation, all Claims arising from any employment offer letter from the Company; all Claims of wrongful termination of employment whether in contract or tort; all Claims based on actions or omissions leading to this General Release of Claims; all Claims of intentional, reckless, or negligent infliction of emotional distress; all Claims of breach of any express or implied covenant of employment, including the covenant of good faith and fair dealing; all Claims of interference with contractual or advantageous relations, whether those relations are prospective or existing; all Claims of deceit or misrepresentation; all Claims of discrimination under state or federal law, including, without implication of limitation, Title VII of the Civil Rights Act of 1964, 42 U.S.C. § 2000e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as amended, the Age Discrimination in Employment Act of 1967, 29 U.S.C. § 621 </w:t>
      </w:r>
      <w:r>
        <w:rPr>
          <w:rFonts w:ascii="Arial" w:cs="Arial" w:eastAsia="Arial" w:hAnsi="Arial"/>
          <w:sz w:val="16"/>
          <w:szCs w:val="16"/>
          <w:i w:val="1"/>
          <w:iCs w:val="1"/>
          <w:color w:val="auto"/>
        </w:rPr>
        <w:t>et seq.</w:t>
      </w:r>
      <w:r>
        <w:rPr>
          <w:rFonts w:ascii="Arial" w:cs="Arial" w:eastAsia="Arial" w:hAnsi="Arial"/>
          <w:sz w:val="16"/>
          <w:szCs w:val="16"/>
          <w:color w:val="auto"/>
        </w:rPr>
        <w:t>, as amended, and Chapter 151B of the Massachusetts General Laws; all Claims of defamation or damage to reputation; all Claims for reinstatement; all Claims for punitive or emotional distress damages; all Claims for wages, bonuses, severance, back or front pay or other forms of compensation; and all Claims for attorney’s fees and costs. Notwithstanding the foregoing, this General Release of Claims shall not be construed to include a release of Claims that arise from or relate to the Company’s obligations under the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acknowledge that I have been advised to consult with an attorney before signing this General Release.</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 further understand that I have been given an adequate opportunity, if I so desired, to consider this General Release for up to twenty-one (21) days before deciding whether to sign it. If I signed this General Release before the expiration of that twenty-one (21) day period, I acknowledge that such decision was entirely voluntary. I understand that for a period of seven (7) days after I execute this General Release I have the right to revoke it by a written notice to be received by the Director, Human Resources of the Company by the end of that period. I also understand that this General Release shall not be effective or enforceable until the expiration of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Release of Claims</w:t>
      </w:r>
    </w:p>
    <w:p>
      <w:pPr>
        <w:sectPr>
          <w:pgSz w:w="11900" w:h="16838" w:orient="portrait"/>
          <w:cols w:equalWidth="0" w:num="1">
            <w:col w:w="11360"/>
          </w:cols>
          <w:pgMar w:left="240" w:top="274" w:right="299" w:bottom="1440" w:gutter="0" w:footer="0" w:header="0"/>
        </w:sectPr>
      </w:pPr>
    </w:p>
    <w:bookmarkStart w:id="125" w:name="page126"/>
    <w:bookmarkEnd w:id="12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 agree that nothing in this General Release of Claims is intended to affect any of my obligations that continue after the termination of my employment contained in the Agreement or in any written agreement entered into between the Company and me with respect to confidentiality, ownership of inventions, non-competition and/or non-solicitation.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 represent and agree that I have carefully read and fully understand all of the provisions of this General Release and that I am voluntarily agreeing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252095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Release of Claims</w:t>
      </w:r>
    </w:p>
    <w:p>
      <w:pPr>
        <w:sectPr>
          <w:pgSz w:w="11900" w:h="16838" w:orient="portrait"/>
          <w:cols w:equalWidth="0" w:num="1">
            <w:col w:w="11400"/>
          </w:cols>
          <w:pgMar w:left="240" w:top="280" w:right="2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60" w:type="dxa"/>
            <w:vAlign w:val="bottom"/>
          </w:tcPr>
          <w:p>
            <w:pPr>
              <w:ind w:left="2020"/>
              <w:spacing w:after="0"/>
              <w:rPr>
                <w:sz w:val="20"/>
                <w:szCs w:val="20"/>
                <w:color w:val="auto"/>
              </w:rPr>
            </w:pPr>
            <w:r>
              <w:rPr>
                <w:rFonts w:ascii="Arial" w:cs="Arial" w:eastAsia="Arial" w:hAnsi="Arial"/>
                <w:sz w:val="18"/>
                <w:szCs w:val="18"/>
                <w:b w:val="1"/>
                <w:bCs w:val="1"/>
                <w:color w:val="auto"/>
                <w:w w:val="88"/>
              </w:rPr>
              <w:t>Exhibit 10.9.2</w:t>
            </w:r>
          </w:p>
        </w:tc>
      </w:tr>
      <w:tr>
        <w:trPr>
          <w:trHeight w:val="340"/>
        </w:trPr>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CHANGE IN CONTROL SEVERANCE AGREEMENT</w:t>
            </w: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90"/>
        </w:trPr>
        <w:tc>
          <w:tcPr>
            <w:tcW w:w="11420" w:type="dxa"/>
            <w:vAlign w:val="bottom"/>
            <w:gridSpan w:val="7"/>
          </w:tcPr>
          <w:p>
            <w:pPr>
              <w:ind w:left="460"/>
              <w:spacing w:after="0"/>
              <w:rPr>
                <w:sz w:val="20"/>
                <w:szCs w:val="20"/>
                <w:color w:val="auto"/>
              </w:rPr>
            </w:pPr>
            <w:r>
              <w:rPr>
                <w:rFonts w:ascii="Arial" w:cs="Arial" w:eastAsia="Arial" w:hAnsi="Arial"/>
                <w:sz w:val="18"/>
                <w:szCs w:val="18"/>
                <w:color w:val="auto"/>
                <w:w w:val="93"/>
              </w:rPr>
              <w:t>THIS AGREEMENT, dated as of August 16, 2011, is made by and between Mercury Computer Systems, Inc., a Massachusetts corporation with its</w:t>
            </w:r>
          </w:p>
        </w:tc>
      </w:tr>
      <w:tr>
        <w:trPr>
          <w:trHeight w:val="184"/>
        </w:trPr>
        <w:tc>
          <w:tcPr>
            <w:tcW w:w="6960" w:type="dxa"/>
            <w:vAlign w:val="bottom"/>
            <w:gridSpan w:val="4"/>
          </w:tcPr>
          <w:p>
            <w:pPr>
              <w:spacing w:after="0" w:line="184" w:lineRule="exact"/>
              <w:rPr>
                <w:sz w:val="20"/>
                <w:szCs w:val="20"/>
                <w:color w:val="auto"/>
              </w:rPr>
            </w:pPr>
            <w:r>
              <w:rPr>
                <w:rFonts w:ascii="Arial" w:cs="Arial" w:eastAsia="Arial" w:hAnsi="Arial"/>
                <w:sz w:val="18"/>
                <w:szCs w:val="18"/>
                <w:color w:val="auto"/>
                <w:w w:val="89"/>
              </w:rPr>
              <w:t>principal offices at 201 Riverneck Road, Chelmsford, Massachusetts 01824 (the “Company”), and</w:t>
            </w:r>
          </w:p>
        </w:tc>
        <w:tc>
          <w:tcPr>
            <w:tcW w:w="7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60" w:type="dxa"/>
            <w:vAlign w:val="bottom"/>
          </w:tcPr>
          <w:p>
            <w:pPr>
              <w:ind w:left="40"/>
              <w:spacing w:after="0" w:line="184" w:lineRule="exact"/>
              <w:rPr>
                <w:sz w:val="20"/>
                <w:szCs w:val="20"/>
                <w:color w:val="auto"/>
              </w:rPr>
            </w:pPr>
            <w:r>
              <w:rPr>
                <w:rFonts w:ascii="Arial" w:cs="Arial" w:eastAsia="Arial" w:hAnsi="Arial"/>
                <w:sz w:val="18"/>
                <w:szCs w:val="18"/>
                <w:color w:val="auto"/>
              </w:rPr>
              <w:t>[Name of Executive] (the “Executive”)</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w w:val="95"/>
              </w:rPr>
              <w:t>residing in</w:t>
            </w:r>
          </w:p>
        </w:tc>
        <w:tc>
          <w:tcPr>
            <w:tcW w:w="1400" w:type="dxa"/>
            <w:vAlign w:val="bottom"/>
            <w:tcBorders>
              <w:bottom w:val="single" w:sz="8" w:color="auto"/>
            </w:tcBorders>
          </w:tcPr>
          <w:p>
            <w:pPr>
              <w:spacing w:after="0"/>
              <w:rPr>
                <w:sz w:val="17"/>
                <w:szCs w:val="17"/>
                <w:color w:val="auto"/>
              </w:rPr>
            </w:pPr>
          </w:p>
        </w:tc>
        <w:tc>
          <w:tcPr>
            <w:tcW w:w="55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[City, State, Zip].</w:t>
            </w:r>
          </w:p>
        </w:tc>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r>
    </w:tbl>
    <w:p>
      <w:pPr>
        <w:spacing w:after="0" w:line="18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Company considers the establishment and maintenance of a sound and vital management to be essential to protecting and enhancing the best interests of the Company and its shareholders; and</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WHEREAS, the Executive has made and is expected to make, due to the Executive’s intimate knowledge of the business and affairs of the Company, its policies, methods, personnel, and problems, a significant contribution to the profitability, growth, and financial strength of the Company; and</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Company, as a publicly-held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shareholders; and</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WHEREAS, it is in the best interests of the Company and its shareholders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foregoing and other respective covenants and agreements of the parties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The definitions of capitalized terms used in this Agreement are provided in Section 19.</w:t>
      </w:r>
    </w:p>
    <w:p>
      <w:pPr>
        <w:spacing w:after="0" w:line="171" w:lineRule="exact"/>
        <w:rPr>
          <w:rFonts w:ascii="Arial" w:cs="Arial" w:eastAsia="Arial" w:hAnsi="Arial"/>
          <w:sz w:val="18"/>
          <w:szCs w:val="18"/>
          <w:color w:val="auto"/>
        </w:rPr>
      </w:pPr>
    </w:p>
    <w:p>
      <w:pPr>
        <w:ind w:right="160" w:firstLine="464"/>
        <w:spacing w:after="0" w:line="294"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Subject to physical execution by the Executive and a duly authorized officer of the Company, the term of this Agreement (the “Term”) shall commence on the date hereof and shall continue in effect through June 30, 2014;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commencing on July 1, 2012 and each July 1 thereafter, the Term shall automatically be extended for one additional year unless, not later than September 30 of the preceding year, the Company or the Executive shall have given notice not to extend the Term;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in Control shall have occurred during the Term, the Term shall expire no earlier than the last day of the eighteen (18th) month following the month in which such Change in Control occurred.</w:t>
      </w:r>
    </w:p>
    <w:p>
      <w:pPr>
        <w:spacing w:after="0" w:line="115" w:lineRule="exact"/>
        <w:rPr>
          <w:rFonts w:ascii="Arial" w:cs="Arial" w:eastAsia="Arial" w:hAnsi="Arial"/>
          <w:sz w:val="16"/>
          <w:szCs w:val="16"/>
          <w:color w:val="auto"/>
        </w:rPr>
      </w:pPr>
    </w:p>
    <w:p>
      <w:pPr>
        <w:ind w:right="40" w:firstLine="464"/>
        <w:spacing w:after="0" w:line="256"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Company’s Covenants Summarized</w:t>
      </w:r>
      <w:r>
        <w:rPr>
          <w:rFonts w:ascii="Arial" w:cs="Arial" w:eastAsia="Arial" w:hAnsi="Arial"/>
          <w:sz w:val="18"/>
          <w:szCs w:val="18"/>
          <w:color w:val="auto"/>
        </w:rPr>
        <w:t>. In order to induce the Executive to remain in the employ of the Company and in consideration of the Executive’s covenants in Section 4, the Company, under the conditions described herein, shall pay the Executive the Severance Payments and the other payments and benefits described herein. Except as provided in Section 9.1, no Severance Payments shall be payable under this Agreement unless there shall have been a Terminating Event following a Change in Control (or during a Potential Change in Control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125" w:right="239" w:bottom="1440" w:gutter="0" w:footer="0" w:header="0"/>
        </w:sectPr>
      </w:pPr>
    </w:p>
    <w:bookmarkStart w:id="127" w:name="page128"/>
    <w:bookmarkEnd w:id="127"/>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85" w:lineRule="exact"/>
        <w:rPr>
          <w:sz w:val="20"/>
          <w:szCs w:val="20"/>
          <w:color w:val="auto"/>
        </w:rPr>
      </w:pPr>
    </w:p>
    <w:p>
      <w:pPr>
        <w:ind w:right="320" w:firstLine="464"/>
        <w:spacing w:after="0" w:line="256"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The Executive’s Covenants</w:t>
      </w:r>
      <w:r>
        <w:rPr>
          <w:rFonts w:ascii="Arial" w:cs="Arial" w:eastAsia="Arial" w:hAnsi="Arial"/>
          <w:sz w:val="18"/>
          <w:szCs w:val="18"/>
          <w:color w:val="auto"/>
        </w:rPr>
        <w:t>. Subject to the terms and conditions of this Agreement, in the event of a Potential Change in Control, the Executive shall remain in the employ of the Company until the earliest of (i) the date of a Change in Control, (ii) the date of termination by the Executive of the Executive’s employment for Good Reason or by reason of death, Disability or Retirement, or (iii) the termination by the Company of the Executive’s employment for any reason.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5.1 If the Executive fails to perform the Executive’s full-time duties with the Company following a Change in Control as a result of incapacity due to physical or mental illness, during any period when the Executive so fails to perform the Company shall pay the Base Salary to the Executive, together with all compensation and benefits payable to the Executive under the terms of any compensation or benefit plan, program or arrangement (other than the Company’s short- or long-term disability plan, as applicable, but including any bonus or incentive plan) maintained by the Company during such period, until the Executive resumes the full time performance of such duties or the Executive’s employment is terminated by the Company for Disability.</w:t>
      </w:r>
    </w:p>
    <w:p>
      <w:pPr>
        <w:spacing w:after="0" w:line="11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5.2 If the Executive’s employment shall be terminated for any reason following a Change in Control, the Company shall pay to the Executive within five (5) business days the sum of:</w:t>
      </w:r>
    </w:p>
    <w:p>
      <w:pPr>
        <w:spacing w:after="0" w:line="51" w:lineRule="exact"/>
        <w:rPr>
          <w:sz w:val="20"/>
          <w:szCs w:val="20"/>
          <w:color w:val="auto"/>
        </w:rPr>
      </w:pPr>
    </w:p>
    <w:p>
      <w:pPr>
        <w:ind w:left="1200" w:hanging="297"/>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unpaid salary earned through the Date of Termination;</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accrued but unused vacation earned through the Date of Termination;</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Reimbursement for (i) any unpaid, valid business expenses that were approved in accordance with Company policy and (ii) any payroll deductions not yet applied to the purchase of stock under the Company’s employee stock purchase plan pursuant to the terms of such plan. Any unpaid valid business expenses submitted for reimbursement no later than sixty (60) days following the Date of Termination shall be paid to the Executive in cash within ten (10) business days following such submission.</w:t>
      </w:r>
    </w:p>
    <w:p>
      <w:pPr>
        <w:spacing w:after="0" w:line="143" w:lineRule="exact"/>
        <w:rPr>
          <w:rFonts w:ascii="Arial" w:cs="Arial" w:eastAsia="Arial" w:hAnsi="Arial"/>
          <w:sz w:val="18"/>
          <w:szCs w:val="18"/>
          <w:color w:val="auto"/>
        </w:rPr>
      </w:pPr>
    </w:p>
    <w:p>
      <w:pPr>
        <w:ind w:right="160" w:firstLine="921"/>
        <w:spacing w:after="0" w:line="259"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other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w:t>
      </w:r>
    </w:p>
    <w:p>
      <w:pPr>
        <w:spacing w:after="0" w:line="140"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color w:val="auto"/>
        </w:rPr>
        <w:t>5.3 Except as expressly provided herein, if the Executive’s employment shall be terminated for any reason following a Change in Control, the Company shall pay to the Executive the Executive’s other normal post-termination compensation and benefits as such payments become due. Such post-termination compensation and benefits shall be determined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00"/>
          </w:cols>
          <w:pgMar w:left="240" w:top="280" w:right="259" w:bottom="1440" w:gutter="0" w:footer="0" w:header="0"/>
        </w:sectPr>
      </w:pPr>
    </w:p>
    <w:bookmarkStart w:id="128" w:name="page129"/>
    <w:bookmarkEnd w:id="128"/>
    <w:p>
      <w:pPr>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w:t>
      </w:r>
    </w:p>
    <w:p>
      <w:pPr>
        <w:spacing w:after="0" w:line="140"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Severance Payments and Benefits; Vesting of Stock Awards</w:t>
      </w:r>
      <w:r>
        <w:rPr>
          <w:rFonts w:ascii="Arial" w:cs="Arial" w:eastAsia="Arial" w:hAnsi="Arial"/>
          <w:sz w:val="18"/>
          <w:szCs w:val="18"/>
          <w:color w:val="auto"/>
        </w:rPr>
        <w:t>.</w:t>
      </w:r>
    </w:p>
    <w:p>
      <w:pPr>
        <w:spacing w:after="0" w:line="171" w:lineRule="exact"/>
        <w:rPr>
          <w:sz w:val="20"/>
          <w:szCs w:val="20"/>
          <w:color w:val="auto"/>
        </w:rPr>
      </w:pPr>
    </w:p>
    <w:p>
      <w:pPr>
        <w:ind w:right="380" w:firstLine="913"/>
        <w:spacing w:after="0" w:line="30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Severance</w:t>
      </w:r>
      <w:r>
        <w:rPr>
          <w:rFonts w:ascii="Arial" w:cs="Arial" w:eastAsia="Arial" w:hAnsi="Arial"/>
          <w:sz w:val="15"/>
          <w:szCs w:val="15"/>
          <w:color w:val="auto"/>
        </w:rPr>
        <w:t>. Subject to the Executive’s execution of and the effectiveness of a General Release in a form substantially the same as the release attached as Exhibit A hereto (the “Release”) within twenty-eight (28) days of the Date of Termination (if after a Change in Control), or within twenty-eight</w:t>
      </w:r>
    </w:p>
    <w:p>
      <w:pPr>
        <w:ind w:right="40" w:firstLine="8"/>
        <w:spacing w:after="0" w:line="285" w:lineRule="auto"/>
        <w:tabs>
          <w:tab w:leader="none" w:pos="3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days of the Change in Control (if during a Potential Change in Control Period), if a Terminating Event occurs within eighteen (18) months following a Change in Control (or during a Potential Change in Control Period provided that a Change in Control takes place within 18 months thereafter) and during the Term, then the Company shall pay the Executive the amounts, and provide the Executive the benefits, described in this Section 6.1 (“Severance Payments”), in addition to any payments and benefits to which the Executive is entitled under Section 5. Subject to the provisions of Section 6.4 (“</w:t>
      </w:r>
      <w:r>
        <w:rPr>
          <w:rFonts w:ascii="Arial" w:cs="Arial" w:eastAsia="Arial" w:hAnsi="Arial"/>
          <w:sz w:val="16"/>
          <w:szCs w:val="16"/>
          <w:u w:val="single" w:color="auto"/>
          <w:color w:val="auto"/>
        </w:rPr>
        <w:t>Section 409A</w:t>
      </w:r>
      <w:r>
        <w:rPr>
          <w:rFonts w:ascii="Arial" w:cs="Arial" w:eastAsia="Arial" w:hAnsi="Arial"/>
          <w:sz w:val="16"/>
          <w:szCs w:val="16"/>
          <w:color w:val="auto"/>
        </w:rPr>
        <w:t>”), the amounts set forth in subsections (A) and (B) of this Section 6.1 shall be paid in one lump sum payment no later than the thirtieth (30</w:t>
      </w:r>
      <w:r>
        <w:rPr>
          <w:rFonts w:ascii="Arial" w:cs="Arial" w:eastAsia="Arial" w:hAnsi="Arial"/>
          <w:sz w:val="10"/>
          <w:szCs w:val="10"/>
          <w:color w:val="auto"/>
        </w:rPr>
        <w:t>th</w:t>
      </w:r>
      <w:r>
        <w:rPr>
          <w:rFonts w:ascii="Arial" w:cs="Arial" w:eastAsia="Arial" w:hAnsi="Arial"/>
          <w:sz w:val="16"/>
          <w:szCs w:val="16"/>
          <w:color w:val="auto"/>
        </w:rPr>
        <w:t>) day following the Date of Termination provided, however, that if the Terminating Event is during a Potential Change in Control Period, or after the Change in Control but the Change in Control does not constitute a change in the ownership or effective control of the Company, or in the ownership of a substantial portion of the assets of the Company, within the meaning of Section 409A of the Code, and the Executive otherwise has a contractual right to severance that is considered deferred compensation within the meaning of Section 409A of the Code, such amount shall be paid in the same form (e.g., lump sum, salary continuation, etc.) as set forth in such contract beginning with the first payroll date that occurs thirty (30) days after the Date of Termination. Except as described above or in Section 9.1 (“</w:t>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the Executive shall not be entitled to benefits pursuant to this Section 6.1 unless a Change in Control shall have occurred during the Term.</w:t>
      </w:r>
    </w:p>
    <w:p>
      <w:pPr>
        <w:spacing w:after="0" w:line="126" w:lineRule="exact"/>
        <w:rPr>
          <w:rFonts w:ascii="Arial" w:cs="Arial" w:eastAsia="Arial" w:hAnsi="Arial"/>
          <w:sz w:val="16"/>
          <w:szCs w:val="16"/>
          <w:color w:val="auto"/>
        </w:rPr>
      </w:pPr>
    </w:p>
    <w:p>
      <w:pPr>
        <w:ind w:right="20" w:firstLine="1492"/>
        <w:spacing w:after="0" w:line="259" w:lineRule="auto"/>
        <w:tabs>
          <w:tab w:leader="none" w:pos="17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shall pay to the Executive a lump sum severance payment, in cash, equal to one and one half (1.5) times the sum of (i) the Base Salary, and (ii) the Target Bonus Amount in respect of the fiscal year in which the Date of Termination occurs (without giving effect to any event or circumstance constituting Good Reason), assuming for this purpose attainment of 100% of any applicable target;</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500" w:firstLine="389"/>
        <w:spacing w:after="0" w:line="289" w:lineRule="auto"/>
        <w:tabs>
          <w:tab w:leader="none" w:pos="2107"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the case of Executives who do not receive sales commission-based variable compensation, (a) an amount equal to the Executive’s bonus for any fiscal year ended prior to the year of termination, to the extent such bonus has not already been paid (whether due to deferral or otherwise), calculated in accordance with the associated bonus plan (provided that any portion of such bonus that is discretionary shall be paid using the assumption that Executive has satisfied all individual performance requirements necessary for full payment of any discretionary portion of such bonus), plus (b) an amount equal to the Executive’s Target Bonus Amount multiplied by a fraction, the numerator of which is the number of days elapsed between the beginning of such fiscal year and the date of termination reduced by any periods (expressed in days) for which amounts under such incentive bonus arrangement have already been paid in such year, and the denominator of which is 365; 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00"/>
          </w:cols>
          <w:pgMar w:left="240" w:top="280" w:right="259" w:bottom="1440" w:gutter="0" w:footer="0" w:header="0"/>
        </w:sectPr>
      </w:pPr>
    </w:p>
    <w:bookmarkStart w:id="129" w:name="page130"/>
    <w:bookmarkEnd w:id="129"/>
    <w:p>
      <w:pPr>
        <w:ind w:left="1500" w:right="80" w:firstLine="389"/>
        <w:spacing w:after="0" w:line="290" w:lineRule="auto"/>
        <w:tabs>
          <w:tab w:leader="none" w:pos="2155" w:val="left"/>
        </w:tabs>
        <w:numPr>
          <w:ilvl w:val="2"/>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Executives who receive sales commission-based variable compensation, an amount equal to (a) the Executive’s sales commission-based variable compensation for any fiscal year ended prior to the year of termination, to the extent such sales commission-based variable compensation has not already been paid (whether due to deferral or otherwise), plus (b) the target amount of sales commission-based variable compensation that could be earned by such Executive during the current fiscal year multiplied times a fraction, the numerator of which is the number of days elapsed between the beginning of such fiscal year and the date of termination and the denominator of which is 365, reduced by the amount by which such incentive sales commission-based variable compensation is already payable or has already been paid in respect of such fiscal year;</w:t>
      </w:r>
    </w:p>
    <w:p>
      <w:pPr>
        <w:spacing w:after="0" w:line="118" w:lineRule="exact"/>
        <w:rPr>
          <w:rFonts w:ascii="Arial" w:cs="Arial" w:eastAsia="Arial" w:hAnsi="Arial"/>
          <w:sz w:val="16"/>
          <w:szCs w:val="16"/>
          <w:color w:val="auto"/>
        </w:rPr>
      </w:pPr>
    </w:p>
    <w:p>
      <w:pPr>
        <w:ind w:right="20" w:firstLine="1492"/>
        <w:spacing w:after="0" w:line="290" w:lineRule="auto"/>
        <w:tabs>
          <w:tab w:leader="none" w:pos="1761"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the extent that the Company’s Annual Executive Bonus Plan or any successor plan in existence on the date the Executive’s employment is terminated calls for the potential payment of an award attributable to “over-achievement” performance goals (i.e., requiring the achievement of goals that exceed or are in addition to the goals required for the Executive to receive the target annual bonus) and the Company pays over-achievement bonuses to executives for the fiscal year in which Executive’s employment terminates, the Company shall pay to Executive a lump sum amount equal to the over-achievement bonus for such fiscal year that would have been paid to Executive had he or she been employed by the Company on the date that such over-achievement bonuses are first paid to other participants in such bonus plan. Said amount shall be paid to Executive not later than the date that such over-achievement bonuses are first paid to other participants in said bonus plan;</w:t>
      </w:r>
    </w:p>
    <w:p>
      <w:pPr>
        <w:spacing w:after="0" w:line="118" w:lineRule="exact"/>
        <w:rPr>
          <w:rFonts w:ascii="Arial" w:cs="Arial" w:eastAsia="Arial" w:hAnsi="Arial"/>
          <w:sz w:val="16"/>
          <w:szCs w:val="16"/>
          <w:color w:val="auto"/>
        </w:rPr>
      </w:pPr>
    </w:p>
    <w:p>
      <w:pPr>
        <w:ind w:firstLine="1492"/>
        <w:spacing w:after="0" w:line="288" w:lineRule="auto"/>
        <w:tabs>
          <w:tab w:leader="none" w:pos="1771"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For the eighteen (18) month period immediately following the Date of Termination, the Company shall arrange to provide the Executive and his dependents health and dental insurance benefits comparable in all material respects to those in effect immediately prior to the Change in Control, on the same terms and conditions as though the Executive had remained an active employee. The cost of providing the benefits set forth in this Section 6.1(D) shall be in addition to (and shall not reduce) the Severance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plan or program in question, or applicable law, provides for a longer period of coverage following termination of employment, then the Executive shall receive this additional period of coverage pursuant to the terms and conditions as set forth in the plan or program or as prescribed by applicable law. Notwithstanding the foregoing provisions of this subsection, if the Executive becomes reemployed by another employer and is eligible (together with his or her dependents) for medical or dental insurance coverage that is substantially equivalent (as to extent of coverage and Executive’s cost) to the coverage of the same type that he or she (and his or her dependents) were entitled to receive under this subsection, the Company’s obligation to the Executive and his or her dependents under this subsection shall cease with respect to that type of coverage; and</w:t>
      </w:r>
    </w:p>
    <w:p>
      <w:pPr>
        <w:spacing w:after="0" w:line="119" w:lineRule="exact"/>
        <w:rPr>
          <w:rFonts w:ascii="Arial" w:cs="Arial" w:eastAsia="Arial" w:hAnsi="Arial"/>
          <w:sz w:val="16"/>
          <w:szCs w:val="16"/>
          <w:color w:val="auto"/>
        </w:rPr>
      </w:pPr>
    </w:p>
    <w:p>
      <w:pPr>
        <w:ind w:left="1760" w:hanging="268"/>
        <w:spacing w:after="0"/>
        <w:tabs>
          <w:tab w:leader="none" w:pos="17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Company shall pay the cost of providing the Executive with outplacement services up to a maximum of $45,000, provided that</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begins to utilize such services within six months following the Date of Termination and completes the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0" w:name="page131"/>
    <w:bookmarkEnd w:id="13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utilization of such services no later than the last day of the calendar year following the calendar year that contains the Date of Termination, and (ii) such services are provided by an outplacement provider approved by the Company (which approval shall not be unreasonably withheld, delayed or conditioned). Such payment shall be made by the Company directly to the service provider promptly following the provision of such services and the presentation to the Company of documentation of the provision of such services.</w:t>
      </w:r>
    </w:p>
    <w:p>
      <w:pPr>
        <w:spacing w:after="0" w:line="14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Vesting of Stock Awards</w:t>
      </w:r>
      <w:r>
        <w:rPr>
          <w:rFonts w:ascii="Arial" w:cs="Arial" w:eastAsia="Arial" w:hAnsi="Arial"/>
          <w:sz w:val="16"/>
          <w:szCs w:val="16"/>
          <w:color w:val="auto"/>
        </w:rPr>
        <w:t>. Subject to the Executive’s execution of the Release and the effectiveness of the Release within twenty-eight (28) days of the Date of Termination, if a Terminating Event occurs during a Potential Change in Control Period or within eighteen (18) months following a Change in Control and in either case during the Term, anything contained in any applicable option agreement or stock-based award agreement to the contrary notwithstanding, vesting of all stock options and other stock-based awards (other than any award under the Company’s Employee Stock Purchase Program) granted to the Executive by the Company and outstanding immediately prior to such Terminating Event shall immediately accelerate and all such awards shall become fully vested and exercisable effective immediately prior to the Date of Termination.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Best Net Benefit Limitation</w:t>
      </w:r>
      <w:r>
        <w:rPr>
          <w:rFonts w:ascii="Arial" w:cs="Arial" w:eastAsia="Arial" w:hAnsi="Arial"/>
          <w:sz w:val="18"/>
          <w:szCs w:val="18"/>
          <w:color w:val="auto"/>
        </w:rPr>
        <w:t>.</w:t>
      </w:r>
    </w:p>
    <w:p>
      <w:pPr>
        <w:spacing w:after="0" w:line="171" w:lineRule="exact"/>
        <w:rPr>
          <w:sz w:val="20"/>
          <w:szCs w:val="20"/>
          <w:color w:val="auto"/>
        </w:rPr>
      </w:pPr>
    </w:p>
    <w:p>
      <w:pPr>
        <w:jc w:val="both"/>
        <w:ind w:right="80" w:firstLine="1492"/>
        <w:spacing w:after="0" w:line="298" w:lineRule="auto"/>
        <w:tabs>
          <w:tab w:leader="none" w:pos="17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Anything contained in this Agreement to the contrary notwithstanding, if any of the payments or benefits received or to be received by the Executive (whether pursuant to the terms of this Agreement or any other plan, arrangement or agreement with the Company, any Person whose actions result in a Change in Control or any Person affiliated with the Company or such Person) (all such payments and benefits being hereinafter referred to as the “Total Payments”) will be subject to the Excise Tax, the following provisions shall apply:</w:t>
      </w:r>
    </w:p>
    <w:p>
      <w:pPr>
        <w:spacing w:after="0" w:line="31" w:lineRule="exact"/>
        <w:rPr>
          <w:rFonts w:ascii="Arial" w:cs="Arial" w:eastAsia="Arial" w:hAnsi="Arial"/>
          <w:sz w:val="16"/>
          <w:szCs w:val="16"/>
          <w:color w:val="auto"/>
        </w:rPr>
      </w:pPr>
    </w:p>
    <w:p>
      <w:pPr>
        <w:ind w:left="1500" w:right="100" w:firstLine="389"/>
        <w:spacing w:after="0" w:line="306" w:lineRule="auto"/>
        <w:tabs>
          <w:tab w:leader="none" w:pos="2107"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the Total Payments, reduced by the sum of (a) the Excise Tax and (b) the total of the Federal, state, and local income and employment taxes payable by the Executive on the amount of the Total Payments which are in excess of the Threshold Amount, are greater than or equal to the Threshold Amount, the Executive shall be entitled to the full benefits payable under this Agreement.</w:t>
      </w:r>
    </w:p>
    <w:p>
      <w:pPr>
        <w:spacing w:after="0" w:line="25" w:lineRule="exact"/>
        <w:rPr>
          <w:rFonts w:ascii="Arial" w:cs="Arial" w:eastAsia="Arial" w:hAnsi="Arial"/>
          <w:sz w:val="16"/>
          <w:szCs w:val="16"/>
          <w:color w:val="auto"/>
        </w:rPr>
      </w:pPr>
    </w:p>
    <w:p>
      <w:pPr>
        <w:ind w:left="1500" w:right="60" w:firstLine="389"/>
        <w:spacing w:after="0" w:line="288" w:lineRule="auto"/>
        <w:tabs>
          <w:tab w:leader="none" w:pos="215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the Threshold Amount is less than (a) the Total Payments, but greater than (b) the Total Payments reduced by the sum of (1) the Excise Tax and (2) the total of the Federal, state and local income and employment taxes on the amount of the Total Payments which are in excess of the Threshold Amount, then the benefits payable under this Agreement shall be reduced (but not below zero) to the extent necessary so that the maximum Total Payments shall not exceed the Threshold Amount. In such event, the Executive will be permitted to request which component items of the Payment will be reduced, provided, however, that the Executive must provide to the Company in writing his or her request within a reasonable time period established by the Company and the Company must in its discretion consent to such request (said consent not to be unreasonably withheld, delayed or conditioned) and absent such a request, the Company shall make its own determinations with respect to which items of the Total Payments are to be reduced. To the extent any payment is to be made over time (e.g., in installments), then the payments shall be reduced in reverse chronological order.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31" w:name="page132"/>
    <w:bookmarkEnd w:id="131"/>
    <w:p>
      <w:pPr>
        <w:ind w:right="40" w:firstLine="1492"/>
        <w:spacing w:after="0" w:line="289" w:lineRule="auto"/>
        <w:tabs>
          <w:tab w:leader="none" w:pos="1761"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as to which of the alternative provisions of subsection (A) above shall apply to the Executive shall be made by a nationally recognized accounting firm selected by the Company (the “Accounting Firm”), which shall provide detailed supporting calculations both to the Company and the Executive within fifteen (15) business days of the Date of Termination, if applicable, or at such earlier time as is reasonably requested by the Company or the Executive. For purposes of determining which of the alternative provisions of subsection (A) above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in this Agreement to the contrary,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only be payable upon the Executive’s “Separation from Service.” The term “Separation from Service” shall mean the Executive’s “separation from service” from the Company, an affiliate of the Company or a successor entity within the meaning set forth in Section 409A of the Code, determined in accordance with the presumptions set forth in Treasury Regulation Section 1.409A-1(h). If the Executive is considered a “specified employee,” within the meaning of Section 409A of the Code on his Date of Termination and severance payable hereunder is considered deferred compensation subject to Section 409A of the Code, no severance payments will be paid during the six-month period following the Executive’s Separation from Service. Any severance amount that would have been paid during such six-month period but for the provisions of the preceding sentence shall be paid in a lump sum within the first five (5) days of the seventh month following the Executive’s Separation from Service.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24"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Source of Payment</w:t>
      </w:r>
      <w:r>
        <w:rPr>
          <w:rFonts w:ascii="Arial" w:cs="Arial" w:eastAsia="Arial" w:hAnsi="Arial"/>
          <w:sz w:val="18"/>
          <w:szCs w:val="18"/>
          <w:color w:val="auto"/>
        </w:rPr>
        <w:t>. Nothing herein shall be construed as establishing a trust or as requiring the Company to set aside funds to meet its obligations hereunder. Notwithstanding the foregoing, if the Board in its sole discretion so determines the Company may establish a so-called “rabbi trust” or similar arrangement to assist it in meeting any such obligations that it may have.</w:t>
      </w:r>
    </w:p>
    <w:p>
      <w:pPr>
        <w:spacing w:after="0" w:line="140"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Procedures and Compensation During Dispute</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After a Change in Control, any purported termination of the Executive’s employment (other than by reason of death) shall be communicated by written Notice of Termination from one party hereto to the other party hereto in accordance with Section 10 (“</w:t>
      </w: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a “Notice 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2" w:name="page133"/>
    <w:bookmarkEnd w:id="13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full-time performance of the Executive’s duties during such thirty (30) day period), and (ii) if the Executive’s employment is terminated for any other reason, the date specified in the Notice of Termination (which, in the case of a termination by the Company, shall not be less than fifteen (15) days (except in the case of a termination for Cause) and, in the case of a termination by the Executive, shall not be less than fifteen (15) days, respectively, from the date such Notice of Termination is given). Notwithstanding the foregoing, if the Executive gives a Notice of Termination to the Company, the Company may unilaterally accelerate the Date of Termination and such acceleration shall not result in a “Termination by the Company” for purposes of this Agreement.</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Dispute Concerning Termination</w:t>
      </w:r>
      <w:r>
        <w:rPr>
          <w:rFonts w:ascii="Arial" w:cs="Arial" w:eastAsia="Arial" w:hAnsi="Arial"/>
          <w:sz w:val="16"/>
          <w:szCs w:val="16"/>
          <w:color w:val="auto"/>
        </w:rPr>
        <w:t xml:space="preserve">. If within ten (10) days after any Notice of Termination is given, or, if later, prior to the Date of Termination (as determined without regard to this Section 7.3), the party receiving such Notice of Termination notifies the other party that a dispute exists concerning the termination, the Date of Termination, and if necessary to accommodate extension of the Date of Termination, the Term, shall be extended until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1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Compensation During Dispute</w:t>
      </w:r>
      <w:r>
        <w:rPr>
          <w:rFonts w:ascii="Arial" w:cs="Arial" w:eastAsia="Arial" w:hAnsi="Arial"/>
          <w:sz w:val="18"/>
          <w:szCs w:val="18"/>
          <w:color w:val="auto"/>
        </w:rPr>
        <w:t>. If the Date of Termination is extended in accordance with Section 7.3 (“</w:t>
      </w:r>
      <w:r>
        <w:rPr>
          <w:rFonts w:ascii="Arial" w:cs="Arial" w:eastAsia="Arial" w:hAnsi="Arial"/>
          <w:sz w:val="18"/>
          <w:szCs w:val="18"/>
          <w:u w:val="single" w:color="auto"/>
          <w:color w:val="auto"/>
        </w:rPr>
        <w:t>Dispute Concerning Termination</w:t>
      </w:r>
      <w:r>
        <w:rPr>
          <w:rFonts w:ascii="Arial" w:cs="Arial" w:eastAsia="Arial" w:hAnsi="Arial"/>
          <w:sz w:val="18"/>
          <w:szCs w:val="18"/>
          <w:color w:val="auto"/>
        </w:rPr>
        <w:t>”), the Company shall continue to pay the Executive the full amount of the highest compensation in effect at any time from the date immediately prior to the Change in Control through the date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7.3. Amounts paid under this Section 7.4 are in addition to all other amounts due under this Agreement (other than those due under Section 5 (“</w:t>
      </w: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and shall not be offset against or reduce any other amounts due under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33" w:name="page134"/>
    <w:bookmarkEnd w:id="133"/>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6"/>
          <w:szCs w:val="16"/>
          <w:u w:val="single" w:color="auto"/>
          <w:color w:val="auto"/>
        </w:rPr>
        <w:t>Legal Fees and Expenses</w:t>
      </w:r>
      <w:r>
        <w:rPr>
          <w:rFonts w:ascii="Arial" w:cs="Arial" w:eastAsia="Arial" w:hAnsi="Arial"/>
          <w:sz w:val="16"/>
          <w:szCs w:val="16"/>
          <w:color w:val="auto"/>
        </w:rPr>
        <w:t>. The Company shall indemnify and hold harmless the Executive from and against, and shall pay to the Executive, all reasonable legal fees and expenses incurred by the Executive in disputing in good faith any issue relating to this Agreement or the enforcement thereof, including but not limited to issues relating to the termination of the Executive’s employment,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w:t>
      </w:r>
    </w:p>
    <w:p>
      <w:pPr>
        <w:spacing w:after="0" w:line="120" w:lineRule="exact"/>
        <w:rPr>
          <w:sz w:val="20"/>
          <w:szCs w:val="20"/>
          <w:color w:val="auto"/>
        </w:rPr>
      </w:pPr>
    </w:p>
    <w:p>
      <w:pPr>
        <w:ind w:firstLine="464"/>
        <w:spacing w:after="0" w:line="294"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 Mitigation</w:t>
      </w:r>
      <w:r>
        <w:rPr>
          <w:rFonts w:ascii="Arial" w:cs="Arial" w:eastAsia="Arial" w:hAnsi="Arial"/>
          <w:sz w:val="16"/>
          <w:szCs w:val="16"/>
          <w:color w:val="auto"/>
        </w:rPr>
        <w:t>. If the Executive’s employment with the Company terminates following a Change in Control, the Executive is not required to seek other employment or to attempt in any way to reduce any amounts payable to the Executive by the Company pursuant to Section 6 (“</w:t>
      </w:r>
      <w:r>
        <w:rPr>
          <w:rFonts w:ascii="Arial" w:cs="Arial" w:eastAsia="Arial" w:hAnsi="Arial"/>
          <w:sz w:val="16"/>
          <w:szCs w:val="16"/>
          <w:u w:val="single" w:color="auto"/>
          <w:color w:val="auto"/>
        </w:rPr>
        <w:t>Severance Payments and Benefits;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Vesting of Stock Awards</w:t>
      </w:r>
      <w:r>
        <w:rPr>
          <w:rFonts w:ascii="Arial" w:cs="Arial" w:eastAsia="Arial" w:hAnsi="Arial"/>
          <w:sz w:val="16"/>
          <w:szCs w:val="16"/>
          <w:color w:val="auto"/>
        </w:rPr>
        <w:t>”) or Section 7.4 (“</w:t>
      </w:r>
      <w:r>
        <w:rPr>
          <w:rFonts w:ascii="Arial" w:cs="Arial" w:eastAsia="Arial" w:hAnsi="Arial"/>
          <w:sz w:val="16"/>
          <w:szCs w:val="16"/>
          <w:u w:val="single" w:color="auto"/>
          <w:color w:val="auto"/>
        </w:rPr>
        <w:t>Compensation During Dispute</w:t>
      </w:r>
      <w:r>
        <w:rPr>
          <w:rFonts w:ascii="Arial" w:cs="Arial" w:eastAsia="Arial" w:hAnsi="Arial"/>
          <w:sz w:val="16"/>
          <w:szCs w:val="16"/>
          <w:color w:val="auto"/>
        </w:rPr>
        <w:t>”). Except as set forth in Subsection 6.1(D),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9.1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after a Change in Control and during the Term, except that, for purposes of implementing the foregoing, the date on which any such succession becomes effective shall be deemed the Date of Termination.</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9.2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Executive’s beneficiary designated in writing to the Company prior to his death (or to the executors, personal representatives or administrators of the Executive’s estate, if the Executive fails to make such designation).</w:t>
      </w:r>
    </w:p>
    <w:p>
      <w:pPr>
        <w:spacing w:after="0" w:line="116" w:lineRule="exact"/>
        <w:rPr>
          <w:sz w:val="20"/>
          <w:szCs w:val="20"/>
          <w:color w:val="auto"/>
        </w:rPr>
      </w:pPr>
    </w:p>
    <w:p>
      <w:pPr>
        <w:ind w:right="40" w:firstLine="464"/>
        <w:spacing w:after="0" w:line="259"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4" w:name="page135"/>
    <w:bookmarkEnd w:id="13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to its principal office to the attention of the Chief Executive Officer of the Company with a copy to its Secretary, or to such other address as either party may have furnished to the other in writing in accordance herewith, except that notice of change of address shall be effective only upon receipt.</w:t>
      </w:r>
    </w:p>
    <w:p>
      <w:pPr>
        <w:spacing w:after="0" w:line="85" w:lineRule="exact"/>
        <w:rPr>
          <w:sz w:val="20"/>
          <w:szCs w:val="20"/>
          <w:color w:val="auto"/>
        </w:rPr>
      </w:pPr>
    </w:p>
    <w:p>
      <w:pPr>
        <w:ind w:firstLine="464"/>
        <w:spacing w:after="0" w:line="286" w:lineRule="auto"/>
        <w:tabs>
          <w:tab w:leader="none" w:pos="71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Effect on Other Plans</w:t>
      </w:r>
      <w:r>
        <w:rPr>
          <w:rFonts w:ascii="Arial" w:cs="Arial" w:eastAsia="Arial" w:hAnsi="Arial"/>
          <w:sz w:val="16"/>
          <w:szCs w:val="16"/>
          <w:color w:val="auto"/>
        </w:rPr>
        <w:t>. An election by the Executive to resign for Good Reason after a Change in Control (or during a Potential Change in Control Period)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6.3 (“</w:t>
      </w:r>
      <w:r>
        <w:rPr>
          <w:rFonts w:ascii="Arial" w:cs="Arial" w:eastAsia="Arial" w:hAnsi="Arial"/>
          <w:sz w:val="16"/>
          <w:szCs w:val="16"/>
          <w:u w:val="single" w:color="auto"/>
          <w:color w:val="auto"/>
        </w:rPr>
        <w:t>Best Net Benefit Limitation</w:t>
      </w:r>
      <w:r>
        <w:rPr>
          <w:rFonts w:ascii="Arial" w:cs="Arial" w:eastAsia="Arial" w:hAnsi="Arial"/>
          <w:sz w:val="16"/>
          <w:szCs w:val="16"/>
          <w:color w:val="auto"/>
        </w:rPr>
        <w:t>”) hereof, and except that the Executive shall have no rights to any severance benefits under any Company severance pay plan or arrangement (other than this Agreement) in connection with the occurrence of a Terminating Event within eighteen (18) months following a Change in Control and during the Term, and if the Executive is party to an employment agreement with the Company providing for change in control or severance payments or benefits (whether or not related to a Change in Control), the Executive will receive the benefits payable under this Agreement and not under the employment agreement. In the event that (i) a Terminating Event occurs during a Potential Change in Control Period and (ii) the Executive receives severance payments pursuant to an employment agreement or any Company severance pay plan or arrangement (other than this Agreement) in connection with the occurrence of a Terminating Event, then any severance payments subsequently payable pursuant to this Agreement shall be reduced by the amount of the severance payments previously made by the Company pursuant to such other program, plan or agreement, and thereafter Executive shall receive severance payments and other benefits solely pursuant to this Agreement.</w:t>
      </w:r>
    </w:p>
    <w:p>
      <w:pPr>
        <w:spacing w:after="0" w:line="124" w:lineRule="exact"/>
        <w:rPr>
          <w:rFonts w:ascii="Arial" w:cs="Arial" w:eastAsia="Arial" w:hAnsi="Arial"/>
          <w:sz w:val="16"/>
          <w:szCs w:val="16"/>
          <w:color w:val="auto"/>
        </w:rPr>
      </w:pPr>
    </w:p>
    <w:p>
      <w:pPr>
        <w:ind w:right="20" w:firstLine="464"/>
        <w:spacing w:after="0" w:line="298"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 Offset</w:t>
      </w:r>
      <w:r>
        <w:rPr>
          <w:rFonts w:ascii="Arial" w:cs="Arial" w:eastAsia="Arial" w:hAnsi="Arial"/>
          <w:sz w:val="16"/>
          <w:szCs w:val="16"/>
          <w:color w:val="auto"/>
        </w:rPr>
        <w:t>. Except as expressly provided in Section 11 (“</w:t>
      </w:r>
      <w:r>
        <w:rPr>
          <w:rFonts w:ascii="Arial" w:cs="Arial" w:eastAsia="Arial" w:hAnsi="Arial"/>
          <w:sz w:val="16"/>
          <w:szCs w:val="16"/>
          <w:u w:val="single" w:color="auto"/>
          <w:color w:val="auto"/>
        </w:rPr>
        <w:t>Effect on Other Plans</w:t>
      </w:r>
      <w:r>
        <w:rPr>
          <w:rFonts w:ascii="Arial" w:cs="Arial" w:eastAsia="Arial" w:hAnsi="Arial"/>
          <w:sz w:val="16"/>
          <w:szCs w:val="16"/>
          <w:color w:val="auto"/>
        </w:rPr>
        <w:t>”), the Company’s obligation to make the payments provided for in this Agreement and otherwise perform its obligations hereunder shall be absolute and unconditional and shall not be affected by any circumstances, including, without limitation, any set-off, counterclaim, recoupment, defense or other right which the Company or any of its affiliates may have against the Executive or others whether by reason of the Executive’s breach of this Agreement, subsequent employment of the Executive, or otherwise.</w:t>
      </w:r>
    </w:p>
    <w:p>
      <w:pPr>
        <w:spacing w:after="0" w:line="112" w:lineRule="exact"/>
        <w:rPr>
          <w:rFonts w:ascii="Arial" w:cs="Arial" w:eastAsia="Arial" w:hAnsi="Arial"/>
          <w:sz w:val="16"/>
          <w:szCs w:val="16"/>
          <w:color w:val="auto"/>
        </w:rPr>
      </w:pPr>
    </w:p>
    <w:p>
      <w:pPr>
        <w:ind w:firstLine="464"/>
        <w:spacing w:after="0" w:line="252"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This Agreement supersedes any other agreements or representations, oral or otherwise, express or implied, with respect to the subject matter hereof which have been made by either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shall not supersede any agreement setting forth the terms and conditions of the Executive’s employment with the Company or any subsidiary of the Company, except as expressly agreed to by the Executive and the Company in writing. The validity, interpretation, construction and performance of this Agreement shall be governed by the laws of The Commonwealth of Massachusetts without regard to provisions or principles thereof relating to conflicts of laws. All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5" w:name="page136"/>
    <w:bookmarkEnd w:id="13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respective obligations of the Company and the Executive under this Agreement which by their nature may require either partial or total performance after the expiration of the Term (including, without limitation, those under Sections 6, 7 and 17) shall survive such expiration.</w:t>
      </w:r>
    </w:p>
    <w:p>
      <w:pPr>
        <w:spacing w:after="0" w:line="113" w:lineRule="exact"/>
        <w:rPr>
          <w:sz w:val="20"/>
          <w:szCs w:val="20"/>
          <w:color w:val="auto"/>
        </w:rPr>
      </w:pPr>
    </w:p>
    <w:p>
      <w:pPr>
        <w:ind w:right="240" w:firstLine="464"/>
        <w:spacing w:after="0" w:line="268"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1" w:lineRule="exact"/>
        <w:rPr>
          <w:rFonts w:ascii="Arial" w:cs="Arial" w:eastAsia="Arial" w:hAnsi="Arial"/>
          <w:sz w:val="18"/>
          <w:szCs w:val="18"/>
          <w:color w:val="auto"/>
        </w:rPr>
      </w:pPr>
    </w:p>
    <w:p>
      <w:pPr>
        <w:ind w:right="80" w:firstLine="464"/>
        <w:spacing w:after="0" w:line="256"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understanding between the parties hereto with respect to the subject matter hereof, and supersedes all other prior or contemporaneous agreements and understandings, inducements or conditions, express or implied, oral or written, between Executive and the Company relating to the subject matter of the Agreement. All such other prior or contemporaneous agreements and understandings, inducements or conditions shall be deemed terminated effective immediately.</w:t>
      </w:r>
    </w:p>
    <w:p>
      <w:pPr>
        <w:spacing w:after="0" w:line="143" w:lineRule="exact"/>
        <w:rPr>
          <w:rFonts w:ascii="Arial" w:cs="Arial" w:eastAsia="Arial" w:hAnsi="Arial"/>
          <w:sz w:val="18"/>
          <w:szCs w:val="18"/>
          <w:color w:val="auto"/>
        </w:rPr>
      </w:pPr>
    </w:p>
    <w:p>
      <w:pPr>
        <w:ind w:right="180" w:firstLine="464"/>
        <w:spacing w:after="0" w:line="268"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17.1 All claims by the Executive for payments and benefits under this Agreement prior to a Change in Control shall be directed to and determined in the first instance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 such appeal to be resolved not less than 15 days after submission thereof by the Executive.</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17.2 Any dispute that remains unresolved after the procedure set forth in Section 16.1, and any other dispute or controversy arising under or in connection with this Agreement shall be settled exclusively by arbitration in Boston, Massachusetts in accordance with the rules of the American Arbitration Association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evidentiary standards set forth in this Agreement shall apply. Judgment may be entered on the arbitrator’s award in any court having jurisdiction. Notwithstanding any provision of this Agreement to the contrary, the Executive shall be entitled to specific performance of the Executive’s right to be paid during the pendency of any dispute or controversy arising under or in connection with this Agreement.</w:t>
      </w:r>
    </w:p>
    <w:p>
      <w:pPr>
        <w:spacing w:after="0" w:line="116" w:lineRule="exact"/>
        <w:rPr>
          <w:sz w:val="20"/>
          <w:szCs w:val="20"/>
          <w:color w:val="auto"/>
        </w:rPr>
      </w:pPr>
    </w:p>
    <w:p>
      <w:pPr>
        <w:jc w:val="both"/>
        <w:ind w:right="200" w:firstLine="464"/>
        <w:spacing w:after="0" w:line="256"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cooperate reasonably with the Company in the defense or prosecution of any claims or actions now in existence or which may be brought in the future against or on behalf of the Company which relate to events or occurrences that transpired while the Executive was employed by the Company, other than claims relating to this agreement or which are made by the Company and are or may be adverse to the Executive. The Executive’s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6" w:name="page137"/>
    <w:bookmarkEnd w:id="136"/>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cooperation in connection with such claims or actions shall include, but not be limited to, being available to meet with counsel to prepare for discovery or trial, to act as a witness on behalf of the Company, and if called to testify, to testify truthfully and in good faith about events that happened during the Executive’s employment.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make reasonable efforts to schedule any cooperation required pursuant to this Section 17 at such times that will not unreasonably interfere with the Executive’s search for other employment or performance of other employment services. The Company shall reimburse the Executive for reasonable expenses incurred in connection with the Executive’s performance of obligations pursuant to this Section 17 based on the standards and procedures applicable to expense reimbursement for the Company’s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 below:</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19.1 “Base Salary” shall mean the annual base salary in effect for the Executive immediately prior to the Terminating Event or, if higher, his or her annual base salary as determined immediately prior to the Change in Control).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 “Board” shall mean the Board of Directors of the Company.</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19.3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(iii) the willful engaging by the Executive in fraud, dishonesty or other misconduct which is demonstrably and materially injurious to the Company or its reputation, monetarily or otherwise.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19.4 A “Change in Control” shall be deemed to have occurred if any of the events set forth in any one of the following paragraphs shall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occurred:</w:t>
      </w:r>
    </w:p>
    <w:p>
      <w:pPr>
        <w:spacing w:after="0" w:line="165" w:lineRule="exact"/>
        <w:rPr>
          <w:sz w:val="20"/>
          <w:szCs w:val="20"/>
          <w:color w:val="auto"/>
        </w:rPr>
      </w:pPr>
    </w:p>
    <w:p>
      <w:pPr>
        <w:ind w:right="140" w:firstLine="1492"/>
        <w:spacing w:after="0" w:line="294" w:lineRule="auto"/>
        <w:tabs>
          <w:tab w:leader="none" w:pos="17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Person,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thirty percent (30%) or more of the combined voting power of the Company’s then outstanding securities having the right to vote in an election of the Company’s Board (“Voting Securities”) (in such case other than as a result of an acquisition of securities directly from the Company or an acquisition of securities involving a Corporate Transaction of the type described in the exclusion set forth in subsection (C) below); or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7" w:name="page138"/>
    <w:bookmarkEnd w:id="137"/>
    <w:p>
      <w:pPr>
        <w:ind w:right="100" w:firstLine="1492"/>
        <w:spacing w:after="0" w:line="289" w:lineRule="auto"/>
        <w:tabs>
          <w:tab w:leader="none" w:pos="1761"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who, as of the date hereof, constitute the Board (the “Incumbent Directors”) cease for any reason, including, without limitation, as a result of a tender offer, proxy contest, merger or similar transaction, to constitute at least a majority of the Board, provided that any person becoming a director of the Company subsequent to the date hereof shall be considered an Incumbent Director if such person’s election was approved by or such person was nominated for election by either (i) a vote of at least a majority of the Incumbent Directors or (ii)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118" w:lineRule="exact"/>
        <w:rPr>
          <w:rFonts w:ascii="Arial" w:cs="Arial" w:eastAsia="Arial" w:hAnsi="Arial"/>
          <w:sz w:val="16"/>
          <w:szCs w:val="16"/>
          <w:color w:val="auto"/>
        </w:rPr>
      </w:pPr>
    </w:p>
    <w:p>
      <w:pPr>
        <w:ind w:right="280" w:firstLine="1492"/>
        <w:spacing w:after="0" w:line="294" w:lineRule="auto"/>
        <w:tabs>
          <w:tab w:leader="none" w:pos="1761"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consummation of a consolidation, merger or consolidation or sale or other disposition of all or substantially all of the assets of the Company (a “Corporate Transaction”); excluding, however, a Corporate Transaction in which the stockholders of the Company immediately prior to the Corporate Transaction, would, immediately after the Corporate Transaction, beneficially own (as such term is defined in Rule 13d-3 under the Exchange Act), directly or indirectly, shares representing in the aggregate more than fifty percent (50%) of the voting shares of the corporation issuing cash or securities in the Corporate Transaction (or of its ultimate parent corporation, if any).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the foregoing, a “Change in Control” of the Company shall not be deemed to have occurred for purposes of the foregoing subsection (A) solely as the result of an acquisition of securities by the Company that, by reducing the number of shares of Voting Securities outstanding, increases the proportionate number of shares of Voting Securities beneficially owned by any Person to thirty percent (30%)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thirty percent (30%) or more of the combined voting power of all then outstanding Voting Securities, then a Change in Control of the Company shall be deemed to have occurred for purposes of the foregoing subsection (A).</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Anything contained in this Agreement to the contrary notwithstanding, no Change in Control shall be deemed to have occurred for purposes of this Agreement by virtue of any transaction which results in the Executive, or a “group” (as such term is used in Section 13(d)(3) of the Exchange Act) which includes the Executive, becoming the “beneficial owner” (as such term is defined in Rule 13d-3 under the Exchange Act), directly or indirectly, of securities of the Company representing thirty percent (30%) or more of the combined voting power of the Company’s then outstanding securities.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19.5 “Code” shall mean the Internal Revenue Code of 1986, as amended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38" w:name="page139"/>
    <w:bookmarkEnd w:id="138"/>
    <w:p>
      <w:pPr>
        <w:jc w:val="both"/>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19.6 “Company” shall mean Mercury Computer Systems, Inc. and, except in determining under Section 18.4 whether or not any Change in Control of the Company has occurred, shall include any successor to its business and/or assets which assumes and agrees to perform this Agreement by operation of law, or otherwise.</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19.7 “Date of Termination” (i) with respect to any purported termination of the Executive’s employment after a Change in Control, shall have the meaning set forth in Section 7.2 and (ii) with respect to the termination of the Executive’s employment during a Potential Change in Control Period, shall mean the date upon which the Executive or the Company provides notice to the other of the Terminating Event or, if later, the date of effectiveness of such Terminating Event as specified in such notice.</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19.8 “Disability” shall be deemed the reason for the termination by the Company of the Executive’s employment, if, as a result of the Executive’s incapacity due to physical or mental illness, the Executive shall have been absent from the full-time performance of the Executive’s duties with the Company for a period of one hundred eighty (180) calendar days in the aggregate in any twelve (12) month period, the Company shall have given the Executive a Notice of 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 “Exchange Act” shall mean the Securities Exchange Act of 1934, as amended from time to time.</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19.10 “Excise Tax” shall mean any excise tax imposed under Section 4999 of the Code, and any interest or penalties incurred by the Executive with respect to such excise tax.</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19.11 “Executive” shall mean the individual named in the first paragraph of this Agreement.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19.12 “Good Reason” for termination by the Executive of the Executive’s employment shall mean the occurrence (without the Executive’s express written consent) after any Change in Control, or during a Potential Change in Control Period (treating all references in subsections (A) through (F) below to a “Change in Control” as including references to a “Potential Change in Control”), of any one of the following acts by the Company, or failures by the Company to act, unless, in the case of any act or failure to act described in subsection (A), (B), (C), (D) or (E) below, such act or failure to act is corrected prior to the Date of Termination specified in the Notice of Termination given in respect thereof:</w:t>
      </w:r>
    </w:p>
    <w:p>
      <w:pPr>
        <w:spacing w:after="0" w:line="116" w:lineRule="exact"/>
        <w:rPr>
          <w:sz w:val="20"/>
          <w:szCs w:val="20"/>
          <w:color w:val="auto"/>
        </w:rPr>
      </w:pPr>
    </w:p>
    <w:p>
      <w:pPr>
        <w:jc w:val="both"/>
        <w:ind w:right="80" w:firstLine="1492"/>
        <w:spacing w:after="0" w:line="298" w:lineRule="auto"/>
        <w:tabs>
          <w:tab w:leader="none" w:pos="1771"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adverse change in the Executive’s status, position, title, reporting relationship, authority, duties or responsibilities with the Company as in effect immediately prior to the Change in Control, including, without limitation, any adverse change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60"/>
          </w:cols>
          <w:pgMar w:left="240" w:top="280" w:right="299" w:bottom="1440" w:gutter="0" w:footer="0" w:header="0"/>
        </w:sectPr>
      </w:pPr>
    </w:p>
    <w:bookmarkStart w:id="139" w:name="page140"/>
    <w:bookmarkEnd w:id="139"/>
    <w:p>
      <w:pPr>
        <w:ind w:left="1760" w:hanging="268"/>
        <w:spacing w:after="0"/>
        <w:tabs>
          <w:tab w:leader="none" w:pos="1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reduction in the Executive’s Base Salary;</w:t>
      </w:r>
    </w:p>
    <w:p>
      <w:pPr>
        <w:spacing w:after="0" w:line="171" w:lineRule="exact"/>
        <w:rPr>
          <w:rFonts w:ascii="Arial" w:cs="Arial" w:eastAsia="Arial" w:hAnsi="Arial"/>
          <w:sz w:val="18"/>
          <w:szCs w:val="18"/>
          <w:color w:val="auto"/>
        </w:rPr>
      </w:pPr>
    </w:p>
    <w:p>
      <w:pPr>
        <w:ind w:firstLine="1492"/>
        <w:spacing w:after="0" w:line="306" w:lineRule="auto"/>
        <w:tabs>
          <w:tab w:leader="none" w:pos="176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failure of the Company to maintain the Executive’s participation in a bonus or incentive plan that provides for an annual target bonus not lower than the Executive’s Target Bonus Amount (at a payout factor of one) for the fiscal year in which the Change in Control occurs, including but not limited to any reduction in the reasonable ability of the participant to achieve the targets in relation to the Company’s then effective operating plan;</w:t>
      </w:r>
    </w:p>
    <w:p>
      <w:pPr>
        <w:spacing w:after="0" w:line="106" w:lineRule="exact"/>
        <w:rPr>
          <w:rFonts w:ascii="Arial" w:cs="Arial" w:eastAsia="Arial" w:hAnsi="Arial"/>
          <w:sz w:val="16"/>
          <w:szCs w:val="16"/>
          <w:color w:val="auto"/>
        </w:rPr>
      </w:pPr>
    </w:p>
    <w:p>
      <w:pPr>
        <w:jc w:val="both"/>
        <w:ind w:right="260" w:firstLine="1492"/>
        <w:spacing w:after="0" w:line="259" w:lineRule="auto"/>
        <w:tabs>
          <w:tab w:leader="none" w:pos="17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by the Company to maintain the Executive’s participation in any thrift, pension, profit sharing, medical, health, disability, accident, life insurance and vacation plan or policy on terms and with benefits, individually and in the aggregate, not less favorable than those provided by the Company immediately prior to the Change in Control;</w:t>
      </w:r>
    </w:p>
    <w:p>
      <w:pPr>
        <w:spacing w:after="0" w:line="140" w:lineRule="exact"/>
        <w:rPr>
          <w:rFonts w:ascii="Arial" w:cs="Arial" w:eastAsia="Arial" w:hAnsi="Arial"/>
          <w:sz w:val="18"/>
          <w:szCs w:val="18"/>
          <w:color w:val="auto"/>
        </w:rPr>
      </w:pPr>
    </w:p>
    <w:p>
      <w:pPr>
        <w:ind w:right="200" w:firstLine="1492"/>
        <w:spacing w:after="0" w:line="259" w:lineRule="auto"/>
        <w:tabs>
          <w:tab w:leader="none" w:pos="17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requiring the Executive to be based at an office that is greater than 30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w:t>
      </w:r>
    </w:p>
    <w:p>
      <w:pPr>
        <w:spacing w:after="0" w:line="140" w:lineRule="exact"/>
        <w:rPr>
          <w:rFonts w:ascii="Arial" w:cs="Arial" w:eastAsia="Arial" w:hAnsi="Arial"/>
          <w:sz w:val="18"/>
          <w:szCs w:val="18"/>
          <w:color w:val="auto"/>
        </w:rPr>
      </w:pPr>
    </w:p>
    <w:p>
      <w:pPr>
        <w:ind w:right="520" w:firstLine="1492"/>
        <w:spacing w:after="0" w:line="268" w:lineRule="auto"/>
        <w:tabs>
          <w:tab w:leader="none" w:pos="17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7.1; for purposes of this Agreement, no such purported termination shall be effective.</w:t>
      </w:r>
    </w:p>
    <w:p>
      <w:pPr>
        <w:spacing w:after="0" w:line="132"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0"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For purposes of any determination regarding the existence of Good Reason, any claim by the Executive that Good Reason exists shall be presumed to be correct unless the Company establishes to the Board by clear and convincing evidence that Good Reason does not exist.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19.13 “Notice of Termination” shall have the meaning set forth in Section 7.1.</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19.14 “Person” shall have the meaning given in Section 3(a)(9) of the Exchange Act, as modified and used in Sections 13(d) and 14(d) thereof, except that such term shall not include (i) the Company or any of its subsidiaries, or (ii) any trustee, fiduciary or other person or entity holding securities under any employee benefit plan or trustee of the Company or any of its subsidiaries.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19.15 “Potential Change in Control” shall be deemed to have occurred if the event set forth in any one of the following subsections shall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occurred:</w:t>
      </w:r>
    </w:p>
    <w:p>
      <w:pPr>
        <w:spacing w:after="0" w:line="165" w:lineRule="exact"/>
        <w:rPr>
          <w:sz w:val="20"/>
          <w:szCs w:val="20"/>
          <w:color w:val="auto"/>
        </w:rPr>
      </w:pPr>
    </w:p>
    <w:p>
      <w:pPr>
        <w:ind w:left="1780" w:hanging="288"/>
        <w:spacing w:after="0"/>
        <w:tabs>
          <w:tab w:leader="none" w:pos="1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enters into an agreement, the consummation of which would result in the occurrence of a Change in Control;</w:t>
      </w:r>
    </w:p>
    <w:p>
      <w:pPr>
        <w:spacing w:after="0" w:line="194" w:lineRule="exact"/>
        <w:rPr>
          <w:rFonts w:ascii="Arial" w:cs="Arial" w:eastAsia="Arial" w:hAnsi="Arial"/>
          <w:sz w:val="16"/>
          <w:szCs w:val="16"/>
          <w:color w:val="auto"/>
        </w:rPr>
      </w:pPr>
    </w:p>
    <w:p>
      <w:pPr>
        <w:ind w:right="620" w:firstLine="1492"/>
        <w:spacing w:after="0" w:line="268" w:lineRule="auto"/>
        <w:tabs>
          <w:tab w:leader="none" w:pos="17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or any Person publicly announces an intention to take or to consider taking actions which, if consummated, would constitute a Change in Control;</w:t>
      </w:r>
    </w:p>
    <w:p>
      <w:pPr>
        <w:spacing w:after="0" w:line="131" w:lineRule="exact"/>
        <w:rPr>
          <w:rFonts w:ascii="Arial" w:cs="Arial" w:eastAsia="Arial" w:hAnsi="Arial"/>
          <w:sz w:val="18"/>
          <w:szCs w:val="18"/>
          <w:color w:val="auto"/>
        </w:rPr>
      </w:pPr>
    </w:p>
    <w:p>
      <w:pPr>
        <w:ind w:right="440" w:firstLine="1492"/>
        <w:spacing w:after="0" w:line="332" w:lineRule="auto"/>
        <w:tabs>
          <w:tab w:leader="none" w:pos="176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Person becomes the beneficial owner (as such term is defined in Rule 13d-3 under the Exchange Act), directly or indirectly, of securities of the Company representing 15% or more of the combined voting power of the Company’s then outstanding securities; 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380"/>
          </w:cols>
          <w:pgMar w:left="240" w:top="280" w:right="279" w:bottom="1440" w:gutter="0" w:footer="0" w:header="0"/>
        </w:sectPr>
      </w:pPr>
    </w:p>
    <w:bookmarkStart w:id="140" w:name="page141"/>
    <w:bookmarkEnd w:id="140"/>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the Board adopts a resolution to the effect that, for purposes of this Agreement, a Potential Change in Control has occurred.</w:t>
      </w:r>
    </w:p>
    <w:p>
      <w:pPr>
        <w:spacing w:after="0" w:line="19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19.16 “Potential Change in Control Period” shall commence upon the occurrence of a Potential Change in Control and shall lapse upon the occurrence of a Change in Control or, if earlier (i) with respect to a Potential Change in Control occurring pursuant to Section 18.15(A), immediately upon the abandonment or termination of the applicable agreement, (ii) with respect to a Potential Change in Control occurring pursuant to Section 18.15(B),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18.15(C) or (D), upon the one year anniversary of the occurrence of a Potential Change in Control (or such earlier date as may be determined by the Board).</w:t>
      </w:r>
    </w:p>
    <w:p>
      <w:pPr>
        <w:spacing w:after="0" w:line="12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19.17 “Retirement” shall be deemed the reason for the termination by the Executive of the Executive’s employment if such employment is terminated because of the Executive’s retirement on or after attaining the minimum age, completing the minimum number of years of service and satisfying all other conditions specified for retirement status under the Company’s Retirement Policy Statement.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19.18 “Severance Payments” shall have the meaning set forth in Section 6.1.</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19.19 “Target Bonus Amount” shall mean the sum of (i) the target annual bonus set forth in writing and available to the Executive immediately prior to the Change in Control (or, if higher, the Executive’s target annual bonus for the fiscal year in which the Date of Termination occurs) under the Company’s Annual Executive Bonus Plan or any successor plan, excluding any portion of such target annual bonus or any other award thereunder attributable to “over-achievement” performance goals (i.e., requiring the achievement of goals that exceed or are in addition to the goals required for the Executive to receive the target annual bonus) approved by the Compensation Committee or the Board, and (ii) the target annual bonus set forth in writing and available to the Executive upon the satisfaction of any individual performance objectives approved by the Compensation Committee or the Board for the Executive as part of a “management-by-results” process (i.e., MBRs).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19.20 “Term” shall mean the period of time described in Section 2 (including any extension, continuation or termination described therein).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19.21 “Terminating Event” shall mean termination of the Executive’s employment with the Company, other than (a) by the Company for Cause,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 by reason of death or Disability, or (c) by the Executive without Good Reason.</w:t>
      </w:r>
    </w:p>
    <w:p>
      <w:pPr>
        <w:spacing w:after="0" w:line="16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19.22 “Threshold Amount” shall mean three times the Executive’s “base amount” within the meaning of Section 280G(b)(3) of the Code and the regulations promulgated thereunder, less one dollar ($1.00).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19.23 “Total Payments” shall mean those payments so described in Section 6.3.</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420"/>
          </w:cols>
          <w:pgMar w:left="240" w:top="280" w:right="239" w:bottom="1440" w:gutter="0" w:footer="0" w:header="0"/>
        </w:sectPr>
      </w:pPr>
    </w:p>
    <w:bookmarkStart w:id="141" w:name="page142"/>
    <w:bookmarkEnd w:id="14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 on behalf of Mercury Computer Systems, Inc., and the Executive have hereunto set their hands as an agreement under seal, all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Aslett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Severance Agreement</w:t>
      </w:r>
    </w:p>
    <w:p>
      <w:pPr>
        <w:sectPr>
          <w:pgSz w:w="11900" w:h="16838" w:orient="portrait"/>
          <w:cols w:equalWidth="0" w:num="1">
            <w:col w:w="11200"/>
          </w:cols>
          <w:pgMar w:left="240" w:top="280" w:right="45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exchange for and as a condition to Mercury Computer Systems, Inc.’s (the “Company”) promises to me contained in the Change in Control Severance Agreement between the Company and me (the “Agreement”), I agree as follows: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 hereby irrevocably and unconditionally release, acquit and forever discharge the Company, its predecessors, successors, affiliates, other related entities and assigns, and the directors, officers, employees, shareholders, and representatives of any of the foregoing, and any persons acting on behalf or through any of the foregoing (any and all of whom or which are hereinafter referred to as the “Company”),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(collectively, “Claims”), that I now have, own, or hold, or claim to have, own, or hold, or that I at any time had, owned, or held, or claimed to have had, owned or held against the Company. This general release of Claims includes, without implication of limitation, the complete release of all Claims of breach of express or implied contract, including, without limitation, all Claims arising from any employment offer letter from the Company; all Claims of wrongful termination of employment whether in contract or tort; all Claims based on actions or omissions leading to this General Release of Claims; all Claims of intentional, reckless, or negligent infliction of emotional distress; all Claims of breach of any express or implied covenant of employment, including the covenant of good faith and fair dealing; all Claims of interference with contractual or advantageous relations, whether those relations are prospective or existing; all Claims of deceit or misrepresentation; all Claims of discrimination under state or federal law, including, without implication of limitation, Title VII of the Civil Rights Act of 1964, 42 U.S.C. § 2000e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as amended, the Age Discrimination in Employment Act of 1967, 29 U.S.C. § 621 </w:t>
      </w:r>
      <w:r>
        <w:rPr>
          <w:rFonts w:ascii="Arial" w:cs="Arial" w:eastAsia="Arial" w:hAnsi="Arial"/>
          <w:sz w:val="16"/>
          <w:szCs w:val="16"/>
          <w:i w:val="1"/>
          <w:iCs w:val="1"/>
          <w:color w:val="auto"/>
        </w:rPr>
        <w:t>et seq.</w:t>
      </w:r>
      <w:r>
        <w:rPr>
          <w:rFonts w:ascii="Arial" w:cs="Arial" w:eastAsia="Arial" w:hAnsi="Arial"/>
          <w:sz w:val="16"/>
          <w:szCs w:val="16"/>
          <w:color w:val="auto"/>
        </w:rPr>
        <w:t>, as amended, and Chapter 151B of the Massachusetts General Laws; all Claims of defamation or damage to reputation; all Claims for reinstatement; all Claims for punitive or emotional distress damages; all Claims for wages, bonuses, severance, back or front pay or other forms of compensation; and all Claims for attorney’s fees and costs. Notwithstanding the foregoing, this General Release of Claims shall not be construed to include a release of Claims that arise from or relate to the Company’s obligations under the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acknowledge that I have been advised to consult with an attorney before signing this General Release.</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 further understand that I have been given an adequate opportunity, if I so desired, to consider this General Release for up to twenty-one (21) days before deciding whether to sign it. If I signed this General Release before the expiration of that twenty-one (21) day period, I acknowledge that such decision was entirely voluntary. I understand that for a period of seven (7) days after I execute this General Release I have the right to revoke it by a written notice to be received by the Director, Human Resources of the Company by the end of that period. I also understand that this General Release shall not be effective or enforceable until the expiration of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Release of Claims</w:t>
      </w:r>
    </w:p>
    <w:p>
      <w:pPr>
        <w:sectPr>
          <w:pgSz w:w="11900" w:h="16838" w:orient="portrait"/>
          <w:cols w:equalWidth="0" w:num="1">
            <w:col w:w="11360"/>
          </w:cols>
          <w:pgMar w:left="240" w:top="274" w:right="299" w:bottom="1440" w:gutter="0" w:footer="0" w:header="0"/>
        </w:sectPr>
      </w:pPr>
    </w:p>
    <w:bookmarkStart w:id="143" w:name="page144"/>
    <w:bookmarkEnd w:id="1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 agree that nothing in this General Release of Claims is intended to affect any of my obligations that continue after the termination of my employment contained in the Agreement or in any written agreement entered into between the Company and me with respect to confidentiality, ownership of inventions, non-competition and/or non-solicitation.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 represent and agree that I have carefully read and fully understand all of the provisions of this General Release and that I am voluntarily agreeing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252095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Release of Claims</w:t>
      </w:r>
    </w:p>
    <w:p>
      <w:pPr>
        <w:sectPr>
          <w:pgSz w:w="11900" w:h="16838" w:orient="portrait"/>
          <w:cols w:equalWidth="0" w:num="1">
            <w:col w:w="11400"/>
          </w:cols>
          <w:pgMar w:left="240" w:top="280" w:right="2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 for Non-Employee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of Director compensation includes cash and equity. It is annually reviewed by the Compensation Committee with recommendations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review includes:</w:t>
      </w:r>
    </w:p>
    <w:p>
      <w:pPr>
        <w:spacing w:after="0" w:line="84"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market survey of Board compensation to peer companies at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review of Board and Committee meeting frequency;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Board member personal preparation time for Board and Committee meetings;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Board member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targets its annual cash and equity compensation to the 75</w:t>
      </w:r>
      <w:r>
        <w:rPr>
          <w:rFonts w:ascii="Arial" w:cs="Arial" w:eastAsia="Arial" w:hAnsi="Arial"/>
          <w:sz w:val="11"/>
          <w:szCs w:val="11"/>
          <w:color w:val="auto"/>
        </w:rPr>
        <w:t>th</w:t>
      </w:r>
      <w:r>
        <w:rPr>
          <w:rFonts w:ascii="Arial" w:cs="Arial" w:eastAsia="Arial" w:hAnsi="Arial"/>
          <w:sz w:val="18"/>
          <w:szCs w:val="18"/>
          <w:color w:val="auto"/>
        </w:rPr>
        <w:t xml:space="preserve"> percentile of the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directors:</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$55,000 per annum, paid quarterly</w:t>
            </w:r>
          </w:p>
        </w:tc>
      </w:tr>
      <w:tr>
        <w:trPr>
          <w:trHeight w:val="322"/>
        </w:trPr>
        <w:tc>
          <w:tcPr>
            <w:tcW w:w="4360" w:type="dxa"/>
            <w:vAlign w:val="bottom"/>
          </w:tcPr>
          <w:p>
            <w:pPr>
              <w:spacing w:after="0"/>
              <w:rPr>
                <w:sz w:val="20"/>
                <w:szCs w:val="20"/>
                <w:color w:val="auto"/>
              </w:rPr>
            </w:pPr>
            <w:r>
              <w:rPr>
                <w:rFonts w:ascii="Arial" w:cs="Arial" w:eastAsia="Arial" w:hAnsi="Arial"/>
                <w:sz w:val="18"/>
                <w:szCs w:val="18"/>
                <w:color w:val="auto"/>
              </w:rPr>
              <w:t>Additional annual retainers:</w:t>
            </w:r>
          </w:p>
        </w:tc>
        <w:tc>
          <w:tcPr>
            <w:tcW w:w="3400" w:type="dxa"/>
            <w:vAlign w:val="bottom"/>
          </w:tcPr>
          <w:p>
            <w:pPr>
              <w:spacing w:after="0"/>
              <w:rPr>
                <w:sz w:val="24"/>
                <w:szCs w:val="24"/>
                <w:color w:val="auto"/>
              </w:rPr>
            </w:pPr>
          </w:p>
        </w:tc>
      </w:tr>
      <w:tr>
        <w:trPr>
          <w:trHeight w:val="110"/>
        </w:trPr>
        <w:tc>
          <w:tcPr>
            <w:tcW w:w="4360" w:type="dxa"/>
            <w:vAlign w:val="bottom"/>
          </w:tcPr>
          <w:p>
            <w:pPr>
              <w:spacing w:after="0"/>
              <w:rPr>
                <w:sz w:val="9"/>
                <w:szCs w:val="9"/>
                <w:color w:val="auto"/>
              </w:rPr>
            </w:pPr>
          </w:p>
        </w:tc>
        <w:tc>
          <w:tcPr>
            <w:tcW w:w="3400" w:type="dxa"/>
            <w:vAlign w:val="bottom"/>
          </w:tcPr>
          <w:p>
            <w:pPr>
              <w:spacing w:after="0"/>
              <w:rPr>
                <w:sz w:val="9"/>
                <w:szCs w:val="9"/>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Independent Chairman:</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$45,000 per annum, paid quarterly</w:t>
            </w:r>
          </w:p>
        </w:tc>
      </w:tr>
      <w:tr>
        <w:trPr>
          <w:trHeight w:val="322"/>
        </w:trPr>
        <w:tc>
          <w:tcPr>
            <w:tcW w:w="4360" w:type="dxa"/>
            <w:vAlign w:val="bottom"/>
          </w:tcPr>
          <w:p>
            <w:pPr>
              <w:ind w:left="440"/>
              <w:spacing w:after="0"/>
              <w:rPr>
                <w:sz w:val="20"/>
                <w:szCs w:val="20"/>
                <w:color w:val="auto"/>
              </w:rPr>
            </w:pPr>
            <w:r>
              <w:rPr>
                <w:rFonts w:ascii="Arial" w:cs="Arial" w:eastAsia="Arial" w:hAnsi="Arial"/>
                <w:sz w:val="18"/>
                <w:szCs w:val="18"/>
                <w:color w:val="auto"/>
              </w:rPr>
              <w:t>Chairman of the Audit Committee:</w:t>
            </w:r>
          </w:p>
        </w:tc>
        <w:tc>
          <w:tcPr>
            <w:tcW w:w="3400" w:type="dxa"/>
            <w:vAlign w:val="bottom"/>
          </w:tcPr>
          <w:p>
            <w:pPr>
              <w:ind w:left="860"/>
              <w:spacing w:after="0"/>
              <w:rPr>
                <w:sz w:val="20"/>
                <w:szCs w:val="20"/>
                <w:color w:val="auto"/>
              </w:rPr>
            </w:pPr>
            <w:r>
              <w:rPr>
                <w:rFonts w:ascii="Arial" w:cs="Arial" w:eastAsia="Arial" w:hAnsi="Arial"/>
                <w:sz w:val="18"/>
                <w:szCs w:val="18"/>
                <w:color w:val="auto"/>
                <w:w w:val="91"/>
              </w:rPr>
              <w:t>$19,000 per annum, paid quarterly</w:t>
            </w:r>
          </w:p>
        </w:tc>
      </w:tr>
      <w:tr>
        <w:trPr>
          <w:trHeight w:val="110"/>
        </w:trPr>
        <w:tc>
          <w:tcPr>
            <w:tcW w:w="4360" w:type="dxa"/>
            <w:vAlign w:val="bottom"/>
          </w:tcPr>
          <w:p>
            <w:pPr>
              <w:spacing w:after="0"/>
              <w:rPr>
                <w:sz w:val="9"/>
                <w:szCs w:val="9"/>
                <w:color w:val="auto"/>
              </w:rPr>
            </w:pPr>
          </w:p>
        </w:tc>
        <w:tc>
          <w:tcPr>
            <w:tcW w:w="3400" w:type="dxa"/>
            <w:vAlign w:val="bottom"/>
          </w:tcPr>
          <w:p>
            <w:pPr>
              <w:spacing w:after="0"/>
              <w:rPr>
                <w:sz w:val="9"/>
                <w:szCs w:val="9"/>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Chairman of the Compensation Committee:</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$15,000 per annum, paid quarterly</w:t>
            </w:r>
          </w:p>
        </w:tc>
      </w:tr>
      <w:tr>
        <w:trPr>
          <w:trHeight w:val="322"/>
        </w:trPr>
        <w:tc>
          <w:tcPr>
            <w:tcW w:w="4360" w:type="dxa"/>
            <w:vAlign w:val="bottom"/>
          </w:tcPr>
          <w:p>
            <w:pPr>
              <w:ind w:left="440"/>
              <w:spacing w:after="0"/>
              <w:rPr>
                <w:sz w:val="20"/>
                <w:szCs w:val="20"/>
                <w:color w:val="auto"/>
              </w:rPr>
            </w:pPr>
            <w:r>
              <w:rPr>
                <w:rFonts w:ascii="Arial" w:cs="Arial" w:eastAsia="Arial" w:hAnsi="Arial"/>
                <w:sz w:val="18"/>
                <w:szCs w:val="18"/>
                <w:color w:val="auto"/>
              </w:rPr>
              <w:t>Chairman of the N&amp;G Committee:</w:t>
            </w:r>
          </w:p>
        </w:tc>
        <w:tc>
          <w:tcPr>
            <w:tcW w:w="3400" w:type="dxa"/>
            <w:vAlign w:val="bottom"/>
          </w:tcPr>
          <w:p>
            <w:pPr>
              <w:ind w:left="860"/>
              <w:spacing w:after="0"/>
              <w:rPr>
                <w:sz w:val="20"/>
                <w:szCs w:val="20"/>
                <w:color w:val="auto"/>
              </w:rPr>
            </w:pPr>
            <w:r>
              <w:rPr>
                <w:rFonts w:ascii="Arial" w:cs="Arial" w:eastAsia="Arial" w:hAnsi="Arial"/>
                <w:sz w:val="18"/>
                <w:szCs w:val="18"/>
                <w:color w:val="auto"/>
                <w:w w:val="91"/>
              </w:rPr>
              <w:t>$10,500 per annum, paid quarterly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are entitled to be reimbursed for their reasonable expenses incurred in connection with attendance at Board and committee meetings.</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Quarterly retainer payments shall be paid in arrears within 30 days following the end of each quarter. The full quarterly retainer shall be paid to each director who served on the Board during all or a portion of a quarter.</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New non-employee directors will be granted equity awards in connection with their first election to the Board. These awards will be granted by the Board of Directors and will consist of shares of restricted stock with a grant date fair value equal to three times the annual retainer for non-employee directors. These awards will vest as to 50% of the covered shares on each of the first two anniversaries of the date of grant.</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Non-employee directors may also receive annual restricted stock awards for the number of shares of common stock equal to $100,000 divided by the closing price of the Company’s common stock on the date of grant. These awards will vest as to 50% of the covered shares on the date of grant and as to the remaining covered shares on the first anniversary of the date of grant.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Non-employee directors will not be eligible to receive an annual restricted stock for the fiscal year in which they are first elected. Non-employee directors who are first elected to the Board during the first half of Company’s fiscal year will be eligible to receive an annual restricted stock award for the next fiscal year; otherwise, non-employee directors will not be eligible to receive their first annual restricted stock award until the second fiscal year following the fiscal year in which they are first elected to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as amended, on July 27, 2011.</w:t>
      </w:r>
    </w:p>
    <w:p>
      <w:pPr>
        <w:sectPr>
          <w:pgSz w:w="11900" w:h="16838" w:orient="portrait"/>
          <w:cols w:equalWidth="0" w:num="1">
            <w:col w:w="11360"/>
          </w:cols>
          <w:pgMar w:left="240" w:top="280" w:right="2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Gerald Haines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 Alderbrook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Topsfield, Massachusetts 01983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Gerry,</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behalf of Mercury Computer Systems, Inc., we are pleased to offer you the position of Senior Vice President Corporate Development and Chief Legal Officer, reporting to Mark Aslett, President, and CEO. You will receive a bi-weekly salary of $11,153.84. Based upon our current Annual Executive Bonus Plan, you will also be eligible to earn an annual target bonus equal to 60% of your base pay ($174,000), based on the achievement of individual objectives (25% weighting) and Mercury Computer Systems financial goals (75% weighting). The target bonus is paid annually, generally in August and is pro-rated for FY10 based on date of hire. You will be eligible for a salary review in FY 2011 along with the other members of the executive team. Any executive salary changes are recommended by Mark and approved by the Compensation Committee based upon the FY individual performance as well as internal and external pay relationships.</w:t>
      </w:r>
    </w:p>
    <w:p>
      <w:pPr>
        <w:spacing w:after="0" w:line="12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to your target bonus, you will be eligible to participate with other senior executives in an FY2011 (commencing on July 1, 2010) Overachievement Award pool. Your target Over Achievement award is up to 60% of your base salary. This is based upon Mercury Computer Systems over achieving a budgeted financial target set by the Compensation Committee. This will be paid annually – 50% in cash generally in August and 50% to be paid out over a three year period of time.</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you will be granted 55,000 shares of restricted stock. The shares will be granted on the 15</w:t>
      </w:r>
      <w:r>
        <w:rPr>
          <w:rFonts w:ascii="Arial" w:cs="Arial" w:eastAsia="Arial" w:hAnsi="Arial"/>
          <w:sz w:val="11"/>
          <w:szCs w:val="11"/>
          <w:color w:val="auto"/>
        </w:rPr>
        <w:t>th</w:t>
      </w:r>
      <w:r>
        <w:rPr>
          <w:rFonts w:ascii="Arial" w:cs="Arial" w:eastAsia="Arial" w:hAnsi="Arial"/>
          <w:sz w:val="18"/>
          <w:szCs w:val="18"/>
          <w:color w:val="auto"/>
        </w:rPr>
        <w:t xml:space="preserve"> of the month following your date of hire. This stock grant has a four year vesting schedule. One fourth of the shares will vest on each anniversary of the grant date, provided that you remain employed by us or one of our subsidiaries as of each such date. Your restricted stock award will also be subject to the terms and conditions of Mercury’s 2005 Stock Incentive Plan and an award agreement between you and us.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 will be receiving a Change in Control Agreement that upon your signature will be in effect while you are employed with Mercury and subject to renewal as described in the current change in control document.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will also receive a $50,000 (gross) hiring bonus upon commencement of Mercury employment. If within one year of joining Mercury you should leave other than for Good Reason or be terminated for Cause you agree to pay back this hiring bonus.</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If during your employment following your date of hire you should lose your job as a result of job elimination for any reason other than Cause, or if you terminate your employment for Good Reason on your part, you will receive 12 months base pay, benefits continuation and executive outplacement.</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“Cause” is defined to include: the willful and continued failure to perform substantially the duties and responsibilities of your position with Mercury after written demand or conviction by a court of competent jurisdiction for felony criminal conduct or a plea of nolo contendere to a felony; or the willful engaging in fraud, dishonesty or other misconduct which is demonstrably and materially injurious to Mercury or our reputation, monetarily or otherwise. No act, or failure to act, on your part will be deemed “willful” unless committed or omitted by you in bad faith and without reasonable belief that your act or failure to act was in, or not opposed to, the best interest of Mercury.</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“Good Reason” is defined to include: a material diminution in your responsibilities, authority or duties as in effect on the date of the acceptance or a material diminution in your annual base salary, except for across-the-board salary reductions based on our financial performance similarly affecting all or substantially all senior management employees of Mercury; or a material change in the geographic location at which you provide services to Mercury.</w:t>
      </w:r>
    </w:p>
    <w:p>
      <w:pPr>
        <w:spacing w:after="0" w:line="10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addition to your salary, Mercury offers a comprehensive benefits package, which includes health, dental, short and long-term disability, life insurance, educational reimbursement, and a 401K plan.</w:t>
      </w:r>
    </w:p>
    <w:p>
      <w:pPr>
        <w:sectPr>
          <w:pgSz w:w="11900" w:h="16838" w:orient="portrait"/>
          <w:cols w:equalWidth="0" w:num="1">
            <w:col w:w="11420"/>
          </w:cols>
          <w:pgMar w:left="240" w:top="125" w:right="239" w:bottom="1440" w:gutter="0" w:footer="0" w:header="0"/>
        </w:sectPr>
      </w:pPr>
    </w:p>
    <w:bookmarkStart w:id="147" w:name="page148"/>
    <w:bookmarkEnd w:id="147"/>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offer is contingent upon you providing references and a successful background check. This offer of employment is contingent upon your signing and returning to us this offer letter and the enclosed Mercury Confidentiality Agreement prior to your start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entire offer is also contingent upon the approval of the Mercury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concerns relating to this document, they must be resolved prior to your start date.</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Mercury is required to formally confirm the citizenship status of all new associates. On your first day, you will be required to provide proof of US citizenship (either passport or birth certificate) or your Green Card if you are a legal permanent resident of the U.S. If you are not a U.S. citizen or Green Card holder, please bring your passport and proof of U.S. employment eligibility. If your position requires access to classified information, you must be willing to be submitted for a security clearance. As a Federal contractor, Mercury is required to verify the employment eligibility of new employees using the government’s electronic verification system after acceptance of this offer and within 3 days of date of hire. Successful verification is necessary to confirm work authorization and continued employment.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offer letter you acknowledge that you understand and agree to the following:</w:t>
      </w:r>
    </w:p>
    <w:p>
      <w:pPr>
        <w:spacing w:after="0" w:line="171"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are not under any contractual or other restriction that would prevent you from working for Mercury Computer Systems, Inc.;</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employment with Mercury Computer Systems, Inc. is at will, with either party free to terminate the employment relationship any time;</w:t>
      </w:r>
    </w:p>
    <w:p>
      <w:pPr>
        <w:spacing w:after="0" w:line="171" w:lineRule="exact"/>
        <w:rPr>
          <w:rFonts w:ascii="Arial" w:cs="Arial" w:eastAsia="Arial" w:hAnsi="Arial"/>
          <w:sz w:val="18"/>
          <w:szCs w:val="18"/>
          <w:color w:val="auto"/>
        </w:rPr>
      </w:pPr>
    </w:p>
    <w:p>
      <w:pPr>
        <w:ind w:right="140" w:firstLine="8"/>
        <w:spacing w:after="0" w:line="259" w:lineRule="auto"/>
        <w:tabs>
          <w:tab w:leader="none" w:pos="1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must comply with the Immigration Reform and Control Act of 1986. This law requires you to establish your identity and employment eligibility. In order to satisfy these requirements, you will be required to complete Section 1 of the enclosed Employment Verification Form and bring the documents identified in Section 2 on your first day of work.</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Gerry, we all look forward to your joining the Mercury executive leadership team. Together we will be able to realize our goals and accomplish great things.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offer letter and return to me in the enclosed envelope no later than March 5,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Very truly yours,</w:t>
            </w:r>
          </w:p>
        </w:tc>
      </w:tr>
      <w:tr>
        <w:trPr>
          <w:trHeight w:val="432"/>
        </w:trPr>
        <w:tc>
          <w:tcPr>
            <w:tcW w:w="4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/s/ Craig Saline</w:t>
            </w:r>
          </w:p>
        </w:tc>
      </w:tr>
      <w:tr>
        <w:trPr>
          <w:trHeight w:val="426"/>
        </w:trPr>
        <w:tc>
          <w:tcPr>
            <w:tcW w:w="4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Craig Saline</w:t>
            </w:r>
          </w:p>
        </w:tc>
      </w:tr>
      <w:tr>
        <w:trPr>
          <w:trHeight w:val="216"/>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Senior Vice President, Human Resources</w:t>
            </w:r>
          </w:p>
        </w:tc>
      </w:tr>
      <w:tr>
        <w:trPr>
          <w:trHeight w:val="222"/>
        </w:trPr>
        <w:tc>
          <w:tcPr>
            <w:tcW w:w="48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Mercury Computer Systems, Inc.</w:t>
            </w:r>
          </w:p>
        </w:tc>
      </w:tr>
      <w:tr>
        <w:trPr>
          <w:trHeight w:val="420"/>
        </w:trPr>
        <w:tc>
          <w:tcPr>
            <w:tcW w:w="4800" w:type="dxa"/>
            <w:vAlign w:val="bottom"/>
          </w:tcPr>
          <w:p>
            <w:pPr>
              <w:spacing w:after="0"/>
              <w:rPr>
                <w:sz w:val="20"/>
                <w:szCs w:val="20"/>
                <w:color w:val="auto"/>
              </w:rPr>
            </w:pPr>
            <w:r>
              <w:rPr>
                <w:rFonts w:ascii="Arial" w:cs="Arial" w:eastAsia="Arial" w:hAnsi="Arial"/>
                <w:sz w:val="18"/>
                <w:szCs w:val="18"/>
                <w:color w:val="auto"/>
              </w:rPr>
              <w:t>/s/ Gerald M. Haines II</w:t>
            </w:r>
          </w:p>
        </w:tc>
        <w:tc>
          <w:tcPr>
            <w:tcW w:w="6620" w:type="dxa"/>
            <w:vAlign w:val="bottom"/>
            <w:gridSpan w:val="2"/>
          </w:tcPr>
          <w:p>
            <w:pPr>
              <w:jc w:val="right"/>
              <w:ind w:right="4072"/>
              <w:spacing w:after="0"/>
              <w:rPr>
                <w:sz w:val="20"/>
                <w:szCs w:val="20"/>
                <w:color w:val="auto"/>
              </w:rPr>
            </w:pPr>
            <w:r>
              <w:rPr>
                <w:rFonts w:ascii="Arial" w:cs="Arial" w:eastAsia="Arial" w:hAnsi="Arial"/>
                <w:sz w:val="18"/>
                <w:szCs w:val="18"/>
                <w:color w:val="auto"/>
              </w:rPr>
              <w:t>3/3/10</w:t>
            </w:r>
          </w:p>
        </w:tc>
      </w:tr>
      <w:tr>
        <w:trPr>
          <w:trHeight w:val="222"/>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Accepted</w:t>
            </w:r>
          </w:p>
        </w:tc>
        <w:tc>
          <w:tcPr>
            <w:tcW w:w="184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3"/>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T.B.D.</w:t>
            </w:r>
          </w:p>
        </w:tc>
        <w:tc>
          <w:tcPr>
            <w:tcW w:w="18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Start Date</w:t>
            </w:r>
          </w:p>
        </w:tc>
        <w:tc>
          <w:tcPr>
            <w:tcW w:w="1840" w:type="dxa"/>
            <w:vAlign w:val="bottom"/>
          </w:tcPr>
          <w:p>
            <w:pPr>
              <w:spacing w:after="0"/>
              <w:rPr>
                <w:sz w:val="19"/>
                <w:szCs w:val="19"/>
                <w:color w:val="auto"/>
              </w:rPr>
            </w:pPr>
          </w:p>
        </w:tc>
        <w:tc>
          <w:tcPr>
            <w:tcW w:w="47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792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THE REGISTRANT</w:t>
            </w:r>
          </w:p>
        </w:tc>
      </w:tr>
      <w:tr>
        <w:trPr>
          <w:trHeight w:val="366"/>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302"/>
        </w:trPr>
        <w:tc>
          <w:tcPr>
            <w:tcW w:w="3500" w:type="dxa"/>
            <w:vAlign w:val="bottom"/>
          </w:tcPr>
          <w:p>
            <w:pPr>
              <w:spacing w:after="0"/>
              <w:rPr>
                <w:sz w:val="20"/>
                <w:szCs w:val="20"/>
                <w:color w:val="auto"/>
              </w:rPr>
            </w:pPr>
            <w:r>
              <w:rPr>
                <w:rFonts w:ascii="Arial" w:cs="Arial" w:eastAsia="Arial" w:hAnsi="Arial"/>
                <w:sz w:val="18"/>
                <w:szCs w:val="18"/>
                <w:color w:val="auto"/>
              </w:rPr>
              <w:t>LNX Corporation</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Federal Systems,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Riverneck Road, LLC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Nihon Mercury Computer Systems K.K.</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Computer Systems N.V.</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Computer Systems Ltd.</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333-53291, 333-52864, 333-101993, 333-112989, 333-112990, 333-124294, 333-129929, 333-139019, 333-139020, 333-149046, 333-156364, 333-163705, 333-163707 and 333-172775) on Form S-8 and the registration statement (No. 333-175978) on Form S-3 of Mercury Computer Systems, Inc. of our report dated August 18, 2011, with respect to the consolidated balance sheets of Mercury Computer Systems, Inc. and subsidiaries as of June 30, 2011 and 2010, and the related consolidated statements of operations, shareholders’ equity, and cash flows, for each of the years in the three-year period ended June 30, 2011, and the related consolidated financial statement Schedule II, and the effectiveness of internal control over financial reporting as of June 30, 2011, which report appears in the June 30, 2011 annual report on Form 10-K of Mercury Computer Systems, Inc.</w:t>
      </w:r>
    </w:p>
    <w:p>
      <w:pPr>
        <w:spacing w:after="0" w:line="14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report dated August 18, 2011, on the effectiveness of internal control over financial reporting as of June 30, 2011, contains an explanatory paragraph that states management excluded from its assessment of the effectiveness of Mercury Computer Systems, Inc.’s internal control over financial reporting as of June 30, 2011 LNX Corporation’s internal control over financial reporting associated with total assets of 12 percent and total revenues of 2 percent included in the consolidated financial statements of Mercury Computer Systems, Inc. and subsidiaries as of and for the year ended June 30, 2011.</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Our report refers to the Company’s change in its method of accounting for revenue arrangements with multiple-deliverables entered into or substantially modified after July 1, 2009 to adopt FASB ASU No. 2009-13, </w:t>
      </w:r>
      <w:r>
        <w:rPr>
          <w:rFonts w:ascii="Arial" w:cs="Arial" w:eastAsia="Arial" w:hAnsi="Arial"/>
          <w:sz w:val="18"/>
          <w:szCs w:val="18"/>
          <w:i w:val="1"/>
          <w:iCs w:val="1"/>
          <w:color w:val="auto"/>
        </w:rPr>
        <w:t>Multiple-Deliverable Revenue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18, 2011</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2011</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Annual Report of Mercury Computer Systems, Inc. (the “Company”) on Form 10-K for the fiscal year ended June 30, 2011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8"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2"/>
    </w:lvl>
  </w:abstractNum>
  <w:abstractNum w:abstractNumId="22">
    <w:nsid w:val="39386575"/>
    <w:multiLevelType w:val="hybridMultilevel"/>
    <w:lvl w:ilvl="0">
      <w:lvlJc w:val="left"/>
      <w:lvlText w:val="(%1)"/>
      <w:numFmt w:val="lowerLetter"/>
      <w:start w:val="4"/>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2"/>
    </w:lvl>
  </w:abstractNum>
  <w:abstractNum w:abstractNumId="28">
    <w:nsid w:val="15B5AF5C"/>
    <w:multiLevelType w:val="hybridMultilevel"/>
    <w:lvl w:ilvl="0">
      <w:lvlJc w:val="left"/>
      <w:lvlText w:val="%1."/>
      <w:numFmt w:val="upperLetter"/>
      <w:start w:val="35"/>
    </w:lvl>
  </w:abstractNum>
  <w:abstractNum w:abstractNumId="29">
    <w:nsid w:val="741226BB"/>
    <w:multiLevelType w:val="hybridMultilevel"/>
    <w:lvl w:ilvl="0">
      <w:lvlJc w:val="left"/>
      <w:lvlText w:val="%1."/>
      <w:numFmt w:val="decimal"/>
      <w:start w:val="3"/>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2"/>
    </w:lvl>
    <w:lvl w:ilvl="1">
      <w:lvlJc w:val="left"/>
      <w:lvlText w:val="(%2)"/>
      <w:numFmt w:val="lowerLetter"/>
      <w:start w:val="1"/>
    </w:lvl>
  </w:abstractNum>
  <w:abstractNum w:abstractNumId="33">
    <w:nsid w:val="61574095"/>
    <w:multiLevelType w:val="hybridMultilevel"/>
    <w:lvl w:ilvl="0">
      <w:lvlJc w:val="left"/>
      <w:lvlText w:val="%1"/>
      <w:numFmt w:val="decimal"/>
      <w:start w:val="1"/>
    </w:lvl>
    <w:lvl w:ilvl="1">
      <w:lvlJc w:val="left"/>
      <w:lvlText w:val="(%2)"/>
      <w:numFmt w:val="lowerLetter"/>
      <w:start w:val="2"/>
    </w:lvl>
  </w:abstractNum>
  <w:abstractNum w:abstractNumId="34">
    <w:nsid w:val="7E0C57B1"/>
    <w:multiLevelType w:val="hybridMultilevel"/>
    <w:lvl w:ilvl="0">
      <w:lvlJc w:val="left"/>
      <w:lvlText w:val="%1."/>
      <w:numFmt w:val="decimal"/>
      <w:start w:val="3"/>
    </w:lvl>
    <w:lvl w:ilvl="1">
      <w:lvlJc w:val="left"/>
      <w:lvlText w:val="%2"/>
      <w:numFmt w:val="lowerLetter"/>
      <w:start w:val="1"/>
    </w:lvl>
  </w:abstractNum>
  <w:abstractNum w:abstractNumId="35">
    <w:nsid w:val="77AE35EB"/>
    <w:multiLevelType w:val="hybridMultilevel"/>
    <w:lvl w:ilvl="0">
      <w:lvlJc w:val="left"/>
      <w:lvlText w:val="%1."/>
      <w:numFmt w:val="decimal"/>
      <w:start w:val="1"/>
    </w:lvl>
    <w:lvl w:ilvl="1">
      <w:lvlJc w:val="left"/>
      <w:lvlText w:val="(%2)"/>
      <w:numFmt w:val="lowerLetter"/>
      <w:start w:val="1"/>
    </w:lvl>
  </w:abstractNum>
  <w:abstractNum w:abstractNumId="36">
    <w:nsid w:val="579BE4F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7">
    <w:nsid w:val="310C50B3"/>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38">
    <w:nsid w:val="5FF87E05"/>
    <w:multiLevelType w:val="hybridMultilevel"/>
    <w:lvl w:ilvl="0">
      <w:lvlJc w:val="left"/>
      <w:lvlText w:val="(%1)"/>
      <w:numFmt w:val="lowerLetter"/>
      <w:start w:val="2"/>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3"/>
    </w:lvl>
    <w:lvl w:ilvl="1">
      <w:lvlJc w:val="left"/>
      <w:lvlText w:val="(%2)"/>
      <w:numFmt w:val="lowerLetter"/>
      <w:start w:val="1"/>
    </w:lvl>
  </w:abstractNum>
  <w:abstractNum w:abstractNumId="41">
    <w:nsid w:val="1DBABF0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2">
    <w:nsid w:val="4AD084E9"/>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4"/>
    </w:lvl>
  </w:abstractNum>
  <w:abstractNum w:abstractNumId="45">
    <w:nsid w:val="5DB70AE5"/>
    <w:multiLevelType w:val="hybridMultilevel"/>
    <w:lvl w:ilvl="0">
      <w:lvlJc w:val="left"/>
      <w:lvlText w:val="%1"/>
      <w:numFmt w:val="decimal"/>
      <w:start w:val="1"/>
    </w:lvl>
    <w:lvl w:ilvl="1">
      <w:lvlJc w:val="left"/>
      <w:lvlText w:val="(%2)"/>
      <w:numFmt w:val="upperLetter"/>
      <w:start w:val="1"/>
    </w:lvl>
  </w:abstractNum>
  <w:abstractNum w:abstractNumId="46">
    <w:nsid w:val="100F8FCA"/>
    <w:multiLevelType w:val="hybridMultilevel"/>
    <w:lvl w:ilvl="0">
      <w:lvlJc w:val="left"/>
      <w:lvlText w:val="(%1)"/>
      <w:numFmt w:val="decimal"/>
      <w:start w:val="10"/>
    </w:lvl>
    <w:lvl w:ilvl="1">
      <w:lvlJc w:val="left"/>
      <w:lvlText w:val="(%2)"/>
      <w:numFmt w:val="upperLetter"/>
      <w:start w:val="4"/>
    </w:lvl>
  </w:abstractNum>
  <w:abstractNum w:abstractNumId="47">
    <w:nsid w:val="6590700B"/>
    <w:multiLevelType w:val="hybridMultilevel"/>
    <w:lvl w:ilvl="0">
      <w:lvlJc w:val="left"/>
      <w:lvlText w:val="%1."/>
      <w:numFmt w:val="decimal"/>
      <w:start w:val="6"/>
    </w:lvl>
  </w:abstractNum>
  <w:abstractNum w:abstractNumId="48">
    <w:nsid w:val="15014ACB"/>
    <w:multiLevelType w:val="hybridMultilevel"/>
    <w:lvl w:ilvl="0">
      <w:lvlJc w:val="left"/>
      <w:lvlText w:val="(%1)"/>
      <w:numFmt w:val="decimal"/>
      <w:start w:val="28"/>
    </w:lvl>
    <w:lvl w:ilvl="1">
      <w:lvlJc w:val="left"/>
      <w:lvlText w:val="(%2)"/>
      <w:numFmt w:val="upperLetter"/>
      <w:start w:val="1"/>
    </w:lvl>
    <w:lvl w:ilvl="2">
      <w:lvlJc w:val="left"/>
      <w:lvlText w:val="(%3)"/>
      <w:numFmt w:val="lowerRoman"/>
      <w:start w:val="1"/>
    </w:lvl>
  </w:abstractNum>
  <w:abstractNum w:abstractNumId="49">
    <w:nsid w:val="5F5E7FD0"/>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50">
    <w:nsid w:val="98A3148"/>
    <w:multiLevelType w:val="hybridMultilevel"/>
    <w:lvl w:ilvl="0">
      <w:lvlJc w:val="left"/>
      <w:lvlText w:val="%1"/>
      <w:numFmt w:val="lowerRoman"/>
      <w:start w:val="1"/>
    </w:lvl>
    <w:lvl w:ilvl="1">
      <w:lvlJc w:val="left"/>
      <w:lvlText w:val="(%2)"/>
      <w:numFmt w:val="upperLetter"/>
      <w:start w:val="3"/>
    </w:lvl>
    <w:lvl w:ilvl="2">
      <w:lvlJc w:val="left"/>
      <w:lvlText w:val="%3"/>
      <w:numFmt w:val="lowerRoman"/>
      <w:start w:val="1"/>
    </w:lvl>
  </w:abstractNum>
  <w:abstractNum w:abstractNumId="51">
    <w:nsid w:val="799D024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52">
    <w:nsid w:val="6B94764"/>
    <w:multiLevelType w:val="hybridMultilevel"/>
    <w:lvl w:ilvl="0">
      <w:lvlJc w:val="left"/>
      <w:lvlText w:val="(%1)"/>
      <w:numFmt w:val="upperLetter"/>
      <w:start w:val="1"/>
    </w:lvl>
    <w:lvl w:ilvl="1">
      <w:lvlJc w:val="left"/>
      <w:lvlText w:val="(%2)"/>
      <w:numFmt w:val="lowerRoman"/>
      <w:start w:val="1"/>
    </w:lvl>
  </w:abstractNum>
  <w:abstractNum w:abstractNumId="53">
    <w:nsid w:val="42C296BD"/>
    <w:multiLevelType w:val="hybridMultilevel"/>
    <w:lvl w:ilvl="0">
      <w:lvlJc w:val="left"/>
      <w:lvlText w:val="(%1)"/>
      <w:numFmt w:val="upperLetter"/>
      <w:start w:val="2"/>
    </w:lvl>
  </w:abstractNum>
  <w:abstractNum w:abstractNumId="54">
    <w:nsid w:val="168E121F"/>
    <w:multiLevelType w:val="hybridMultilevel"/>
    <w:lvl w:ilvl="0">
      <w:lvlJc w:val="left"/>
      <w:lvlText w:val="%1."/>
      <w:numFmt w:val="decimal"/>
      <w:start w:val="7"/>
    </w:lvl>
  </w:abstractNum>
  <w:abstractNum w:abstractNumId="55">
    <w:nsid w:val="1EBA5D23"/>
    <w:multiLevelType w:val="hybridMultilevel"/>
    <w:lvl w:ilvl="0">
      <w:lvlJc w:val="left"/>
      <w:lvlText w:val="%1."/>
      <w:numFmt w:val="decimal"/>
      <w:start w:val="8"/>
    </w:lvl>
  </w:abstractNum>
  <w:abstractNum w:abstractNumId="56">
    <w:nsid w:val="661E3F1E"/>
    <w:multiLevelType w:val="hybridMultilevel"/>
    <w:lvl w:ilvl="0">
      <w:lvlJc w:val="left"/>
      <w:lvlText w:val="%1."/>
      <w:numFmt w:val="decimal"/>
      <w:start w:val="10"/>
    </w:lvl>
  </w:abstractNum>
  <w:abstractNum w:abstractNumId="57">
    <w:nsid w:val="5DC79EA8"/>
    <w:multiLevelType w:val="hybridMultilevel"/>
    <w:lvl w:ilvl="0">
      <w:lvlJc w:val="left"/>
      <w:lvlText w:val="%1."/>
      <w:numFmt w:val="decimal"/>
      <w:start w:val="11"/>
    </w:lvl>
  </w:abstractNum>
  <w:abstractNum w:abstractNumId="58">
    <w:nsid w:val="540A471C"/>
    <w:multiLevelType w:val="hybridMultilevel"/>
    <w:lvl w:ilvl="0">
      <w:lvlJc w:val="left"/>
      <w:lvlText w:val="%1."/>
      <w:numFmt w:val="decimal"/>
      <w:start w:val="14"/>
    </w:lvl>
  </w:abstractNum>
  <w:abstractNum w:abstractNumId="59">
    <w:nsid w:val="7BD3EE7B"/>
    <w:multiLevelType w:val="hybridMultilevel"/>
    <w:lvl w:ilvl="0">
      <w:lvlJc w:val="left"/>
      <w:lvlText w:val="%1."/>
      <w:numFmt w:val="decimal"/>
      <w:start w:val="18"/>
    </w:lvl>
  </w:abstractNum>
  <w:abstractNum w:abstractNumId="60">
    <w:nsid w:val="51D9C564"/>
    <w:multiLevelType w:val="hybridMultilevel"/>
    <w:lvl w:ilvl="0">
      <w:lvlJc w:val="left"/>
      <w:lvlText w:val="(%1)"/>
      <w:numFmt w:val="upperLetter"/>
      <w:start w:val="1"/>
    </w:lvl>
  </w:abstractNum>
  <w:abstractNum w:abstractNumId="61">
    <w:nsid w:val="613EFDC5"/>
    <w:multiLevelType w:val="hybridMultilevel"/>
    <w:lvl w:ilvl="0">
      <w:lvlJc w:val="left"/>
      <w:lvlText w:val="(%1)"/>
      <w:numFmt w:val="upperLetter"/>
      <w:start w:val="2"/>
    </w:lvl>
  </w:abstractNum>
  <w:abstractNum w:abstractNumId="62">
    <w:nsid w:val="BF72B14"/>
    <w:multiLevelType w:val="hybridMultilevel"/>
    <w:lvl w:ilvl="0">
      <w:lvlJc w:val="left"/>
      <w:lvlText w:val="(%1)"/>
      <w:numFmt w:val="upperLetter"/>
      <w:start w:val="1"/>
    </w:lvl>
  </w:abstractNum>
  <w:abstractNum w:abstractNumId="63">
    <w:nsid w:val="11447B73"/>
    <w:multiLevelType w:val="hybridMultilevel"/>
    <w:lvl w:ilvl="0">
      <w:lvlJc w:val="left"/>
      <w:lvlText w:val="(%1)"/>
      <w:numFmt w:val="upperLetter"/>
      <w:start w:val="2"/>
    </w:lvl>
  </w:abstractNum>
  <w:abstractNum w:abstractNumId="64">
    <w:nsid w:val="42963E5A"/>
    <w:multiLevelType w:val="hybridMultilevel"/>
    <w:lvl w:ilvl="0">
      <w:lvlJc w:val="left"/>
      <w:lvlText w:val="(%1)"/>
      <w:numFmt w:val="upperLetter"/>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4"/>
    </w:lvl>
  </w:abstractNum>
  <w:abstractNum w:abstractNumId="67">
    <w:nsid w:val="1A32234B"/>
    <w:multiLevelType w:val="hybridMultilevel"/>
    <w:lvl w:ilvl="0">
      <w:lvlJc w:val="left"/>
      <w:lvlText w:val="(%1)"/>
      <w:numFmt w:val="upperLetter"/>
      <w:start w:val="1"/>
    </w:lvl>
    <w:lvl w:ilvl="1">
      <w:lvlJc w:val="left"/>
      <w:lvlText w:val="(%2)"/>
      <w:numFmt w:val="upperLetter"/>
      <w:start w:val="4"/>
    </w:lvl>
  </w:abstractNum>
  <w:abstractNum w:abstractNumId="68">
    <w:nsid w:val="3B0FD379"/>
    <w:multiLevelType w:val="hybridMultilevel"/>
    <w:lvl w:ilvl="0">
      <w:lvlJc w:val="left"/>
      <w:lvlText w:val="%1."/>
      <w:numFmt w:val="decimal"/>
      <w:start w:val="6"/>
    </w:lvl>
  </w:abstractNum>
  <w:abstractNum w:abstractNumId="69">
    <w:nsid w:val="68EB2F63"/>
    <w:multiLevelType w:val="hybridMultilevel"/>
    <w:lvl w:ilvl="0">
      <w:lvlJc w:val="left"/>
      <w:lvlText w:val="(%1)"/>
      <w:numFmt w:val="decimal"/>
      <w:start w:val="28"/>
    </w:lvl>
    <w:lvl w:ilvl="1">
      <w:lvlJc w:val="left"/>
      <w:lvlText w:val="(%2)"/>
      <w:numFmt w:val="upperLetter"/>
      <w:start w:val="1"/>
    </w:lvl>
    <w:lvl w:ilvl="2">
      <w:lvlJc w:val="left"/>
      <w:lvlText w:val="(%3)"/>
      <w:numFmt w:val="lowerRoman"/>
      <w:start w:val="1"/>
    </w:lvl>
  </w:abstractNum>
  <w:abstractNum w:abstractNumId="70">
    <w:nsid w:val="4962813B"/>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71">
    <w:nsid w:val="60B6DF70"/>
    <w:multiLevelType w:val="hybridMultilevel"/>
    <w:lvl w:ilvl="0">
      <w:lvlJc w:val="left"/>
      <w:lvlText w:val="%1"/>
      <w:numFmt w:val="lowerRoman"/>
      <w:start w:val="1"/>
    </w:lvl>
    <w:lvl w:ilvl="1">
      <w:lvlJc w:val="left"/>
      <w:lvlText w:val="(%2)"/>
      <w:numFmt w:val="upperLetter"/>
      <w:start w:val="3"/>
    </w:lvl>
    <w:lvl w:ilvl="2">
      <w:lvlJc w:val="left"/>
      <w:lvlText w:val="%3"/>
      <w:numFmt w:val="lowerRoman"/>
      <w:start w:val="1"/>
    </w:lvl>
  </w:abstractNum>
  <w:abstractNum w:abstractNumId="72">
    <w:nsid w:val="6A5EE6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73">
    <w:nsid w:val="14330624"/>
    <w:multiLevelType w:val="hybridMultilevel"/>
    <w:lvl w:ilvl="0">
      <w:lvlJc w:val="left"/>
      <w:lvlText w:val="(%1)"/>
      <w:numFmt w:val="upperLetter"/>
      <w:start w:val="1"/>
    </w:lvl>
    <w:lvl w:ilvl="1">
      <w:lvlJc w:val="left"/>
      <w:lvlText w:val="(%2)"/>
      <w:numFmt w:val="lowerRoman"/>
      <w:start w:val="1"/>
    </w:lvl>
  </w:abstractNum>
  <w:abstractNum w:abstractNumId="74">
    <w:nsid w:val="7FFFCA11"/>
    <w:multiLevelType w:val="hybridMultilevel"/>
    <w:lvl w:ilvl="0">
      <w:lvlJc w:val="left"/>
      <w:lvlText w:val="(%1)"/>
      <w:numFmt w:val="upperLetter"/>
      <w:start w:val="2"/>
    </w:lvl>
  </w:abstractNum>
  <w:abstractNum w:abstractNumId="75">
    <w:nsid w:val="1A27709E"/>
    <w:multiLevelType w:val="hybridMultilevel"/>
    <w:lvl w:ilvl="0">
      <w:lvlJc w:val="left"/>
      <w:lvlText w:val="%1."/>
      <w:numFmt w:val="decimal"/>
      <w:start w:val="7"/>
    </w:lvl>
  </w:abstractNum>
  <w:abstractNum w:abstractNumId="76">
    <w:nsid w:val="71EA1109"/>
    <w:multiLevelType w:val="hybridMultilevel"/>
    <w:lvl w:ilvl="0">
      <w:lvlJc w:val="left"/>
      <w:lvlText w:val="%1."/>
      <w:numFmt w:val="decimal"/>
      <w:start w:val="8"/>
    </w:lvl>
  </w:abstractNum>
  <w:abstractNum w:abstractNumId="77">
    <w:nsid w:val="100F59DC"/>
    <w:multiLevelType w:val="hybridMultilevel"/>
    <w:lvl w:ilvl="0">
      <w:lvlJc w:val="left"/>
      <w:lvlText w:val="%1."/>
      <w:numFmt w:val="decimal"/>
      <w:start w:val="10"/>
    </w:lvl>
  </w:abstractNum>
  <w:abstractNum w:abstractNumId="78">
    <w:nsid w:val="7FB7E0AA"/>
    <w:multiLevelType w:val="hybridMultilevel"/>
    <w:lvl w:ilvl="0">
      <w:lvlJc w:val="left"/>
      <w:lvlText w:val="%1."/>
      <w:numFmt w:val="decimal"/>
      <w:start w:val="11"/>
    </w:lvl>
  </w:abstractNum>
  <w:abstractNum w:abstractNumId="79">
    <w:nsid w:val="6EB5BD4"/>
    <w:multiLevelType w:val="hybridMultilevel"/>
    <w:lvl w:ilvl="0">
      <w:lvlJc w:val="left"/>
      <w:lvlText w:val="%1."/>
      <w:numFmt w:val="decimal"/>
      <w:start w:val="14"/>
    </w:lvl>
  </w:abstractNum>
  <w:abstractNum w:abstractNumId="80">
    <w:nsid w:val="6F6DD9AC"/>
    <w:multiLevelType w:val="hybridMultilevel"/>
    <w:lvl w:ilvl="0">
      <w:lvlJc w:val="left"/>
      <w:lvlText w:val="%1."/>
      <w:numFmt w:val="decimal"/>
      <w:start w:val="18"/>
    </w:lvl>
  </w:abstractNum>
  <w:abstractNum w:abstractNumId="81">
    <w:nsid w:val="94211F2"/>
    <w:multiLevelType w:val="hybridMultilevel"/>
    <w:lvl w:ilvl="0">
      <w:lvlJc w:val="left"/>
      <w:lvlText w:val="(%1)"/>
      <w:numFmt w:val="upperLetter"/>
      <w:start w:val="1"/>
    </w:lvl>
  </w:abstractNum>
  <w:abstractNum w:abstractNumId="82">
    <w:nsid w:val="885E1B"/>
    <w:multiLevelType w:val="hybridMultilevel"/>
    <w:lvl w:ilvl="0">
      <w:lvlJc w:val="left"/>
      <w:lvlText w:val="(%1)"/>
      <w:numFmt w:val="upperLetter"/>
      <w:start w:val="2"/>
    </w:lvl>
  </w:abstractNum>
  <w:abstractNum w:abstractNumId="83">
    <w:nsid w:val="76272110"/>
    <w:multiLevelType w:val="hybridMultilevel"/>
    <w:lvl w:ilvl="0">
      <w:lvlJc w:val="left"/>
      <w:lvlText w:val="(%1)"/>
      <w:numFmt w:val="upperLetter"/>
      <w:start w:val="1"/>
    </w:lvl>
  </w:abstractNum>
  <w:abstractNum w:abstractNumId="84">
    <w:nsid w:val="4C04A8AF"/>
    <w:multiLevelType w:val="hybridMultilevel"/>
    <w:lvl w:ilvl="0">
      <w:lvlJc w:val="left"/>
      <w:lvlText w:val="(%1)"/>
      <w:numFmt w:val="upperLetter"/>
      <w:start w:val="2"/>
    </w:lvl>
  </w:abstractNum>
  <w:abstractNum w:abstractNumId="85">
    <w:nsid w:val="1716703B"/>
    <w:multiLevelType w:val="hybridMultilevel"/>
    <w:lvl w:ilvl="0">
      <w:lvlJc w:val="left"/>
      <w:lvlText w:val="(%1)"/>
      <w:numFmt w:val="upperLetter"/>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2019-12-10T16:50:18Z</dcterms:created>
  <dcterms:modified xsi:type="dcterms:W3CDTF">2019-12-10T16:50:18Z</dcterms:modified>
</cp:coreProperties>
</file>