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0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MERCURY SYSTEMS,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6"/>
              </w:rPr>
              <w:t>MASSACHUSETTS</w:t>
            </w:r>
          </w:p>
        </w:tc>
        <w:tc>
          <w:tcPr>
            <w:tcW w:w="5120" w:type="dxa"/>
            <w:vAlign w:val="bottom"/>
          </w:tcPr>
          <w:p>
            <w:pPr>
              <w:jc w:val="right"/>
              <w:ind w:right="24"/>
              <w:spacing w:after="0"/>
              <w:rPr>
                <w:sz w:val="20"/>
                <w:szCs w:val="20"/>
                <w:color w:val="auto"/>
              </w:rPr>
            </w:pPr>
            <w:r>
              <w:rPr>
                <w:rFonts w:ascii="Arial" w:cs="Arial" w:eastAsia="Arial" w:hAnsi="Arial"/>
                <w:sz w:val="18"/>
                <w:szCs w:val="18"/>
                <w:b w:val="1"/>
                <w:bCs w:val="1"/>
                <w:color w:val="auto"/>
              </w:rPr>
              <w:t>04-2741391</w:t>
            </w:r>
          </w:p>
        </w:tc>
      </w:tr>
      <w:tr>
        <w:trPr>
          <w:trHeight w:val="149"/>
        </w:trPr>
        <w:tc>
          <w:tcPr>
            <w:tcW w:w="23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8"/>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310"/>
        </w:trPr>
        <w:tc>
          <w:tcPr>
            <w:tcW w:w="2340" w:type="dxa"/>
            <w:vAlign w:val="bottom"/>
          </w:tcPr>
          <w:p>
            <w:pPr>
              <w:jc w:val="center"/>
              <w:ind w:right="2"/>
              <w:spacing w:after="0"/>
              <w:rPr>
                <w:sz w:val="20"/>
                <w:szCs w:val="20"/>
                <w:color w:val="auto"/>
              </w:rPr>
            </w:pPr>
            <w:r>
              <w:rPr>
                <w:rFonts w:ascii="Arial" w:cs="Arial" w:eastAsia="Arial" w:hAnsi="Arial"/>
                <w:sz w:val="18"/>
                <w:szCs w:val="18"/>
                <w:b w:val="1"/>
                <w:bCs w:val="1"/>
                <w:color w:val="auto"/>
                <w:w w:val="97"/>
              </w:rPr>
              <w:t>201 RIVERNECK ROAD</w:t>
            </w:r>
          </w:p>
        </w:tc>
        <w:tc>
          <w:tcPr>
            <w:tcW w:w="5120" w:type="dxa"/>
            <w:vAlign w:val="bottom"/>
          </w:tcPr>
          <w:p>
            <w:pPr>
              <w:spacing w:after="0"/>
              <w:rPr>
                <w:sz w:val="24"/>
                <w:szCs w:val="24"/>
                <w:color w:val="auto"/>
              </w:rPr>
            </w:pPr>
          </w:p>
        </w:tc>
      </w:tr>
      <w:tr>
        <w:trPr>
          <w:trHeight w:val="231"/>
        </w:trPr>
        <w:tc>
          <w:tcPr>
            <w:tcW w:w="234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CHELMSFORD, MA</w:t>
            </w:r>
          </w:p>
        </w:tc>
        <w:tc>
          <w:tcPr>
            <w:tcW w:w="5120" w:type="dxa"/>
            <w:vAlign w:val="bottom"/>
          </w:tcPr>
          <w:p>
            <w:pPr>
              <w:jc w:val="right"/>
              <w:ind w:right="224"/>
              <w:spacing w:after="0"/>
              <w:rPr>
                <w:sz w:val="20"/>
                <w:szCs w:val="20"/>
                <w:color w:val="auto"/>
              </w:rPr>
            </w:pPr>
            <w:r>
              <w:rPr>
                <w:rFonts w:ascii="Arial" w:cs="Arial" w:eastAsia="Arial" w:hAnsi="Arial"/>
                <w:sz w:val="18"/>
                <w:szCs w:val="18"/>
                <w:b w:val="1"/>
                <w:bCs w:val="1"/>
                <w:color w:val="auto"/>
              </w:rPr>
              <w:t>01824</w:t>
            </w:r>
          </w:p>
        </w:tc>
      </w:tr>
      <w:tr>
        <w:trPr>
          <w:trHeight w:val="174"/>
        </w:trPr>
        <w:tc>
          <w:tcPr>
            <w:tcW w:w="234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20" w:type="dxa"/>
            <w:vAlign w:val="bottom"/>
          </w:tcPr>
          <w:p>
            <w:pPr>
              <w:jc w:val="center"/>
              <w:ind w:left="4004"/>
              <w:spacing w:after="0"/>
              <w:rPr>
                <w:sz w:val="20"/>
                <w:szCs w:val="20"/>
                <w:color w:val="auto"/>
              </w:rPr>
            </w:pPr>
            <w:r>
              <w:rPr>
                <w:rFonts w:ascii="Arial" w:cs="Arial" w:eastAsia="Arial" w:hAnsi="Arial"/>
                <w:sz w:val="14"/>
                <w:szCs w:val="14"/>
                <w:b w:val="1"/>
                <w:bCs w:val="1"/>
                <w:color w:val="auto"/>
                <w:w w:val="92"/>
              </w:rPr>
              <w:t>(Zip Code)</w:t>
            </w:r>
          </w:p>
        </w:tc>
      </w:tr>
      <w:tr>
        <w:trPr>
          <w:trHeight w:val="271"/>
        </w:trPr>
        <w:tc>
          <w:tcPr>
            <w:tcW w:w="2340" w:type="dxa"/>
            <w:vAlign w:val="bottom"/>
          </w:tcPr>
          <w:p>
            <w:pPr>
              <w:spacing w:after="0"/>
              <w:rPr>
                <w:sz w:val="23"/>
                <w:szCs w:val="23"/>
                <w:color w:val="auto"/>
              </w:rPr>
            </w:pPr>
          </w:p>
        </w:tc>
        <w:tc>
          <w:tcPr>
            <w:tcW w:w="5120" w:type="dxa"/>
            <w:vAlign w:val="bottom"/>
          </w:tcPr>
          <w:p>
            <w:pPr>
              <w:jc w:val="right"/>
              <w:ind w:right="2904"/>
              <w:spacing w:after="0"/>
              <w:rPr>
                <w:sz w:val="20"/>
                <w:szCs w:val="20"/>
                <w:color w:val="auto"/>
              </w:rPr>
            </w:pPr>
            <w:r>
              <w:rPr>
                <w:rFonts w:ascii="Arial" w:cs="Arial" w:eastAsia="Arial" w:hAnsi="Arial"/>
                <w:sz w:val="18"/>
                <w:szCs w:val="18"/>
                <w:b w:val="1"/>
                <w:bCs w:val="1"/>
                <w:color w:val="auto"/>
              </w:rPr>
              <w:t>978-256-1300</w:t>
            </w:r>
          </w:p>
        </w:tc>
      </w:tr>
      <w:tr>
        <w:trPr>
          <w:trHeight w:val="174"/>
        </w:trPr>
        <w:tc>
          <w:tcPr>
            <w:tcW w:w="2340" w:type="dxa"/>
            <w:vAlign w:val="bottom"/>
          </w:tcPr>
          <w:p>
            <w:pPr>
              <w:spacing w:after="0"/>
              <w:rPr>
                <w:sz w:val="15"/>
                <w:szCs w:val="15"/>
                <w:color w:val="auto"/>
              </w:rPr>
            </w:pPr>
          </w:p>
        </w:tc>
        <w:tc>
          <w:tcPr>
            <w:tcW w:w="51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2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0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20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10740" w:type="dxa"/>
            <w:vAlign w:val="bottom"/>
            <w:gridSpan w:val="3"/>
          </w:tcPr>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r>
      <w:tr>
        <w:trPr>
          <w:trHeight w:val="277"/>
        </w:trPr>
        <w:tc>
          <w:tcPr>
            <w:tcW w:w="7160" w:type="dxa"/>
            <w:vAlign w:val="bottom"/>
            <w:gridSpan w:val="2"/>
          </w:tcPr>
          <w:p>
            <w:pPr>
              <w:ind w:left="460"/>
              <w:spacing w:after="0"/>
              <w:rPr>
                <w:sz w:val="20"/>
                <w:szCs w:val="20"/>
                <w:color w:val="auto"/>
              </w:rPr>
            </w:pPr>
            <w:r>
              <w:rPr>
                <w:rFonts w:ascii="Arial" w:cs="Arial" w:eastAsia="Arial" w:hAnsi="Arial"/>
                <w:sz w:val="18"/>
                <w:szCs w:val="18"/>
                <w:color w:val="auto"/>
              </w:rPr>
              <w:t>Shares of Common Stock outstanding as of April 30, 2013: 32,325,536 shares</w:t>
            </w:r>
          </w:p>
        </w:tc>
        <w:tc>
          <w:tcPr>
            <w:tcW w:w="3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51"/>
        </w:trPr>
        <w:tc>
          <w:tcPr>
            <w:tcW w:w="1940" w:type="dxa"/>
            <w:vAlign w:val="bottom"/>
            <w:tcBorders>
              <w:bottom w:val="single" w:sz="8" w:color="auto"/>
            </w:tcBorders>
          </w:tcPr>
          <w:p>
            <w:pPr>
              <w:spacing w:after="0"/>
              <w:rPr>
                <w:sz w:val="13"/>
                <w:szCs w:val="13"/>
                <w:color w:val="auto"/>
              </w:rPr>
            </w:pPr>
          </w:p>
        </w:tc>
        <w:tc>
          <w:tcPr>
            <w:tcW w:w="52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21"/>
        </w:trPr>
        <w:tc>
          <w:tcPr>
            <w:tcW w:w="194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SYSTEMS,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720" w:type="dxa"/>
            <w:vAlign w:val="bottom"/>
            <w:gridSpan w:val="16"/>
            <w:vMerge w:val="restart"/>
          </w:tcPr>
          <w:p>
            <w:pPr>
              <w:spacing w:after="0"/>
              <w:rPr>
                <w:sz w:val="20"/>
                <w:szCs w:val="20"/>
                <w:color w:val="auto"/>
              </w:rPr>
            </w:pPr>
            <w:r>
              <w:rPr>
                <w:rFonts w:ascii="Arial" w:cs="Arial" w:eastAsia="Arial" w:hAnsi="Arial"/>
                <w:sz w:val="18"/>
                <w:szCs w:val="18"/>
                <w:color w:val="auto"/>
              </w:rPr>
              <w:t>PART I. FINANCIAL INFORMATION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94"/>
        </w:trPr>
        <w:tc>
          <w:tcPr>
            <w:tcW w:w="10720" w:type="dxa"/>
            <w:vAlign w:val="bottom"/>
            <w:gridSpan w:val="16"/>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23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06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as of March 31, 2013 and June 30, 2012</w:t>
              </w:r>
            </w:hyperlink>
          </w:p>
        </w:tc>
        <w:tc>
          <w:tcPr>
            <w:tcW w:w="448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858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 and Comprehensive Income (Loss) for the three and nine months ended March 31,</w:t>
              </w:r>
            </w:hyperlink>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2013 and 2012</w:t>
              </w:r>
            </w:hyperlink>
          </w:p>
        </w:tc>
        <w:tc>
          <w:tcPr>
            <w:tcW w:w="812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nine months ended March 31, 2013 and 2012</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520" w:type="dxa"/>
            <w:vAlign w:val="bottom"/>
            <w:tcBorders>
              <w:top w:val="single" w:sz="8" w:color="0000EE"/>
            </w:tcBorders>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286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518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Controls and Procedures</w:t>
              </w:r>
            </w:hyperlink>
          </w:p>
        </w:tc>
        <w:tc>
          <w:tcPr>
            <w:tcW w:w="76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1"/>
        </w:trPr>
        <w:tc>
          <w:tcPr>
            <w:tcW w:w="10720" w:type="dxa"/>
            <w:vAlign w:val="bottom"/>
            <w:gridSpan w:val="16"/>
          </w:tcPr>
          <w:p>
            <w:pPr>
              <w:spacing w:after="0"/>
              <w:rPr>
                <w:sz w:val="20"/>
                <w:szCs w:val="20"/>
                <w:color w:val="auto"/>
              </w:rPr>
            </w:pPr>
            <w:r>
              <w:rPr>
                <w:rFonts w:ascii="Arial" w:cs="Arial" w:eastAsia="Arial" w:hAnsi="Arial"/>
                <w:sz w:val="18"/>
                <w:szCs w:val="18"/>
                <w:color w:val="auto"/>
              </w:rPr>
              <w:t>PART II. OTHER INFORMATION</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Legal Proceedings</w:t>
              </w:r>
            </w:hyperlink>
          </w:p>
        </w:tc>
        <w:tc>
          <w:tcPr>
            <w:tcW w:w="808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Risk Factors</w:t>
              </w:r>
            </w:hyperlink>
          </w:p>
        </w:tc>
        <w:tc>
          <w:tcPr>
            <w:tcW w:w="850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Exhibits</w:t>
              </w:r>
            </w:hyperlink>
          </w:p>
        </w:tc>
        <w:tc>
          <w:tcPr>
            <w:tcW w:w="880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Signatures</w:t>
              </w:r>
            </w:hyperlink>
          </w:p>
        </w:tc>
        <w:tc>
          <w:tcPr>
            <w:tcW w:w="864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4900" w:type="dxa"/>
            <w:vAlign w:val="bottom"/>
            <w:gridSpan w:val="11"/>
          </w:tcPr>
          <w:p>
            <w:pPr>
              <w:ind w:left="4340"/>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4"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900" w:type="dxa"/>
            <w:vAlign w:val="bottom"/>
          </w:tcPr>
          <w:p>
            <w:pPr>
              <w:jc w:val="center"/>
              <w:ind w:left="1112"/>
              <w:spacing w:after="0"/>
              <w:rPr>
                <w:sz w:val="20"/>
                <w:szCs w:val="20"/>
                <w:color w:val="auto"/>
              </w:rPr>
            </w:pPr>
            <w:r>
              <w:rPr>
                <w:rFonts w:ascii="Arial" w:cs="Arial" w:eastAsia="Arial" w:hAnsi="Arial"/>
                <w:sz w:val="18"/>
                <w:szCs w:val="18"/>
                <w:b w:val="1"/>
                <w:bCs w:val="1"/>
                <w:color w:val="auto"/>
                <w:w w:val="99"/>
              </w:rPr>
              <w:t>PART I. FINANCIAL INFORMATION</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6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0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8900" w:type="dxa"/>
            <w:vAlign w:val="bottom"/>
          </w:tcPr>
          <w:p>
            <w:pPr>
              <w:jc w:val="center"/>
              <w:ind w:left="1112"/>
              <w:spacing w:after="0"/>
              <w:rPr>
                <w:sz w:val="20"/>
                <w:szCs w:val="20"/>
                <w:color w:val="auto"/>
              </w:rPr>
            </w:pPr>
            <w:r>
              <w:rPr>
                <w:rFonts w:ascii="Arial" w:cs="Arial" w:eastAsia="Arial" w:hAnsi="Arial"/>
                <w:sz w:val="18"/>
                <w:szCs w:val="18"/>
                <w:b w:val="1"/>
                <w:bCs w:val="1"/>
                <w:color w:val="auto"/>
                <w:w w:val="97"/>
              </w:rPr>
              <w:t>MERCURY SYSTEMS, INC.</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660" w:type="dxa"/>
            <w:vAlign w:val="bottom"/>
          </w:tcPr>
          <w:p>
            <w:pPr>
              <w:spacing w:after="0"/>
              <w:rPr>
                <w:sz w:val="24"/>
                <w:szCs w:val="24"/>
                <w:color w:val="auto"/>
              </w:rPr>
            </w:pPr>
          </w:p>
        </w:tc>
        <w:tc>
          <w:tcPr>
            <w:tcW w:w="8900" w:type="dxa"/>
            <w:vAlign w:val="bottom"/>
          </w:tcPr>
          <w:p>
            <w:pPr>
              <w:jc w:val="center"/>
              <w:ind w:left="113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8900" w:type="dxa"/>
            <w:vAlign w:val="bottom"/>
          </w:tcPr>
          <w:p>
            <w:pPr>
              <w:jc w:val="center"/>
              <w:ind w:left="1132"/>
              <w:spacing w:after="0"/>
              <w:rPr>
                <w:sz w:val="20"/>
                <w:szCs w:val="20"/>
                <w:color w:val="auto"/>
              </w:rPr>
            </w:pPr>
            <w:r>
              <w:rPr>
                <w:rFonts w:ascii="Arial" w:cs="Arial" w:eastAsia="Arial" w:hAnsi="Arial"/>
                <w:sz w:val="18"/>
                <w:szCs w:val="18"/>
                <w:color w:val="auto"/>
                <w:w w:val="85"/>
              </w:rPr>
              <w:t>(In thousands, except share and per share data)</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900" w:type="dxa"/>
            <w:vAlign w:val="bottom"/>
          </w:tcPr>
          <w:p>
            <w:pPr>
              <w:jc w:val="center"/>
              <w:ind w:left="1112"/>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6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660" w:type="dxa"/>
            <w:vAlign w:val="bottom"/>
            <w:tcBorders>
              <w:bottom w:val="single" w:sz="8" w:color="CCEEFF"/>
            </w:tcBorders>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115,964</w:t>
            </w: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w w:val="91"/>
              </w:rPr>
              <w:t>Accounts receivable, net of allowance for doubtful accounts of $29 and $5 at March 31, 2013 and June 30, 2012, respectively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38,532</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Unbilled receivables and costs in excess of billings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10,918</w:t>
            </w: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25,845</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7,653</w:t>
            </w: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142,305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207,703</w:t>
            </w:r>
          </w:p>
        </w:tc>
      </w:tr>
      <w:tr>
        <w:trPr>
          <w:trHeight w:val="218"/>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15,929</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132,621</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25,083</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376,394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385,606</w:t>
            </w:r>
          </w:p>
        </w:tc>
      </w:tr>
      <w:tr>
        <w:trPr>
          <w:trHeight w:val="20"/>
        </w:trPr>
        <w:tc>
          <w:tcPr>
            <w:tcW w:w="6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9,002</w:t>
            </w: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9,895</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13,190</w:t>
            </w:r>
          </w:p>
        </w:tc>
      </w:tr>
      <w:tr>
        <w:trPr>
          <w:trHeight w:val="223"/>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Deferred gain on sale-leaseback</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4,399</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7,197</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2,597</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52,502</w:t>
            </w:r>
          </w:p>
        </w:tc>
      </w:tr>
      <w:tr>
        <w:trPr>
          <w:trHeight w:val="218"/>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I)</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08"/>
        </w:trPr>
        <w:tc>
          <w:tcPr>
            <w:tcW w:w="9560" w:type="dxa"/>
            <w:vAlign w:val="bottom"/>
            <w:gridSpan w:val="2"/>
          </w:tcPr>
          <w:p>
            <w:pPr>
              <w:ind w:left="440"/>
              <w:spacing w:after="0"/>
              <w:rPr>
                <w:sz w:val="20"/>
                <w:szCs w:val="20"/>
                <w:color w:val="auto"/>
              </w:rPr>
            </w:pPr>
            <w:r>
              <w:rPr>
                <w:rFonts w:ascii="Arial" w:cs="Arial" w:eastAsia="Arial" w:hAnsi="Arial"/>
                <w:sz w:val="18"/>
                <w:szCs w:val="18"/>
                <w:color w:val="auto"/>
                <w:w w:val="91"/>
              </w:rPr>
              <w:t>Common stock, $.01 par value; 85,000,000 shares authorized; 30,259,687 and 29,729,065 shares issued and outstanding at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March 31, 2013 and June 30, 2012, respectively</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7"/>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229,550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222,769</w:t>
            </w:r>
          </w:p>
        </w:tc>
      </w:tr>
      <w:tr>
        <w:trPr>
          <w:trHeight w:val="216"/>
        </w:trPr>
        <w:tc>
          <w:tcPr>
            <w:tcW w:w="956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97,536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108,732</w:t>
            </w:r>
          </w:p>
        </w:tc>
      </w:tr>
      <w:tr>
        <w:trPr>
          <w:trHeight w:val="216"/>
        </w:trPr>
        <w:tc>
          <w:tcPr>
            <w:tcW w:w="9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890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328,422</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333,104</w:t>
            </w:r>
          </w:p>
        </w:tc>
        <w:tc>
          <w:tcPr>
            <w:tcW w:w="100" w:type="dxa"/>
            <w:vAlign w:val="bottom"/>
          </w:tcPr>
          <w:p>
            <w:pPr>
              <w:spacing w:after="0"/>
              <w:rPr>
                <w:sz w:val="20"/>
                <w:szCs w:val="20"/>
                <w:color w:val="auto"/>
              </w:rPr>
            </w:pPr>
          </w:p>
        </w:tc>
      </w:tr>
      <w:tr>
        <w:trPr>
          <w:trHeight w:val="216"/>
        </w:trPr>
        <w:tc>
          <w:tcPr>
            <w:tcW w:w="660" w:type="dxa"/>
            <w:vAlign w:val="bottom"/>
            <w:shd w:val="clear" w:color="auto" w:fill="CCEEFF"/>
          </w:tcPr>
          <w:p>
            <w:pPr>
              <w:spacing w:after="0"/>
              <w:rPr>
                <w:sz w:val="18"/>
                <w:szCs w:val="18"/>
                <w:color w:val="auto"/>
              </w:rPr>
            </w:pPr>
          </w:p>
        </w:tc>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376,394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385,606</w:t>
            </w:r>
          </w:p>
        </w:tc>
      </w:tr>
      <w:tr>
        <w:trPr>
          <w:trHeight w:val="20"/>
        </w:trPr>
        <w:tc>
          <w:tcPr>
            <w:tcW w:w="6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SYSTEMS, INC.</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54,123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66,989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153,355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31,549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31,926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22,574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13,918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7,503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Restructuring and other charges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24,037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27,957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1"/>
              </w:rPr>
              <w:t>(1,463)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(19,726)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income, net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1"/>
              </w:rPr>
              <w:t>(1,444)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(19,271)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Tax (benefit)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(2,232)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(11,196)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30,235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30,410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30,168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5,245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(11,196)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5,233</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(11,469)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Net (loss) income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(11,196)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Depreciation and amortization expense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12,844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(Benefit) provision for deferred 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(6,468)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Other non-cash items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Accounts receivable, unbilled receivable, and cost in excess of billings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5,316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Prepaid income taxes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Other non-current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(14,596)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Deferred revenues and customer advances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86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27,687</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(67,721)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acquired intangible assets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Increase in other investing activities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(70,245)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(77,139)</w:t>
            </w:r>
          </w:p>
        </w:tc>
        <w:tc>
          <w:tcPr>
            <w:tcW w:w="0" w:type="dxa"/>
            <w:vAlign w:val="bottom"/>
          </w:tcPr>
          <w:p>
            <w:pPr>
              <w:spacing w:after="0"/>
              <w:rPr>
                <w:sz w:val="1"/>
                <w:szCs w:val="1"/>
                <w:color w:val="auto"/>
              </w:rPr>
            </w:pPr>
          </w:p>
        </w:tc>
      </w:tr>
      <w:tr>
        <w:trPr>
          <w:trHeight w:val="222"/>
        </w:trPr>
        <w:tc>
          <w:tcPr>
            <w:tcW w:w="8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and offering costs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Payments of acquired debt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Payments of capital lease obligations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(80,819)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115,964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35,145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114,845</w:t>
            </w: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Cash paid (received) during the period for:</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8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vMerge w:val="restart"/>
          </w:tcPr>
          <w:p>
            <w:pPr>
              <w:ind w:left="420"/>
              <w:spacing w:after="0"/>
              <w:rPr>
                <w:sz w:val="20"/>
                <w:szCs w:val="20"/>
                <w:color w:val="auto"/>
              </w:rPr>
            </w:pPr>
            <w:r>
              <w:rPr>
                <w:rFonts w:ascii="Arial" w:cs="Arial" w:eastAsia="Arial" w:hAnsi="Arial"/>
                <w:sz w:val="18"/>
                <w:szCs w:val="18"/>
                <w:color w:val="auto"/>
              </w:rPr>
              <w:t>Income taxes</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(1,827)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disclosures—non-cash activities: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420"/>
              <w:spacing w:after="0"/>
              <w:rPr>
                <w:sz w:val="20"/>
                <w:szCs w:val="20"/>
                <w:color w:val="auto"/>
              </w:rPr>
            </w:pPr>
            <w:r>
              <w:rPr>
                <w:rFonts w:ascii="Arial" w:cs="Arial" w:eastAsia="Arial" w:hAnsi="Arial"/>
                <w:sz w:val="18"/>
                <w:szCs w:val="18"/>
                <w:color w:val="auto"/>
              </w:rPr>
              <w:t>Issuance of restricted stock awards to employees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12,496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Unvested stock options assumed from Micronetics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Mercury Systems, Inc., formerly Mercury Computer Systems, Inc., (the “Company” or “Mercury”) is a best-of-breed provider of commercially developed, open sensor and Big Data processing systems, software and services for critical commercial, defense and intelligence applications. The Company delivers innovative solutions, rapid time-to-value and world-class service and support to our prime contractor customers. The Company has worked on over 300 programs, including Aegis, Patriot, SEWIP, Gorgon Stare and Predator/Reaper.</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goal is to grow and build on its position as a critical component of the defense and intelligence industrial base and become the leading provider of open and affordable sensor processing subsystems.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leverages building blocks provided by MCE to build solutions for electronic warfare (“EW”) and electronic countermeasures, electro optical/infrared, signal intelligence (“SIGINT”) and radar environment test and simulation. The Mercury Intelligence Systems (“MIS”) operating segment delivers Big Data analytic processing, predictive analytics and multi-intelligence analysis in support of the intelligence community.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2012 which are contained in the Company’s Annual Report on Form 10-K filed with the Securities and Exchange Commission (“SEC”) on August 22, 2012. The results for the three and nine months ended March 31, 2013 are not necessarily indicative of the results to be expected for the full fiscal year.</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the third quarter of fiscal 2013, the Company consisted of two reportable segments: Advanced Computing Solutions (“ACS”) and Mercury Federal Systems (“MFS”). Following a series of acquisitions that expanded the Company’s capabilities, the Company initiated a reorganization to group its product and service offerings in order to align itself with the way management currently manages its business. As of March 31, 2013, the Company is comprised of the following three operating segments: MCE, MDS and MIS. The Company reports MCE as a standalone reportable segment and has aggregated MDS and MIS to form the reportable segment Mercury Defense and Intelligence Systems (“MDIS”). The Company has presented prior period amounts to conform with the new reportable segments. None of these changes impact the Company’s previously reported consolidated financial results. See Note K of the Notes to Consolidated Financial Statements for further discussion.</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utilizes the acquisition method of accounting under Financial Accounting Standard Boards (“FASB”)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The Company relies upon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 account for its revenue transactions. Revenue from sales are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generally do not include any performance-, cancellation-, termination- or refund-type provisions.</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w:t>
      </w:r>
    </w:p>
    <w:p>
      <w:pPr>
        <w:spacing w:after="0" w:line="14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Per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shares were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9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900" w:type="dxa"/>
            <w:vAlign w:val="bottom"/>
            <w:gridSpan w:val="4"/>
          </w:tcPr>
          <w:p>
            <w:pPr>
              <w:ind w:left="460"/>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shares outstanding</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30,235</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29,562</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30,075</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30,410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30,168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Equity instruments to purchase 3,351 and 1,543 shares of common stock were not included in the calculation of diluted net earnings per share for the three and nine months ended March 31, 2013, respectively, because the equity instruments were anti-dilutive. Equity instruments to purchase 1,267 and 925 shares of common stock were not included in the calculation of diluted net earnings per share for the three and nine months ended March 31, 2012, respectively, because the equity instruments were anti-dilutive.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ICRONETICS</w:t>
      </w:r>
      <w:r>
        <w:rPr>
          <w:rFonts w:ascii="Arial" w:cs="Arial" w:eastAsia="Arial" w:hAnsi="Arial"/>
          <w:sz w:val="18"/>
          <w:szCs w:val="18"/>
          <w:color w:val="auto"/>
        </w:rPr>
        <w:t xml:space="preserve"> A</w:t>
      </w:r>
      <w:r>
        <w:rPr>
          <w:rFonts w:ascii="Arial" w:cs="Arial" w:eastAsia="Arial" w:hAnsi="Arial"/>
          <w:sz w:val="14"/>
          <w:szCs w:val="14"/>
          <w:color w:val="auto"/>
        </w:rPr>
        <w:t>CQUISITION</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On June 8, 2012, the Company and Wildcat Merger Sub Inc., a newly formed, wholly-owned subsidiary of the Company (the “Merger Sub”), entered into an Agreement and Plan of Merger (the “Merger Agreement”) with Micronetics, Inc. (“Micronetics”). On August 8, 2012, the transaction was closed. The Merger Sub merged with and into Micronetics with Micronetics continuing as the surviving company and wholly-owned subsidiary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Headquartered in Hudson, NH, Micronetics is a leading designer and manufacturer of microwave and radio frequency (RF) subsystems and components for defense and commercial customers.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Pursuant to the terms of the Merger Agreement, at the closing of the merger on August 8, 2012, each share of common stock of Micronetics issued and outstanding immediately prior to the closing was converted into the right to receive $14.80 in cash, without interest (the “Merger Consideration”). All outstanding options to acquire shares of Micronetics common stock that were vested as of the closing were cancelled and the holders of such options were entitled to receive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Mercury. The replacement stock options granted were determined based on a conversion ratio provided in the Merger Agreement. Micronetics existing bank debt was paid in full by Mercury on the closing date. Mercury funded the acquisition with cash on hand.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Micronetics:</w:t>
      </w:r>
    </w:p>
    <w:p>
      <w:pPr>
        <w:sectPr>
          <w:pgSz w:w="11900" w:h="16838" w:orient="portrait"/>
          <w:cols w:equalWidth="0" w:num="1">
            <w:col w:w="11420"/>
          </w:cols>
          <w:pgMar w:left="240" w:top="280" w:right="239" w:bottom="1440" w:gutter="0" w:footer="0" w:header="0"/>
        </w:sectPr>
      </w:pPr>
    </w:p>
    <w:p>
      <w:pPr>
        <w:spacing w:after="0" w:line="36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Cash paid to shareholders and to settle vested options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Value allocated to unvested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Less cash acquired</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43" w:lineRule="exact"/>
        <w:rPr>
          <w:sz w:val="20"/>
          <w:szCs w:val="20"/>
          <w:color w:val="auto"/>
        </w:rPr>
      </w:pPr>
    </w:p>
    <w:p>
      <w:pPr>
        <w:ind w:left="1820" w:right="2300" w:hanging="431"/>
        <w:spacing w:after="0" w:line="254" w:lineRule="auto"/>
        <w:rPr>
          <w:sz w:val="20"/>
          <w:szCs w:val="20"/>
          <w:color w:val="auto"/>
        </w:rPr>
      </w:pPr>
      <w:r>
        <w:rPr>
          <w:rFonts w:ascii="Arial" w:cs="Arial" w:eastAsia="Arial" w:hAnsi="Arial"/>
          <w:sz w:val="18"/>
          <w:szCs w:val="18"/>
          <w:color w:val="auto"/>
        </w:rPr>
        <w:t>Estimated fair value of tangible assets acquired and liabilities assumed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-135255</wp:posOffset>
            </wp:positionV>
            <wp:extent cx="55054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Fixed assets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Deferred taxes</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Estimated fair value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Estimated fair value of identifiable intangible assets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Estimated fair value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Estimated fair value of assets acquired</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Less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Amounts</w:t>
      </w:r>
    </w:p>
    <w:p>
      <w:pPr>
        <w:spacing w:after="0" w:line="208" w:lineRule="exact"/>
        <w:rPr>
          <w:sz w:val="20"/>
          <w:szCs w:val="20"/>
          <w:color w:val="auto"/>
        </w:rPr>
      </w:pPr>
    </w:p>
    <w:p>
      <w:pPr>
        <w:jc w:val="right"/>
        <w:ind w:left="320" w:right="1480" w:hanging="317"/>
        <w:spacing w:after="0" w:line="305" w:lineRule="auto"/>
        <w:rPr>
          <w:sz w:val="20"/>
          <w:szCs w:val="20"/>
          <w:color w:val="auto"/>
        </w:rPr>
      </w:pPr>
      <w:r>
        <w:rPr>
          <w:rFonts w:ascii="Arial" w:cs="Arial" w:eastAsia="Arial" w:hAnsi="Arial"/>
          <w:sz w:val="15"/>
          <w:szCs w:val="15"/>
          <w:color w:val="auto"/>
        </w:rPr>
        <w:t>$69,830 513</w:t>
      </w:r>
    </w:p>
    <w:p>
      <w:pPr>
        <w:jc w:val="right"/>
        <w:ind w:right="1420"/>
        <w:spacing w:after="0"/>
        <w:rPr>
          <w:sz w:val="20"/>
          <w:szCs w:val="20"/>
          <w:color w:val="auto"/>
        </w:rPr>
      </w:pPr>
      <w:r>
        <w:rPr>
          <w:rFonts w:ascii="Arial" w:cs="Arial" w:eastAsia="Arial" w:hAnsi="Arial"/>
          <w:sz w:val="18"/>
          <w:szCs w:val="18"/>
          <w:color w:val="auto"/>
        </w:rPr>
        <w:t>(2,109)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368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$68,234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$ 2,109</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3,592</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12,080</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5,301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2,893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(5,983)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(6,575)</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68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5,364</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18,500</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46,479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368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jc w:val="right"/>
        <w:ind w:left="120" w:right="1420" w:hanging="127"/>
        <w:spacing w:after="0" w:line="299" w:lineRule="auto"/>
        <w:rPr>
          <w:sz w:val="20"/>
          <w:szCs w:val="20"/>
          <w:color w:val="auto"/>
        </w:rPr>
      </w:pPr>
      <w:r>
        <w:rPr>
          <w:rFonts w:ascii="Arial" w:cs="Arial" w:eastAsia="Arial" w:hAnsi="Arial"/>
          <w:sz w:val="16"/>
          <w:szCs w:val="16"/>
          <w:color w:val="auto"/>
        </w:rPr>
        <w:t>$70,343 (2,109)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689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$68,234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368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640" w:space="720"/>
            <w:col w:w="2060"/>
          </w:cols>
          <w:pgMar w:left="240" w:top="280" w:right="239" w:bottom="1440" w:gutter="0" w:footer="0" w:header="0"/>
          <w:type w:val="continuous"/>
        </w:sectPr>
      </w:pPr>
    </w:p>
    <w:p>
      <w:pPr>
        <w:spacing w:after="0" w:line="2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amounts above represent the preliminary fair value estimates as of March 31, 2013 and are subject to subsequent adjustment as the Company obtains additional information during the measurement period ending August 7, 2013 and finalizes its fair value estimates. Any subsequent adjustments to these fair value estimates occurring during the measurement period will result in an adjustment to goodwill or income, as applicable.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goodwill of $46,479 arising from the Micronetics acquisition largely reflects the potential synergies and expansion of the Company’s service offerings across product segments and markets complementary to the Company’s existing products and markets. The Micronetics acquisition provides the Company with additional capability and expertise related to microwave and radio frequency technology. The acquisition is directly aligned with the Company’s strategy of expanding its capabilities, services and offerings along the sensor processing chain.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type w:val="continuous"/>
        </w:sectPr>
      </w:pPr>
    </w:p>
    <w:bookmarkStart w:id="9" w:name="page10"/>
    <w:bookmarkEnd w:id="9"/>
    <w:p>
      <w:pPr>
        <w:ind w:right="2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three and nine months ended March 31, 2013, Micronetics’ revenue of $10,341 and $24,747, respectively, and net income of $830 and net loss of $3,683, respectively, were included in the Company’s consolidated statements of operations. The Company has not furnished pro forma financial information relating to the Micronetics acquisition because such information is not material to the Company’s financial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changes in the carrying amount of goodwill prior to the internal reorganization for the six months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ACS</w:t>
            </w:r>
          </w:p>
        </w:tc>
        <w:tc>
          <w:tcPr>
            <w:tcW w:w="22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MFS</w:t>
            </w:r>
          </w:p>
        </w:tc>
        <w:tc>
          <w:tcPr>
            <w:tcW w:w="3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$ 113,471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$19,150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Goodwill arising from the Micronetics acquisition</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46,509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46,509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 adjustment for the KOR acquisition</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Balance at December 31, 2012</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159,279</w:t>
            </w:r>
          </w:p>
        </w:tc>
        <w:tc>
          <w:tcPr>
            <w:tcW w:w="280" w:type="dxa"/>
            <w:vAlign w:val="bottom"/>
          </w:tcPr>
          <w:p>
            <w:pPr>
              <w:spacing w:after="0"/>
              <w:rPr>
                <w:sz w:val="19"/>
                <w:szCs w:val="19"/>
                <w:color w:val="auto"/>
              </w:rPr>
            </w:pPr>
          </w:p>
        </w:tc>
        <w:tc>
          <w:tcPr>
            <w:tcW w:w="1120" w:type="dxa"/>
            <w:vAlign w:val="bottom"/>
            <w:gridSpan w:val="3"/>
          </w:tcPr>
          <w:p>
            <w:pPr>
              <w:ind w:lef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178,429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goodwill adjustment for the KOR acquisition is the result of changes in fair value estimates derived from additional information obtained during the measurement period which ended December 30, 2012.</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Following a series of acquisitions that expanded the Company’s capabilities, the Company initiated a reorganization to group its product and service offerings in order to align itself with the way management currently manages its business. The following reporting units were determined based upon the nature of the products offered to customers and the market characteristics of each reporting unit: MCE, MDS and MIS. As defined by FASB ASC 350—“Intangibles— Goodwill and Other” “ASC 350”, goodwill is tested on an interim basis at the occurrence of certain triggering events. Events affecting reporting units such as a change in the composition or carrying amount of its net assets constitute a triggering event and require interim testing of goodwill. The Company performed interim testing on the ACS and MFS reporting units prior to the reorganization.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engaged a valuation expert in order to assist management in determining the fair values of the ACS and MFS reporting units as of January 1, 2013. Consistent with prior years, the valuation was based upon a discounted cash flow analysis and corroborated by two market-based analyses: one comparing the trading multiples of public companies in similar lines of business and another based on exchange prices in actual business combinations. The results of the Company’s step one interim goodwill impairment test indicated that the fair values of both the ACS and MFS reporting units were in excess of its book values. As such, step two of the goodwill impairment testing was not required and no impairment charge was recorded. The Company acknowledges that the assumptions used during its fair value analysis are subject to management judgment and have a direct impact to the valuation results. The discount rate utilized in the discounted cash flow analysis was increased from historical measures due to the current economic uncertainty in the defense industry, including current government fiscal year federal budget sequestration and the potential for a continuing budget resolution for the next government fiscal year. The Company’s updated financial projections were used in the discounted cash flow analysis in consideration of current economic factors. The Company believes that the assumptions and projections used in its analyses for ACS and MFS were reasonable, however, using different assumptions could lead to different results. For example, a 1% increase in the discount rate used in the discounted cash flow analysis of the ACS reporting unit would result in the failure of the step one interim goodwill impairment test.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reviewed its analysis of its internally reorganized business in order to determine its reporting units in accordance with ASC 350. A reporting unit is considered to be an operating segment or one level below an operating segment also known as a component. The Company’s operating segments subsequent to the internal reorganization are MCE, MDS and MIS.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MCE has three components with discrete financial information available which are reviewed by their segment manager; however, those three components are economically similar in nature and thus have been aggregated into a single reporting unit at the operating segment level. MDS and MIS each have sole components and the reporting units are at the operating segment level.</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Company allocated the total carrying value of goodwill to each of the new reporting units based on the relative fair value of the reporting units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calculated using a discounted cash flow analysis and in accordance with ASC 350. There was no impairment of goodwill indicated subsequent to the allocation.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goodwill for the three months ended March 31, 2013, after reallocation: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MCE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MDS</w:t>
            </w:r>
          </w:p>
        </w:tc>
        <w:tc>
          <w:tcPr>
            <w:tcW w:w="4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MIS</w:t>
            </w:r>
          </w:p>
        </w:tc>
        <w:tc>
          <w:tcPr>
            <w:tcW w:w="2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2013</w:t>
            </w:r>
          </w:p>
        </w:tc>
        <w:tc>
          <w:tcPr>
            <w:tcW w:w="17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$135,691</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$33,768</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$8,970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Goodwill adjustment for the Micronetics acquisition</w:t>
            </w:r>
          </w:p>
        </w:tc>
        <w:tc>
          <w:tcPr>
            <w:tcW w:w="17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2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135,660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33,768</w:t>
            </w:r>
          </w:p>
        </w:tc>
        <w:tc>
          <w:tcPr>
            <w:tcW w:w="11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8,970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Company also evaluated its market capitalization as of January 1, 2013 which approximated the fair value of the Company at that time when considering an appropriate control premium. The Company believes the decline of its market capitalization to be a temporary reaction to the uncertainty that federal budget sequestration is having on the defense industry. The Company is not aware of any recent cancellations of any key defense programs in which it participates. While the Company has seen delays in certain programs, it believes these delays are temporary. Furthermore, the Company believes a short term decline in its market capitalization is not indicative of a permanent trend.</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performs its annual goodwill impairment test in the fourth quarter of each fiscal year. Additionally, the Company will continue to monitor its market capitalization and evaluate whether the decline is no longer temporary.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ARCH</w:t>
            </w:r>
            <w:r>
              <w:rPr>
                <w:rFonts w:ascii="Arial" w:cs="Arial" w:eastAsia="Arial" w:hAnsi="Arial"/>
                <w:sz w:val="18"/>
                <w:szCs w:val="18"/>
                <w:color w:val="auto"/>
              </w:rPr>
              <w:t xml:space="preserve"> 31, 2013</w:t>
            </w:r>
          </w:p>
        </w:tc>
        <w:tc>
          <w:tcPr>
            <w:tcW w:w="2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$43,770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(12,915)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$30,855</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6.5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(2,836)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5.4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Completed technologies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5,570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(1,815)</w:t>
            </w:r>
          </w:p>
        </w:tc>
        <w:tc>
          <w:tcPr>
            <w:tcW w:w="580" w:type="dxa"/>
            <w:vAlign w:val="bottom"/>
          </w:tcPr>
          <w:p>
            <w:pPr>
              <w:jc w:val="right"/>
              <w:spacing w:after="0"/>
              <w:rPr>
                <w:sz w:val="20"/>
                <w:szCs w:val="20"/>
                <w:color w:val="auto"/>
              </w:rPr>
            </w:pPr>
            <w:r>
              <w:rPr>
                <w:rFonts w:ascii="Arial" w:cs="Arial" w:eastAsia="Arial" w:hAnsi="Arial"/>
                <w:sz w:val="18"/>
                <w:szCs w:val="18"/>
                <w:color w:val="auto"/>
              </w:rPr>
              <w:t>3,755</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5.3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Backlog</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(972)</w:t>
            </w: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1.0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31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56,425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(19,216)</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37,209</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30, 2012</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$26,770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(9,217)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$17,553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6.9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(2,365)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5.4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Completed technologies</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5,570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(1,007)</w:t>
            </w:r>
          </w:p>
        </w:tc>
        <w:tc>
          <w:tcPr>
            <w:tcW w:w="580" w:type="dxa"/>
            <w:vAlign w:val="bottom"/>
          </w:tcPr>
          <w:p>
            <w:pPr>
              <w:jc w:val="right"/>
              <w:spacing w:after="0"/>
              <w:rPr>
                <w:sz w:val="20"/>
                <w:szCs w:val="20"/>
                <w:color w:val="auto"/>
              </w:rPr>
            </w:pPr>
            <w:r>
              <w:rPr>
                <w:rFonts w:ascii="Arial" w:cs="Arial" w:eastAsia="Arial" w:hAnsi="Arial"/>
                <w:sz w:val="18"/>
                <w:szCs w:val="18"/>
                <w:color w:val="auto"/>
              </w:rPr>
              <w:t>4,563</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5.3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Backlog</w:t>
            </w:r>
          </w:p>
        </w:tc>
        <w:tc>
          <w:tcPr>
            <w:tcW w:w="3160" w:type="dxa"/>
            <w:vAlign w:val="bottom"/>
            <w:gridSpan w:val="3"/>
          </w:tcPr>
          <w:p>
            <w:pPr>
              <w:jc w:val="right"/>
              <w:ind w:right="280"/>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(588)</w:t>
            </w: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2.0 years</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Pr>
          <w:p>
            <w:pPr>
              <w:spacing w:after="0"/>
              <w:rPr>
                <w:sz w:val="19"/>
                <w:szCs w:val="19"/>
                <w:color w:val="auto"/>
              </w:rPr>
            </w:pPr>
          </w:p>
        </w:tc>
        <w:tc>
          <w:tcPr>
            <w:tcW w:w="31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38,725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(13,642)</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25,083</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vMerge w:val="restart"/>
          </w:tcPr>
          <w:p>
            <w:pPr>
              <w:jc w:val="right"/>
              <w:ind w:right="652"/>
              <w:spacing w:after="0"/>
              <w:rPr>
                <w:sz w:val="20"/>
                <w:szCs w:val="20"/>
                <w:color w:val="auto"/>
              </w:rPr>
            </w:pPr>
            <w:r>
              <w:rPr>
                <w:rFonts w:ascii="Arial" w:cs="Arial" w:eastAsia="Arial" w:hAnsi="Arial"/>
                <w:sz w:val="18"/>
                <w:szCs w:val="18"/>
                <w:color w:val="auto"/>
              </w:rPr>
              <w:t>11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Estimated future amortization expense for acquired intangible assets remaining at March 31, 2013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120" w:type="dxa"/>
            <w:vAlign w:val="bottom"/>
            <w:gridSpan w:val="4"/>
          </w:tcPr>
          <w:p>
            <w:pPr>
              <w:jc w:val="center"/>
              <w:ind w:left="2122"/>
              <w:spacing w:after="0"/>
              <w:rPr>
                <w:sz w:val="20"/>
                <w:szCs w:val="20"/>
                <w:color w:val="auto"/>
              </w:rPr>
            </w:pPr>
            <w:r>
              <w:rPr>
                <w:rFonts w:ascii="Arial" w:cs="Arial" w:eastAsia="Arial" w:hAnsi="Arial"/>
                <w:sz w:val="14"/>
                <w:szCs w:val="14"/>
                <w:b w:val="1"/>
                <w:bCs w:val="1"/>
                <w:color w:val="auto"/>
                <w:w w:val="88"/>
              </w:rPr>
              <w:t>Year Ending</w:t>
            </w: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2014</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2016</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2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summarizes the preliminary estimated fair value of acquired intangible assets arising as a result of the Micronetics acquisition. These assets are included in the Company’s gross and net carrying amounts as of March 31, 2013.</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8"/>
              </w:rPr>
              <w:t>Gross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(1,836)</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$15,164</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6.0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Backlog</w:t>
            </w:r>
          </w:p>
        </w:tc>
        <w:tc>
          <w:tcPr>
            <w:tcW w:w="2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(971)</w:t>
            </w: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60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1.0 years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18,500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15,693</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Fair Value of Financial Instruments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 inputs to those valuation techniques are observable or</w:t>
      </w:r>
      <w:r>
        <w:rPr>
          <w:rFonts w:ascii="Arial" w:cs="Arial" w:eastAsia="Arial" w:hAnsi="Arial"/>
          <w:sz w:val="18"/>
          <w:szCs w:val="18"/>
          <w:i w:val="1"/>
          <w:iCs w:val="1"/>
          <w:color w:val="auto"/>
        </w:rPr>
        <w:t xml:space="preserve"> </w:t>
      </w:r>
      <w:r>
        <w:rPr>
          <w:rFonts w:ascii="Arial" w:cs="Arial" w:eastAsia="Arial" w:hAnsi="Arial"/>
          <w:sz w:val="18"/>
          <w:szCs w:val="18"/>
          <w:color w:val="auto"/>
        </w:rPr>
        <w:t>unobservable. Observable inputs reflect market data obtained from independent sources, while unobservable inputs reflect the Company’s market assumptions. These two types of inputs have created the following fair-value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March 31, 2013:</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rPr>
              <w:t>Fair Value Measurements</w:t>
            </w: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28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580" w:type="dxa"/>
            <w:vAlign w:val="bottom"/>
          </w:tcPr>
          <w:p>
            <w:pPr>
              <w:jc w:val="right"/>
              <w:ind w:right="2"/>
              <w:spacing w:after="0"/>
              <w:rPr>
                <w:sz w:val="20"/>
                <w:szCs w:val="20"/>
                <w:color w:val="auto"/>
              </w:rPr>
            </w:pPr>
            <w:r>
              <w:rPr>
                <w:rFonts w:ascii="Arial" w:cs="Arial" w:eastAsia="Arial" w:hAnsi="Arial"/>
                <w:sz w:val="14"/>
                <w:szCs w:val="14"/>
                <w:b w:val="1"/>
                <w:bCs w:val="1"/>
                <w:color w:val="auto"/>
              </w:rPr>
              <w:t>Level 1</w:t>
            </w: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58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$ 19,022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$19,022</w:t>
            </w:r>
          </w:p>
        </w:tc>
        <w:tc>
          <w:tcPr>
            <w:tcW w:w="5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2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ind w:left="440"/>
              <w:spacing w:after="0"/>
              <w:rPr>
                <w:sz w:val="20"/>
                <w:szCs w:val="20"/>
                <w:color w:val="auto"/>
              </w:rPr>
            </w:pPr>
            <w:r>
              <w:rPr>
                <w:rFonts w:ascii="Arial" w:cs="Arial" w:eastAsia="Arial" w:hAnsi="Arial"/>
                <w:sz w:val="18"/>
                <w:szCs w:val="18"/>
                <w:color w:val="auto"/>
              </w:rPr>
              <w:t>Total</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$ 19,568</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19,568</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5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00" w:type="dxa"/>
            <w:vAlign w:val="bottom"/>
            <w:vMerge w:val="restart"/>
          </w:tcPr>
          <w:p>
            <w:pPr>
              <w:jc w:val="right"/>
              <w:ind w:right="1237"/>
              <w:spacing w:after="0"/>
              <w:rPr>
                <w:sz w:val="20"/>
                <w:szCs w:val="20"/>
                <w:color w:val="auto"/>
              </w:rPr>
            </w:pPr>
            <w:r>
              <w:rPr>
                <w:rFonts w:ascii="Arial" w:cs="Arial" w:eastAsia="Arial" w:hAnsi="Arial"/>
                <w:sz w:val="18"/>
                <w:szCs w:val="18"/>
                <w:color w:val="auto"/>
              </w:rPr>
              <w:t>12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280" w:right="419" w:bottom="1440" w:gutter="0" w:footer="0" w:header="0"/>
        </w:sectPr>
      </w:pPr>
    </w:p>
    <w:bookmarkStart w:id="12" w:name="page13"/>
    <w:bookmarkEnd w:id="12"/>
    <w:p>
      <w:pPr>
        <w:ind w:right="1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March 31,</w:t>
            </w:r>
          </w:p>
        </w:tc>
        <w:tc>
          <w:tcPr>
            <w:tcW w:w="68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6720" w:type="dxa"/>
            <w:vAlign w:val="bottom"/>
          </w:tcPr>
          <w:p>
            <w:pPr>
              <w:spacing w:after="0"/>
              <w:rPr>
                <w:sz w:val="14"/>
                <w:szCs w:val="14"/>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2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$ 15,638</w:t>
            </w:r>
          </w:p>
        </w:tc>
        <w:tc>
          <w:tcPr>
            <w:tcW w:w="6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Work in process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13,684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6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79"/>
              </w:rPr>
              <w:t>$ 38,744</w:t>
            </w: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25,845</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$12,899 increase of inventory was primarily due to inventory from the Micronetics acquisition. There are no amounts in inventory relating to contracts having production cycles longer than one year.</w:t>
      </w:r>
    </w:p>
    <w:p>
      <w:pPr>
        <w:spacing w:after="0" w:line="207"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Senior Unsecured Credit Facility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October 12, 2012, the Company entered into a credit agreement (the “Credit Agreement”) with a syndicate of commercial banks, with KeyBank National Association acting as the administrative agent. The Credit Agreement provides for a $200,000 senior unsecured revolving line of credit (the “Revolver”). The Company can borrow up to $200,000 based on consolidated EBITDA for the four quarters ended March 31, 2013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Credit Agreement has an accordion feature permitting the Company to request from the lenders an increase in the aggregate amount of the credit facility in the form of an incremental revolver or term loan in an amount not to exceed $50,000. Any such increase would require only the consent of the lenders increasing their respective commitments under the credit facility.</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interest rates applicable to borrowings under the Credit Agreement involve various rate options that are available to the Company. The rates are calculated using a combination of conventional base rate measures plus a margin over those rates. The base rates consist of LIBOR rates or prime rates. The actual rates will depend on the level of these underlying rates plus a margin based on the Company’s leverage at the time of borrowing.</w:t>
      </w:r>
    </w:p>
    <w:p>
      <w:pPr>
        <w:spacing w:after="0" w:line="107"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Borrowings under the Credit Agreement are senior unsecured loans. Each of the Company’s domestic subsidiaries is a guarantor under the Credit Agreement.</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for each consecutive four fiscal quarter period, after giving pro forma effect for any acquisitions or dispositions. Acquisitions are permitted under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Credit Agreement without any dollar limitation so long as, among other requirements, no default or event of default exists or would result therefore; as of March 31, 2013, the Company is in compliance with a maximum leverage ratio of 3.25x and a minimum interest coverage ratio of 3.0x, in each case, after giving pro forma effect to the applicable acquisition. In addition, the Credit Agreement contains certain customary representations and warranties, and events of default.</w:t>
      </w:r>
    </w:p>
    <w:p>
      <w:pPr>
        <w:spacing w:after="0" w:line="8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of March 31, 2013, there was $54,613 of borrowing capacity available. There were no borrowings outstanding on the Credit Agreement; however, there were outstanding letters of credit of $3,000. The Company was in compliance with all covenants and conditions under the Credit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entering into the Credit Agreement, on October 12, 2012, the Company terminated its Loan and Security Agreement with Silicon Valley Bank dated February 12, 2010, as amended on March 30, 2011 (the “Loan Agreement”). The Loan Agreement provided for a $35,000 revolving line of credit. The Company terminated the Loan Agreement early without penalty. Silicon Valley Bank released its security interests in the Company’s assets in connection with the termination of the Loan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U.S. Department of Justice (“DOJ”) conducted an investigation into the conduct of certain former employees of Paragon Dynamics, Inc. (“PDI”) (which was acquired by the Company in connection with the acquisition of KOR Electronics on December 30, 2011) in the 2008-2009 time frame, asserting, among other things,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indemnified with respect to this matter by the former shareholders of KOR Electronics pursuant to the Company’s merger agreement with KOR dated December 30, 2011.</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addition to the foregoing, 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March 31, 2013, the Company has entered into non-cancelable purchase commitments for certain inventory components and services used in its normal operations. The purchase commitments covered by these agreements are for less than one year and aggregate to $19,016.</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 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7,764 shares at March 31, 2013. On October 17, 2012, the Company’s shareholders approved an increase in the number of shares authorized for issuance under the 2005 plan to 7,592 shares, an increase of 1,500 shares. The 2005 Plan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2,232 shares available for future grant under the 2005 Plan at March 31, 2013.</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vested over periods up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remains in full force and effect in accordance with their terms.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52 and 58 shares issued under the ESPP during the nine months ended March 31, 2013 and 2012. Shares available for future purchase under the ESPP totaled 307 at March 31,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5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r>
      <w:tr>
        <w:trPr>
          <w:trHeight w:val="149"/>
        </w:trPr>
        <w:tc>
          <w:tcPr>
            <w:tcW w:w="3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Remaining</w:t>
            </w:r>
          </w:p>
        </w:tc>
      </w:tr>
      <w:tr>
        <w:trPr>
          <w:trHeight w:val="149"/>
        </w:trPr>
        <w:tc>
          <w:tcPr>
            <w:tcW w:w="3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2"/>
                <w:szCs w:val="12"/>
                <w:color w:val="auto"/>
              </w:rPr>
            </w:pPr>
          </w:p>
        </w:tc>
        <w:tc>
          <w:tcPr>
            <w:tcW w:w="2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Contractual Term</w:t>
            </w:r>
          </w:p>
        </w:tc>
      </w:tr>
      <w:tr>
        <w:trPr>
          <w:trHeight w:val="161"/>
        </w:trPr>
        <w:tc>
          <w:tcPr>
            <w:tcW w:w="3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(Years)</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1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w:t>
            </w:r>
          </w:p>
        </w:tc>
        <w:tc>
          <w:tcPr>
            <w:tcW w:w="10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Cancelled</w:t>
            </w:r>
          </w:p>
        </w:tc>
        <w:tc>
          <w:tcPr>
            <w:tcW w:w="1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23.70</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1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2,185</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2340" w:type="dxa"/>
            <w:vAlign w:val="bottom"/>
            <w:gridSpan w:val="3"/>
          </w:tcPr>
          <w:p>
            <w:pPr>
              <w:jc w:val="right"/>
              <w:ind w:right="520"/>
              <w:spacing w:after="0"/>
              <w:rPr>
                <w:sz w:val="20"/>
                <w:szCs w:val="20"/>
                <w:color w:val="auto"/>
              </w:rPr>
            </w:pPr>
            <w:r>
              <w:rPr>
                <w:rFonts w:ascii="Arial" w:cs="Arial" w:eastAsia="Arial" w:hAnsi="Arial"/>
                <w:sz w:val="18"/>
                <w:szCs w:val="18"/>
                <w:color w:val="auto"/>
              </w:rPr>
              <w:t>271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Cancelled</w:t>
            </w:r>
          </w:p>
        </w:tc>
        <w:tc>
          <w:tcPr>
            <w:tcW w:w="1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(284)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14.48</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3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2013</w:t>
            </w:r>
          </w:p>
        </w:tc>
        <w:tc>
          <w:tcPr>
            <w:tcW w:w="1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2,116</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13.43</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CEEFF"/>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1820" w:type="dxa"/>
            <w:vAlign w:val="bottom"/>
            <w:gridSpan w:val="2"/>
          </w:tcPr>
          <w:p>
            <w:pPr>
              <w:ind w:left="118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ind w:right="10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8, 2012, the Company completed its acquisition of Micronetics. Pursuant to the terms of the Merger Agreement, all outstanding options to acquire shares of Micronetics common stock that were vested at the closing were cancelled and the holders of such options received an amount of cash equal to the product of the total number of shares previously subject to such vested options and the excess of the merger consideration over the exercise price per share. All outstanding Micronetics stock options that were unvested at the closing were replaced by the Company. The replacement stock options granted were determined based on a conversion ratio provided in the Merger Agreement. The 271 of stock options granted in the table above reflect the replacement of the unvested Micronetics stock options as of August 8,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A</w:t>
      </w:r>
      <w:r>
        <w:rPr>
          <w:rFonts w:ascii="Arial" w:cs="Arial" w:eastAsia="Arial" w:hAnsi="Arial"/>
          <w:sz w:val="14"/>
          <w:szCs w:val="14"/>
          <w:color w:val="auto"/>
        </w:rPr>
        <w:t>SSUMPTIONS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the weighted-average key fair value results and assumptions for stock options granted during the three and nine months ended March 31, 2013 and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2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Three Months Ended</w:t>
            </w:r>
          </w:p>
        </w:tc>
        <w:tc>
          <w:tcPr>
            <w:tcW w:w="1920" w:type="dxa"/>
            <w:vAlign w:val="bottom"/>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6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fair value of options granted</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Option life(1)</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91"/>
              </w:rPr>
              <w:t>4.5 years</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 (*)</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Stock volatility(3)</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58%</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 (*)</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stock options were granted by the Company during these periods.</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summarizes the status of the Company’s non-vested restricted stock awards since June 30,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920" w:type="dxa"/>
            <w:vAlign w:val="bottom"/>
            <w:gridSpan w:val="6"/>
          </w:tcPr>
          <w:p>
            <w:pPr>
              <w:ind w:left="36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20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Number</w:t>
            </w:r>
          </w:p>
        </w:tc>
        <w:tc>
          <w:tcPr>
            <w:tcW w:w="1620" w:type="dxa"/>
            <w:vAlign w:val="bottom"/>
            <w:tcBorders>
              <w:top w:val="single" w:sz="8" w:color="auto"/>
            </w:tcBorders>
            <w:gridSpan w:val="3"/>
          </w:tcPr>
          <w:p>
            <w:pPr>
              <w:ind w:left="560"/>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Shares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(88)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1,320</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March 31, 2013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2,055</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recognized the full expense of its share-based payment plans in the consolidated statements of operations for the three and nine months ended March 31, 2013 and 2012 in accordance with FASB ASC 718</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280" w:right="339" w:bottom="1440" w:gutter="0" w:footer="0" w:header="0"/>
        </w:sectPr>
      </w:pPr>
    </w:p>
    <w:bookmarkStart w:id="16" w:name="page17"/>
    <w:bookmarkEnd w:id="16"/>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included in the Company’s consolidated statements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2013</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1,486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5,095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4,261</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60" w:type="dxa"/>
            <w:vAlign w:val="bottom"/>
          </w:tcPr>
          <w:p>
            <w:pPr>
              <w:spacing w:after="0"/>
              <w:rPr>
                <w:sz w:val="20"/>
                <w:szCs w:val="20"/>
                <w:color w:val="auto"/>
              </w:rPr>
            </w:pPr>
            <w:r>
              <w:rPr>
                <w:rFonts w:ascii="Arial" w:cs="Arial" w:eastAsia="Arial" w:hAnsi="Arial"/>
                <w:sz w:val="18"/>
                <w:szCs w:val="18"/>
                <w:color w:val="auto"/>
              </w:rPr>
              <w:t>Share-based compensation expense before tax</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1,901</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6,265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5,194</w:t>
            </w:r>
          </w:p>
        </w:tc>
        <w:tc>
          <w:tcPr>
            <w:tcW w:w="0" w:type="dxa"/>
            <w:vAlign w:val="bottom"/>
          </w:tcPr>
          <w:p>
            <w:pPr>
              <w:spacing w:after="0"/>
              <w:rPr>
                <w:sz w:val="1"/>
                <w:szCs w:val="1"/>
                <w:color w:val="auto"/>
              </w:rPr>
            </w:pPr>
          </w:p>
        </w:tc>
      </w:tr>
      <w:tr>
        <w:trPr>
          <w:trHeight w:val="218"/>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w w:val="84"/>
              </w:rPr>
              <w:t>(2,295)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(1,846)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Net compensation expense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1,211</w:t>
            </w:r>
          </w:p>
        </w:tc>
        <w:tc>
          <w:tcPr>
            <w:tcW w:w="6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879</w:t>
            </w:r>
          </w:p>
        </w:tc>
        <w:tc>
          <w:tcPr>
            <w:tcW w:w="3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3,970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3,348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Operating Segment, Geographic Information and Significant Customers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Prior to the third quarter of fiscal 2013, the Company’s operating segments were the same as its reporting segments: Advanced Computing Solutions and Mercury Federal Systems. Following a series of acquisitions that expanded the Company’s capabilities, the Company initiated a reorganization to group its product and service offerings in the manner which the Company’s CODM manages and evaluates the business. Therefore, the Company utilized the management approach for determining reportable segments in accordance with the authoritative guidance. Beginning with the third quarter ended March 31, 2013, the Company redefined its operating and reportable segments. The following operating segments were determined based upon the nature of the products offered to customers, the market characteristics of each operating segment and the Company’s management structure:</w:t>
      </w:r>
    </w:p>
    <w:p>
      <w:pPr>
        <w:spacing w:after="0" w:line="64" w:lineRule="exact"/>
        <w:rPr>
          <w:sz w:val="20"/>
          <w:szCs w:val="20"/>
          <w:color w:val="auto"/>
        </w:rPr>
      </w:pPr>
    </w:p>
    <w:p>
      <w:pPr>
        <w:ind w:left="900" w:right="10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innovative, commercially developed, open sensor and Big Data processing systems for critical commercial, defense and intelligence applications. MCE delivers solutions that are secure and based upon open architectures and widely adopted industry standards. MCE delivers rapid time-to-value and world-class service and support to our commercial and prime contractor customers.</w:t>
      </w:r>
    </w:p>
    <w:p>
      <w:pPr>
        <w:spacing w:after="0" w:line="62" w:lineRule="exact"/>
        <w:rPr>
          <w:rFonts w:ascii="Arial" w:cs="Arial" w:eastAsia="Arial" w:hAnsi="Arial"/>
          <w:sz w:val="18"/>
          <w:szCs w:val="18"/>
          <w:color w:val="auto"/>
        </w:rPr>
      </w:pPr>
    </w:p>
    <w:p>
      <w:pPr>
        <w:ind w:left="900" w:right="2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Mercury Defense Systems (“MDS”): this operating segment delivers innovative, open sensor processing solutions to key prime contractors leveraging commercially available technologies and solutions from our MCE business. MDS leverages this technology to develop integrated sensor processing subsystems, often including classified application-specific software and intellectual property (“IP”) for the C4ISR (command, control, communications, computers, intelligence, surveillance and reconnaissance), U.S. Department of Defense agencies and EW markets.</w:t>
      </w:r>
    </w:p>
    <w:p>
      <w:pPr>
        <w:spacing w:after="0" w:line="31" w:lineRule="exact"/>
        <w:rPr>
          <w:rFonts w:ascii="Arial" w:cs="Arial" w:eastAsia="Arial" w:hAnsi="Arial"/>
          <w:sz w:val="16"/>
          <w:szCs w:val="16"/>
          <w:color w:val="auto"/>
        </w:rPr>
      </w:pPr>
    </w:p>
    <w:p>
      <w:pPr>
        <w:ind w:left="900" w:right="24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Mercury Intelligence Systems (“MIS”): this operating segment delivers cutting edge and technologically advanced hardware and software data processing solutions and predictive analytics capabilities to address the Intelligence Community and Department of Defense mission needs. MIS provides a unique approach and solutions to facilitate the transformation of raw data into information and then to actionable intelligence.</w:t>
      </w:r>
    </w:p>
    <w:p>
      <w:pPr>
        <w:spacing w:after="0" w:line="10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Company’s operating segments were evaluated in accordance with FASB ASC 280— “Segment Reporting” in order to determine which operating segments qualified as reportable segments. The Company considered qualitative factors, including the economic characteristics of each operating segment to determine if any of its three operating segments qualified for aggregation into fewer reportable segments.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17" w:name="page18"/>
    <w:bookmarkEnd w:id="17"/>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evaluation of the economic characteristics of its operating segments included comparisons of revenues and applicable growth rates, gross margins, operating margins, future projections, and additional non-GAAP financial measurements which indicate that MDS and MIS have similar economic characteristics. The Company also evaluated the following qualitative factors in accordance with FASB ASC 280 paragraph 10-50-11: the nature of products and services, the corresponding production processes, the types of customers, distribution methods for products and services and the nature of the corresponding regulatory environment associated with its operating segments. The Company determined each of these factors are similar for both the MDS and MIS operating segments and supports the aggregation of MDS and MIS into one reportable segment, Mercury Defense and Intelligence Systems (“MDIS”).</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analyzed quantitative thresholds of each reportable segment including but not limited to reported revenues, including sales to external customers and intersegment sales or transfers, reported profits or losses, and total assets of each operating segment. The Company determined that both MCE and MDIS met the quantitative thresholds for reporting.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reclassified the segment data for the prior periods presented below to conform to the current year’s presentation.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8" w:name="page19"/>
    <w:bookmarkEnd w:id="18"/>
    <w:p>
      <w:pPr>
        <w:ind w:right="2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Prior year’s amounts have been presented to reflect the current profitability measures 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MCE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MDIS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jc w:val="center"/>
              <w:ind w:right="429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13,006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43,955</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13,006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(2,838)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jc w:val="center"/>
              <w:ind w:right="429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15,265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(4,205)</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15,265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8,499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jc w:val="center"/>
              <w:ind w:right="433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40" w:type="dxa"/>
            <w:vAlign w:val="bottom"/>
            <w:shd w:val="clear" w:color="auto" w:fill="CCEEFF"/>
          </w:tcPr>
          <w:p>
            <w:pPr>
              <w:jc w:val="center"/>
              <w:ind w:right="429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110,369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42,899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(10,892)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121,249</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42,911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(10,805)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jc w:val="center"/>
              <w:ind w:right="4332"/>
              <w:spacing w:after="0"/>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jc w:val="center"/>
              <w:ind w:right="429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159,438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24,628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(8,134)</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167,572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24,628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34,650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4,791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Company’s net income (loss), the most directly comparable GAAP financial measure, to its adjusted EBITDA: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880" w:type="dxa"/>
            <w:vAlign w:val="bottom"/>
            <w:vMerge w:val="restart"/>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788</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(11,196)</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$16,943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 (benefit) provision</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(2,232)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5,429</w:t>
            </w:r>
          </w:p>
        </w:tc>
        <w:tc>
          <w:tcPr>
            <w:tcW w:w="4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40"/>
              <w:spacing w:after="0"/>
              <w:rPr>
                <w:sz w:val="20"/>
                <w:szCs w:val="20"/>
                <w:color w:val="auto"/>
              </w:rPr>
            </w:pPr>
            <w:r>
              <w:rPr>
                <w:rFonts w:ascii="Arial" w:cs="Arial" w:eastAsia="Arial" w:hAnsi="Arial"/>
                <w:sz w:val="18"/>
                <w:szCs w:val="18"/>
                <w:color w:val="auto"/>
              </w:rPr>
              <w:t>Fair value adjustments from purchase accounting</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2,293</w:t>
            </w:r>
          </w:p>
        </w:tc>
        <w:tc>
          <w:tcPr>
            <w:tcW w:w="4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2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5,242</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12,007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7,888</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39,572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00" w:type="dxa"/>
            <w:vAlign w:val="bottom"/>
            <w:vMerge w:val="restart"/>
          </w:tcPr>
          <w:p>
            <w:pPr>
              <w:jc w:val="right"/>
              <w:ind w:right="1772"/>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geographic distribution of the Company’s revenues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rPr>
              <w:t>US</w:t>
            </w:r>
          </w:p>
        </w:tc>
        <w:tc>
          <w:tcPr>
            <w:tcW w:w="50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Europe</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Asia Pacific</w:t>
            </w:r>
          </w:p>
        </w:tc>
        <w:tc>
          <w:tcPr>
            <w:tcW w:w="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9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50,708</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$1,144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2,271</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(2,419)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53,021</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(2,419)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HREE</w:t>
            </w:r>
            <w:r>
              <w:rPr>
                <w:rFonts w:ascii="Arial" w:cs="Arial" w:eastAsia="Arial" w:hAnsi="Arial"/>
                <w:sz w:val="18"/>
                <w:szCs w:val="18"/>
                <w:color w:val="auto"/>
              </w:rPr>
              <w:t xml:space="preserve"> M</w:t>
            </w:r>
            <w:r>
              <w:rPr>
                <w:rFonts w:ascii="Arial" w:cs="Arial" w:eastAsia="Arial" w:hAnsi="Arial"/>
                <w:sz w:val="14"/>
                <w:szCs w:val="14"/>
                <w:color w:val="auto"/>
              </w:rPr>
              <w:t>ONTHS</w:t>
            </w:r>
            <w:r>
              <w:rPr>
                <w:rFonts w:ascii="Arial" w:cs="Arial" w:eastAsia="Arial" w:hAnsi="Arial"/>
                <w:sz w:val="18"/>
                <w:szCs w:val="18"/>
                <w:color w:val="auto"/>
              </w:rPr>
              <w:t xml:space="preserve"> E</w:t>
            </w:r>
            <w:r>
              <w:rPr>
                <w:rFonts w:ascii="Arial" w:cs="Arial" w:eastAsia="Arial" w:hAnsi="Arial"/>
                <w:sz w:val="14"/>
                <w:szCs w:val="14"/>
                <w:color w:val="auto"/>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62,751</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$2,906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1,332</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(1,848)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64,378</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(1,848)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jc w:val="center"/>
              <w:ind w:right="427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144,296</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$2,572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6,487</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(6,577)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150,536</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6,534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(6,577)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shd w:val="clear" w:color="auto" w:fill="CCEEFF"/>
          </w:tcPr>
          <w:p>
            <w:pPr>
              <w:jc w:val="center"/>
              <w:ind w:right="4272"/>
              <w:spacing w:after="0" w:line="203" w:lineRule="exact"/>
              <w:rPr>
                <w:sz w:val="20"/>
                <w:szCs w:val="20"/>
                <w:color w:val="auto"/>
              </w:rPr>
            </w:pPr>
            <w:r>
              <w:rPr>
                <w:rFonts w:ascii="Arial" w:cs="Arial" w:eastAsia="Arial" w:hAnsi="Arial"/>
                <w:sz w:val="18"/>
                <w:szCs w:val="18"/>
                <w:color w:val="auto"/>
                <w:w w:val="99"/>
              </w:rPr>
              <w:t>N</w:t>
            </w:r>
            <w:r>
              <w:rPr>
                <w:rFonts w:ascii="Arial" w:cs="Arial" w:eastAsia="Arial" w:hAnsi="Arial"/>
                <w:sz w:val="14"/>
                <w:szCs w:val="14"/>
                <w:color w:val="auto"/>
                <w:w w:val="99"/>
              </w:rPr>
              <w:t>INE</w:t>
            </w:r>
            <w:r>
              <w:rPr>
                <w:rFonts w:ascii="Arial" w:cs="Arial" w:eastAsia="Arial" w:hAnsi="Arial"/>
                <w:sz w:val="18"/>
                <w:szCs w:val="18"/>
                <w:color w:val="auto"/>
                <w:w w:val="99"/>
              </w:rPr>
              <w:t xml:space="preserve"> M</w:t>
            </w:r>
            <w:r>
              <w:rPr>
                <w:rFonts w:ascii="Arial" w:cs="Arial" w:eastAsia="Arial" w:hAnsi="Arial"/>
                <w:sz w:val="14"/>
                <w:szCs w:val="14"/>
                <w:color w:val="auto"/>
                <w:w w:val="99"/>
              </w:rPr>
              <w:t>ONTHS</w:t>
            </w:r>
            <w:r>
              <w:rPr>
                <w:rFonts w:ascii="Arial" w:cs="Arial" w:eastAsia="Arial" w:hAnsi="Arial"/>
                <w:sz w:val="18"/>
                <w:szCs w:val="18"/>
                <w:color w:val="auto"/>
                <w:w w:val="99"/>
              </w:rPr>
              <w:t xml:space="preserve"> E</w:t>
            </w:r>
            <w:r>
              <w:rPr>
                <w:rFonts w:ascii="Arial" w:cs="Arial" w:eastAsia="Arial" w:hAnsi="Arial"/>
                <w:sz w:val="14"/>
                <w:szCs w:val="14"/>
                <w:color w:val="auto"/>
                <w:w w:val="99"/>
              </w:rPr>
              <w:t>NDED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80" w:type="dxa"/>
            <w:vAlign w:val="bottom"/>
            <w:shd w:val="clear" w:color="auto" w:fill="CCEEFF"/>
          </w:tcPr>
          <w:p>
            <w:pPr>
              <w:jc w:val="center"/>
              <w:ind w:right="4232"/>
              <w:spacing w:after="0"/>
              <w:rPr>
                <w:sz w:val="20"/>
                <w:szCs w:val="20"/>
                <w:color w:val="auto"/>
              </w:rPr>
            </w:pPr>
            <w:r>
              <w:rPr>
                <w:rFonts w:ascii="Arial" w:cs="Arial" w:eastAsia="Arial" w:hAnsi="Arial"/>
                <w:sz w:val="18"/>
                <w:szCs w:val="18"/>
                <w:color w:val="auto"/>
                <w:w w:val="94"/>
              </w:rPr>
              <w:t>M</w:t>
            </w:r>
            <w:r>
              <w:rPr>
                <w:rFonts w:ascii="Arial" w:cs="Arial" w:eastAsia="Arial" w:hAnsi="Arial"/>
                <w:sz w:val="14"/>
                <w:szCs w:val="14"/>
                <w:color w:val="auto"/>
                <w:w w:val="94"/>
              </w:rPr>
              <w:t>ARCH</w:t>
            </w:r>
            <w:r>
              <w:rPr>
                <w:rFonts w:ascii="Arial" w:cs="Arial" w:eastAsia="Arial" w:hAnsi="Arial"/>
                <w:sz w:val="18"/>
                <w:szCs w:val="18"/>
                <w:color w:val="auto"/>
                <w:w w:val="94"/>
              </w:rPr>
              <w:t xml:space="preserve"> 31, 2012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176,086</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$4,046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3,938</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(5,258)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180,657</w:t>
            </w:r>
          </w:p>
        </w:tc>
        <w:tc>
          <w:tcPr>
            <w:tcW w:w="5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4,025</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(5,258)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U.S.</w:t>
            </w: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6"/>
              </w:rPr>
              <w:t>Europe</w:t>
            </w:r>
          </w:p>
        </w:tc>
        <w:tc>
          <w:tcPr>
            <w:tcW w:w="58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3"/>
              </w:rPr>
              <w:t>Asia Pacific</w:t>
            </w: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54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March 31, 2013</w:t>
            </w:r>
          </w:p>
        </w:tc>
        <w:tc>
          <w:tcPr>
            <w:tcW w:w="2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$16,597</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June 30, 2012</w:t>
            </w:r>
          </w:p>
        </w:tc>
        <w:tc>
          <w:tcPr>
            <w:tcW w:w="3600" w:type="dxa"/>
            <w:vAlign w:val="bottom"/>
            <w:gridSpan w:val="3"/>
          </w:tcPr>
          <w:p>
            <w:pPr>
              <w:jc w:val="center"/>
              <w:ind w:left="1772"/>
              <w:spacing w:after="0"/>
              <w:rPr>
                <w:sz w:val="20"/>
                <w:szCs w:val="20"/>
                <w:color w:val="auto"/>
              </w:rPr>
            </w:pPr>
            <w:r>
              <w:rPr>
                <w:rFonts w:ascii="Arial" w:cs="Arial" w:eastAsia="Arial" w:hAnsi="Arial"/>
                <w:sz w:val="18"/>
                <w:szCs w:val="18"/>
                <w:color w:val="auto"/>
                <w:w w:val="89"/>
              </w:rPr>
              <w:t>$15,895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left="452"/>
              <w:spacing w:after="0"/>
              <w:rPr>
                <w:sz w:val="20"/>
                <w:szCs w:val="20"/>
                <w:color w:val="auto"/>
              </w:rPr>
            </w:pPr>
            <w:r>
              <w:rPr>
                <w:rFonts w:ascii="Arial" w:cs="Arial" w:eastAsia="Arial" w:hAnsi="Arial"/>
                <w:sz w:val="18"/>
                <w:szCs w:val="18"/>
                <w:color w:val="auto"/>
                <w:w w:val="89"/>
              </w:rPr>
              <w:t>$15,929</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66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8"/>
              </w:rPr>
              <w:t>Three Months Ended</w:t>
            </w:r>
          </w:p>
        </w:tc>
        <w:tc>
          <w:tcPr>
            <w:tcW w:w="19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Lockheed Martin Corporation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8"/>
              </w:rPr>
              <w:t>13%</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13%</w:t>
            </w:r>
          </w:p>
        </w:tc>
      </w:tr>
      <w:tr>
        <w:trPr>
          <w:trHeight w:val="216"/>
        </w:trPr>
        <w:tc>
          <w:tcPr>
            <w:tcW w:w="46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Raytheon Company</w:t>
            </w: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060" w:type="dxa"/>
            <w:vAlign w:val="bottom"/>
            <w:gridSpan w:val="3"/>
          </w:tcPr>
          <w:p>
            <w:pPr>
              <w:ind w:left="1040"/>
              <w:spacing w:after="0"/>
              <w:rPr>
                <w:sz w:val="20"/>
                <w:szCs w:val="20"/>
                <w:color w:val="auto"/>
              </w:rPr>
            </w:pPr>
            <w:r>
              <w:rPr>
                <w:rFonts w:ascii="Arial" w:cs="Arial" w:eastAsia="Arial" w:hAnsi="Arial"/>
                <w:sz w:val="18"/>
                <w:szCs w:val="18"/>
                <w:color w:val="auto"/>
              </w:rPr>
              <w:t>19</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ind w:left="1020"/>
              <w:spacing w:after="0"/>
              <w:rPr>
                <w:sz w:val="20"/>
                <w:szCs w:val="20"/>
                <w:color w:val="auto"/>
              </w:rPr>
            </w:pPr>
            <w:r>
              <w:rPr>
                <w:rFonts w:ascii="Arial" w:cs="Arial" w:eastAsia="Arial" w:hAnsi="Arial"/>
                <w:sz w:val="18"/>
                <w:szCs w:val="18"/>
                <w:color w:val="auto"/>
                <w:w w:val="79"/>
              </w:rPr>
              <w:t>24</w:t>
            </w:r>
          </w:p>
        </w:tc>
        <w:tc>
          <w:tcPr>
            <w:tcW w:w="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Corporation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4"/>
              </w:rPr>
              <w:t>*</w:t>
            </w:r>
          </w:p>
        </w:tc>
        <w:tc>
          <w:tcPr>
            <w:tcW w:w="7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20</w:t>
            </w:r>
          </w:p>
        </w:tc>
        <w:tc>
          <w:tcPr>
            <w:tcW w:w="2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60" w:type="dxa"/>
            <w:vAlign w:val="bottom"/>
            <w:gridSpan w:val="3"/>
          </w:tcPr>
          <w:p>
            <w:pPr>
              <w:ind w:left="1040"/>
              <w:spacing w:after="0"/>
              <w:rPr>
                <w:sz w:val="20"/>
                <w:szCs w:val="20"/>
                <w:color w:val="auto"/>
              </w:rPr>
            </w:pPr>
            <w:r>
              <w:rPr>
                <w:rFonts w:ascii="Arial" w:cs="Arial" w:eastAsia="Arial" w:hAnsi="Arial"/>
                <w:sz w:val="18"/>
                <w:szCs w:val="18"/>
                <w:color w:val="auto"/>
              </w:rPr>
              <w:t>43%</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w w:val="88"/>
              </w:rPr>
              <w:t>35%</w:t>
            </w:r>
          </w:p>
        </w:tc>
        <w:tc>
          <w:tcPr>
            <w:tcW w:w="1400" w:type="dxa"/>
            <w:vAlign w:val="bottom"/>
            <w:gridSpan w:val="3"/>
          </w:tcPr>
          <w:p>
            <w:pPr>
              <w:ind w:left="1020"/>
              <w:spacing w:after="0"/>
              <w:rPr>
                <w:sz w:val="20"/>
                <w:szCs w:val="20"/>
                <w:color w:val="auto"/>
              </w:rPr>
            </w:pPr>
            <w:r>
              <w:rPr>
                <w:rFonts w:ascii="Arial" w:cs="Arial" w:eastAsia="Arial" w:hAnsi="Arial"/>
                <w:sz w:val="18"/>
                <w:szCs w:val="18"/>
                <w:color w:val="auto"/>
                <w:w w:val="99"/>
              </w:rPr>
              <w:t>57%</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5620" w:right="4480" w:hanging="5612"/>
        <w:spacing w:after="0" w:line="525" w:lineRule="auto"/>
        <w:tabs>
          <w:tab w:leader="none" w:pos="218" w:val="left"/>
        </w:tabs>
        <w:numPr>
          <w:ilvl w:val="0"/>
          <w:numId w:val="9"/>
        </w:numPr>
        <w:rPr>
          <w:rFonts w:ascii="Arial" w:cs="Arial" w:eastAsia="Arial" w:hAnsi="Arial"/>
          <w:sz w:val="16"/>
          <w:szCs w:val="16"/>
          <w:color w:val="auto"/>
        </w:rPr>
      </w:pPr>
      <w:r>
        <w:rPr>
          <w:rFonts w:ascii="Arial" w:cs="Arial" w:eastAsia="Arial" w:hAnsi="Arial"/>
          <w:sz w:val="16"/>
          <w:szCs w:val="16"/>
          <w:color w:val="auto"/>
        </w:rPr>
        <w:t>Indicates that the amount is less than 10% of the Company’s revenues for the respective period. 20</w:t>
      </w:r>
    </w:p>
    <w:p>
      <w:pPr>
        <w:sectPr>
          <w:pgSz w:w="11900" w:h="16838" w:orient="portrait"/>
          <w:cols w:equalWidth="0" w:num="1">
            <w:col w:w="11420"/>
          </w:cols>
          <w:pgMar w:left="240" w:top="280" w:right="239" w:bottom="1440" w:gutter="0" w:footer="0" w:header="0"/>
        </w:sectPr>
      </w:pPr>
    </w:p>
    <w:bookmarkStart w:id="20" w:name="page21"/>
    <w:bookmarkEnd w:id="20"/>
    <w:p>
      <w:pPr>
        <w:ind w:right="4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While the Company typically has customers from which it derives 10% or more of its revenue, the sales to each of these customers are spread across multiple programs and platforms. Programs comprising 10% or more of the Company’s revenue for the periods shown below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6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3"/>
          </w:tcPr>
          <w:p>
            <w:pPr>
              <w:jc w:val="right"/>
              <w:ind w:right="146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46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Aegis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Patriot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11%</w:t>
            </w:r>
          </w:p>
        </w:tc>
        <w:tc>
          <w:tcPr>
            <w:tcW w:w="560" w:type="dxa"/>
            <w:vAlign w:val="bottom"/>
            <w:gridSpan w:val="2"/>
          </w:tcPr>
          <w:p>
            <w:pPr>
              <w:jc w:val="center"/>
              <w:ind w:left="2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Joint Strike Fighter</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left="2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80" w:type="dxa"/>
            <w:vAlign w:val="bottom"/>
            <w:gridSpan w:val="3"/>
          </w:tcPr>
          <w:p>
            <w:pPr>
              <w:jc w:val="right"/>
              <w:ind w:right="70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center"/>
              <w:ind w:left="200"/>
              <w:spacing w:after="0"/>
              <w:rPr>
                <w:sz w:val="20"/>
                <w:szCs w:val="20"/>
                <w:color w:val="auto"/>
              </w:rPr>
            </w:pPr>
            <w:r>
              <w:rPr>
                <w:rFonts w:ascii="Arial" w:cs="Arial" w:eastAsia="Arial" w:hAnsi="Arial"/>
                <w:sz w:val="18"/>
                <w:szCs w:val="18"/>
                <w:color w:val="auto"/>
                <w:w w:val="92"/>
              </w:rPr>
              <w:t>0%</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the amount is less than 10% of the Company’s revenues for the respective periods.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Income Taxes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recorded a tax benefit of $2,232 and tax expense of $2,380 on a loss from operations before taxes of $1,444 and income from operations of $7,625 for the three months ended March 31, 2013 and 2012, respectively. The Company recorded a tax benefit of $8,075 and tax expense of $8,522 on a loss from operations before taxes of $19,271 and income from operations of $25,465 for the nine months ended March 31, 2013 and 2012, respectively. Income tax benefit for the three and nine months ended March 31, 2013 differed from the federal statutory rate primarily due to the impact of federal research and development tax credits. Income tax expense for the three and nine months ended March 31, 2012 differed from the federal statutory rate primarily due to the impact of a Section 199 manufacturing deduction and research and development tax credits.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material changes in the Company’s unrecognized tax positions occurred during the three and nine months ended March 31, 2013. The Company estimates that the unrecognized tax benefits could decrease by up to $630 within the next 12 months as a result of resolutions of tax positions and the expiration of applicable statutes of limitations.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2, 2013, the “American Taxpayer Relief Act of 2012” was enacted into law by Congress. The American Taxpayer Relief Act of 2012 extended the research and development tax credit provisions of the tax code retroactively to January 1, 2012. Based on the extension, the Company recorded an additional $1,456 credit earned in calendar 2012 which is included in the tax benefits for the three and nine month periods ended March 31,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Restructuring Plan</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first quarter of fiscal 2013, the Company announced a restructuring plan (“2013 Plan”) affecting the MCE reportable segment. The 2013 Plan was implemented to cope with reduced defense revenues and the near term uncertainties in the defense industry driven by the potential for defense budget sequestration. The 2013 Plan primarily consisted of involuntary separation costs related to the reduction in force which eliminated 142 positions largely in engineering, manufacturing and administrative functions, as well as reductions associated with the first phase of integration of Micronetics. Restructuring expenses of $228 and $5,429 were recognized for the three and nine months ended March 31, 2013, respectively. Future restructuring expenses associated with the 2013 Plan are expected to be immaterial. These restructuring expenses affect the MCE reportable segment.</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the fourth quarter of fiscal 2012, the Company announced a restructuring plan (“2012 Plan”) affecting both the MCE and MDIS reportable segments. The 2012 Plan primarily consisted of involuntary separation costs related to the reduction in force which eliminated 41 positions largely in engineering and manufacturing functions; and facility costs related to outsourcing of certain manufacturing activities at the Company’s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280" w:right="319" w:bottom="1440" w:gutter="0" w:footer="0" w:header="0"/>
        </w:sectPr>
      </w:pPr>
    </w:p>
    <w:bookmarkStart w:id="21" w:name="page22"/>
    <w:bookmarkEnd w:id="21"/>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Huntsville, Alabama site. Future restructuring expenses of approximately $64 associated with the 2012 Plan are expected in the last quarter of fiscal 2013 as the Company continues transitioning the manufacturing activities formerly conducted at the Huntsville, Alabama facility. This restructuring expense will affect the MCE reportable segment.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of the restructuring charges are classified as operating expenses in the consolidated statements of operations and comprehensive income (loss) and any remaining obligations are expected to be paid within the next twelve months. The remaining restructuring liability is classified as accrued expenses in the consolidated balance sheets.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reportable segment for the Company’s restructuring plans: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3"/>
              </w:rPr>
              <w:t>Severance &amp;</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Facilities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6"/>
              </w:rPr>
              <w:t>Related</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&amp; 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4580" w:type="dxa"/>
            <w:vAlign w:val="bottom"/>
            <w:tcBorders>
              <w:top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MCE restructuring charges</w:t>
            </w:r>
          </w:p>
        </w:tc>
        <w:tc>
          <w:tcPr>
            <w:tcW w:w="1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580" w:type="dxa"/>
            <w:vAlign w:val="bottom"/>
          </w:tcPr>
          <w:p>
            <w:pPr>
              <w:ind w:left="440"/>
              <w:spacing w:after="0"/>
              <w:rPr>
                <w:sz w:val="20"/>
                <w:szCs w:val="20"/>
                <w:color w:val="auto"/>
              </w:rPr>
            </w:pPr>
            <w:r>
              <w:rPr>
                <w:rFonts w:ascii="Arial" w:cs="Arial" w:eastAsia="Arial" w:hAnsi="Arial"/>
                <w:sz w:val="18"/>
                <w:szCs w:val="18"/>
                <w:color w:val="auto"/>
              </w:rPr>
              <w:t>MDIS restructuring charges</w:t>
            </w:r>
          </w:p>
        </w:tc>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2012 provision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2,821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paid</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r>
      <w:tr>
        <w:trPr>
          <w:trHeight w:val="27"/>
        </w:trPr>
        <w:tc>
          <w:tcPr>
            <w:tcW w:w="4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2012</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2,698</w:t>
            </w: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MCE restructuring charges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5,887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(7,479)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Reversals(*)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(458)</w:t>
            </w:r>
          </w:p>
        </w:tc>
      </w:tr>
      <w:tr>
        <w:trPr>
          <w:trHeight w:val="27"/>
        </w:trPr>
        <w:tc>
          <w:tcPr>
            <w:tcW w:w="4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March 31, 2013</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r>
      <w:tr>
        <w:trPr>
          <w:trHeight w:val="20"/>
        </w:trPr>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Reversals result from the finalization of severance agreements and unused outplacement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80" w:right="339" w:bottom="1440" w:gutter="0" w:footer="0" w:header="0"/>
        </w:sectPr>
      </w:pPr>
    </w:p>
    <w:bookmarkStart w:id="22" w:name="page23"/>
    <w:bookmarkEnd w:id="22"/>
    <w:p>
      <w:pPr>
        <w:ind w:right="122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and similar expressions are intended to identify forward-looking statements regarding events, conditions and financial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of such funding, including the potential for a continuing resolution for the defense budget and the potential for defense budget sequestration,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2012.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Mercury Systems is a best-of-breed provider of commercially developed, open sensor and Big Data processing systems, software and services for critical commercial, defense and intelligence applications. We deliver innovative solutions, rapid time-to-value and world-class service and support to our prime contractor customers. We have worked on over 300 programs, including Aegis, Patriot, SEWIP, Gorgon Stare and Predator/Reaper.</w:t>
      </w:r>
    </w:p>
    <w:p>
      <w:pPr>
        <w:spacing w:after="0" w:line="107"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Our goal is to grow and build on our position as a critical component of the defense and intelligence industrial base and become the leading provider of open and affordable sensor processing subsystems. Within our Mercury Commercial Electronics business unit we design, develop and build open sensor processing products and subsystems that include embedded processing modules and subsystems, radio frequency (“RF”) and microwave multi-function assemblies as well as subsystems, and RF and microwave components. Within our Mercury Defense Systems business unit we leverage the building blocks provided by Mercury Commercial Electronics to build solutions for electronic warfare (“EW”) and electronic countermeasures, electro optical/infrared, signal intelligence (“SIGINT”) and radar environment test and simulation. Within our Mercury Intelligence Systems business unit we deliver Big Data analytic processing, predictive analytics and multi-intelligence analysis in support of the intelligence community.</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of March 31, 2013, we had 771 employees. Our revenue, net income and adjusted EBITDA for the three month period ended March 31, 2013 were $54.1 million, $0.8 million, and $5.2 million, respectively. Our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274" w:right="319" w:bottom="1440" w:gutter="0" w:footer="0" w:header="0"/>
        </w:sectPr>
      </w:pPr>
    </w:p>
    <w:bookmarkStart w:id="23" w:name="page24"/>
    <w:bookmarkEnd w:id="2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revenue, net loss and adjusted EBITDA for the nine month period ended March 31, 2013 were $153.4 million, ($11.2) million, and $7.9 million, respectively. See the Non-GAAP Financial Measures section for a reconciliation of our net income (loss) to adjusted EBITDA.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financial reporting purposes, our Company has two reportable segments: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MCE—This reportable segment provides commercially designed and developed, open sensor and Big Data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for critical commercial, defense and intelligence applications. We deliver innovative solutions, rapid time-to-value and world-class service and support to our prime contractor customers. Our technologies and capabilities include embedded processing modules and subsystems, RF and microwave multi-function assemblies as well as subsystems, and RF and microwave components.</w:t>
      </w:r>
    </w:p>
    <w:p>
      <w:pPr>
        <w:spacing w:after="0" w:line="143"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MCE utilizes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as well as some commercial applications. In addition MCE designs and builds RF and microwave components and subsystems to meet the needs of the EW, SIGINT, and to meet other high bandwidth communications requirements and applications.</w:t>
      </w:r>
    </w:p>
    <w:p>
      <w:pPr>
        <w:spacing w:after="0" w:line="9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With the acquisition of Micronetics, Inc. (“Micronetics”) in August 2012, we added a leading designer and manufacturer of microwave and RF subsystems and components for defense and commercial customers. The acquisition was directly aligned with our strategy of expanding our capabilities, services and offerings along the sensor processing chain.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March 31, 2013, MCE accounted for 72% of our total net revenues.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Mercury Defense and Intelligence Systems, </w:t>
      </w:r>
      <w:r>
        <w:rPr>
          <w:rFonts w:ascii="Arial" w:cs="Arial" w:eastAsia="Arial" w:hAnsi="Arial"/>
          <w:sz w:val="16"/>
          <w:szCs w:val="16"/>
          <w:color w:val="auto"/>
        </w:rPr>
        <w:t>or MDIS—This reportable segment leverages the technology building blocks developed within MCE for key</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required by our prime contractor customers. This segment represents a aggregation of Mercury Defense Systems and Mercury Intelligence Systems. Technology building blocks from MCE are deployed as part of solutions that fall into the areas of EW and electronic countermeasures, SIGINT, electro optical/infrared, and radar test and simulation. Most of this work is done with Defense Contract Audit Agency (“DCAA”) oversight on behalf of one or more of our prime contractor customers and U.S. Department of Defense agencies. MDIS also provides services of a classified nature, also under DCAA oversight, to the intelligence community. This professional services work falls into the critical areas of Big Data processing, predictive analytics and multi-intelligence analysis. This segment fully leverages the commercially developed technologies and building blocks of MCE as well as best practices and skills that have been honed in this area for Mercury’s 30+ year history. For the nine months ended March 31, 2013, MDIS accounted for 28% of our total net revenues.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primarily via commercial terms,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compared to the three months ended March 31,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As a %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2"/>
                <w:szCs w:val="12"/>
                <w:color w:val="auto"/>
              </w:rPr>
            </w:pPr>
          </w:p>
        </w:tc>
        <w:tc>
          <w:tcPr>
            <w:tcW w:w="12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6"/>
              </w:rPr>
              <w:t>March 31,</w:t>
            </w: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Total Net</w:t>
            </w:r>
          </w:p>
        </w:tc>
        <w:tc>
          <w:tcPr>
            <w:tcW w:w="2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48"/>
        </w:trPr>
        <w:tc>
          <w:tcPr>
            <w:tcW w:w="5320" w:type="dxa"/>
            <w:vAlign w:val="bottom"/>
            <w:gridSpan w:val="3"/>
            <w:vMerge w:val="continue"/>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9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5"/>
              </w:rPr>
              <w:t>Revenue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54,123</w:t>
            </w:r>
          </w:p>
        </w:tc>
        <w:tc>
          <w:tcPr>
            <w:tcW w:w="6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66,989</w:t>
            </w:r>
          </w:p>
        </w:tc>
        <w:tc>
          <w:tcPr>
            <w:tcW w:w="6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31,549</w:t>
            </w:r>
          </w:p>
        </w:tc>
        <w:tc>
          <w:tcPr>
            <w:tcW w:w="6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31,926</w:t>
            </w:r>
          </w:p>
        </w:tc>
        <w:tc>
          <w:tcPr>
            <w:tcW w:w="6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22,574</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35,063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13,918</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15,217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7,503</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87"/>
              </w:rPr>
              <w:t>11,452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color w:val="auto"/>
              </w:rPr>
              <w:t>Restructuring and other charges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6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1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24,037</w:t>
            </w:r>
          </w:p>
        </w:tc>
        <w:tc>
          <w:tcPr>
            <w:tcW w:w="62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27,957</w:t>
            </w:r>
          </w:p>
        </w:tc>
        <w:tc>
          <w:tcPr>
            <w:tcW w:w="60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(1,463)</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7,106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(1,444)</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7,625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Tax (benefit) provision</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(2,232)</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2,380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5,245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840" w:type="dxa"/>
            <w:vAlign w:val="bottom"/>
            <w:vMerge w:val="restart"/>
          </w:tcPr>
          <w:p>
            <w:pPr>
              <w:spacing w:after="0"/>
              <w:rPr>
                <w:sz w:val="14"/>
                <w:szCs w:val="14"/>
                <w:color w:val="auto"/>
              </w:rPr>
            </w:pP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March 31,</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840" w:type="dxa"/>
            <w:vAlign w:val="bottom"/>
            <w:vMerge w:val="continue"/>
          </w:tcPr>
          <w:p>
            <w:pPr>
              <w:spacing w:after="0"/>
              <w:rPr>
                <w:sz w:val="14"/>
                <w:szCs w:val="14"/>
                <w:color w:val="auto"/>
              </w:rPr>
            </w:pPr>
          </w:p>
        </w:tc>
        <w:tc>
          <w:tcPr>
            <w:tcW w:w="600" w:type="dxa"/>
            <w:vAlign w:val="bottom"/>
          </w:tcPr>
          <w:p>
            <w:pPr>
              <w:jc w:val="right"/>
              <w:ind w:right="79"/>
              <w:spacing w:after="0" w:line="148"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jc w:val="right"/>
              <w:ind w:right="99"/>
              <w:spacing w:after="0" w:line="148" w:lineRule="exact"/>
              <w:rPr>
                <w:sz w:val="20"/>
                <w:szCs w:val="20"/>
                <w:color w:val="auto"/>
              </w:rPr>
            </w:pPr>
            <w:r>
              <w:rPr>
                <w:rFonts w:ascii="Arial" w:cs="Arial" w:eastAsia="Arial" w:hAnsi="Arial"/>
                <w:sz w:val="14"/>
                <w:szCs w:val="14"/>
                <w:b w:val="1"/>
                <w:bCs w:val="1"/>
                <w:color w:val="auto"/>
              </w:rPr>
              <w:t>2012</w:t>
            </w:r>
          </w:p>
        </w:tc>
        <w:tc>
          <w:tcPr>
            <w:tcW w:w="740" w:type="dxa"/>
            <w:vAlign w:val="bottom"/>
          </w:tcPr>
          <w:p>
            <w:pPr>
              <w:spacing w:after="0"/>
              <w:rPr>
                <w:sz w:val="14"/>
                <w:szCs w:val="14"/>
                <w:color w:val="auto"/>
              </w:rPr>
            </w:pPr>
          </w:p>
        </w:tc>
        <w:tc>
          <w:tcPr>
            <w:tcW w:w="1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85"/>
              </w:rPr>
              <w:t>Change</w:t>
            </w:r>
          </w:p>
        </w:tc>
        <w:tc>
          <w:tcPr>
            <w:tcW w:w="880" w:type="dxa"/>
            <w:vAlign w:val="bottom"/>
            <w:gridSpan w:val="2"/>
          </w:tcPr>
          <w:p>
            <w:pPr>
              <w:jc w:val="right"/>
              <w:ind w:right="172"/>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3"/>
        </w:trPr>
        <w:tc>
          <w:tcPr>
            <w:tcW w:w="5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MCE</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$ 41,222</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$ 49,980</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(8,758)</w:t>
            </w:r>
          </w:p>
        </w:tc>
        <w:tc>
          <w:tcPr>
            <w:tcW w:w="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2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MDIS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13,006</w:t>
            </w:r>
          </w:p>
        </w:tc>
        <w:tc>
          <w:tcPr>
            <w:tcW w:w="64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15,265</w:t>
            </w:r>
          </w:p>
        </w:tc>
        <w:tc>
          <w:tcPr>
            <w:tcW w:w="1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(2,259)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(1,849)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$ 54,123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$ 66,989</w:t>
            </w:r>
          </w:p>
        </w:tc>
        <w:tc>
          <w:tcPr>
            <w:tcW w:w="740" w:type="dxa"/>
            <w:vAlign w:val="bottom"/>
          </w:tcPr>
          <w:p>
            <w:pPr>
              <w:spacing w:after="0"/>
              <w:rPr>
                <w:sz w:val="19"/>
                <w:szCs w:val="19"/>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(12,866)</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Total revenues decreased $12.9 million, or 19%, to $54.1 million during the three months ended March 31, 2013 as compared to the comparable period in fiscal 2012. International revenues represented approximately 6% of total revenues during the three months ended March 31, 2013 and 2012.</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Net MCE revenues decreased $8.8 million, or 18%, during the three months ended March 31, 2013 as compared to the same period in fiscal 2012. This decrease was primarily driven by lower defense sales of $10.6 million which were slightly offset by a $1.8 million increase in commercial sales. The decrease in MCE defense revenues was driven by the decline in Patriot and unmanned aircraft vehicle (“UAV”) program revenue year over year and a general slowdown in funding due to constraints on U.S. defense spending and uncertainties surrounding the future defense budget. This decline was partially offset by $10.4 million of revenues from the acquisition of Micronetics.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Net MDIS revenues decreased $2.3 million during the three months ended March 31, 2013 as compared to the same period in fiscal 2012. This decrease was primarily driven by lower revenues generated on contracts due to customer funding delays.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Eliminations revenue is attributable to development programs where the revenue is recognized in each segment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Gross margin was 41.7% for the three months ended March 31, 2013, a decline of 10.6% from the 52.3% gross margin achieved during the same period in fiscal 2012. The decrease in gross margin was primarily due to a shift in program revenue mix coupled with a revenue decline in our higher margin organic MCE computing business. In addition, revenues derived from the acquired Micronetics business generate lower gross margins than our organic MCE computing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expenses decreased $1.3 million, or 9%, to $13.9 million during the three months ended March 31, 2013, compared to $15.2 million during the comparable period in fiscal 2012. The decrease was primarily due to a $1.8 million decrease in employee compensation expense from the cost reduction initiatives as a result of our fiscal 2013 restructuring plan, which was partially offset by a $0.5 million increase in employee compensation costs as a result of the Micronetics acquisition. Selling, general and administrative expenses increased as a percentage of revenues to 25.7% during the three months ended March 31, 2013 from 22.7% during the same period in fiscal 2012 due to lower revenues in the third quarter of fiscal 2013 as compared to the comparable period in fiscal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Research and development expenses decreased $3.9 million, or 34%, to $7.5 million during the three months ended March 31, 2013, compared to $11.4 million during the comparable period in fiscal 2012. The decrease was primarily due to cost reduction initiatives as a result of our fiscal 2013 restructuring plan, including a $3.5 million decrease in employee compensation expense and a $1.1 million decrease in costs of prototype and development materials. These decreases were partially offset by $0.5 million in lower resource allocations to customer funded projects and a $0.2 million increase due to the acquisition of Micronetics.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Amortization of acquired intangible assets increased $1.2 million, to $2.4 million for the three months ended March 31, 2013 as compared to $1.1 million during the comparable period in fiscal 2012, primarily due to amortization of intangible assets from the Micronetics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implemented restructuring plans in the first quarter of fiscal 2013 and in the fourth quarter of fiscal 2012. These plans consisted of involuntary separation costs related to a reduction in force and facility costs related to the outsourcing of certain manufacturing activities. The plans were implemented to cope with reduced defense revenues and the near term uncertainties in the defense industry driven by the potential for defense budget sequestration. The $0.2 million of restructuring expense recorded during the three months ended March 31, 2013 was primarily attributed to charges for facility space idled during the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income, net decreased $0.5 million, or 96%, to less than $0.1 million during the three months ended March 31, 2013, as compared to the same period in fiscal 2012. Other income, net consists of $0.3 million in amortization of the gain on the sale leaseback of our corporate headquarters located in Chelmsford, Massachusetts offset by foreign currency exchange losses as the U.S. dollar strengthened against the Japanese yen. Interest income and interest expense were de minimis.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recorded an income tax benefit of $2.2 million during the three months ended March 31, 2013 as compared to a $2.4 million income tax provision for the comparable period in fiscal 2012. Our income tax benefit for the three months ended March 31, 2013 differed from the federal statutory tax rate of 35% primarily due to the impact of federal research and development tax credits including $1.7 million as a result of the retroactive extension of these research and development tax credits. Our effective tax rate during the comparable period in fiscal 2012 also differed from the federal statutory rate primarily due to the impact of the Section 199 manufacturing deduction and research and development tax credits.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decreased $4.1 million during the three months ended March 31, 2013 to $4.4 million as compared to $8.5 million for the comparable period in fiscal 2012. The decrease in adjusted EBITDA is primarily driven by lower revenues of $8.8 million coupled with lower product mix-related margins.</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Adjusted EBITDA for MDIS decreased $2.2 million during the three months ended March 31, 2013 to $0.9 million as compared to $3.1 million for the comparable period in fiscal 2012. The decrease in adjusted EBITDA was primarily due to lower revenues and corresponding gross margin due to customer funding delays. See Note K to our consolidated financial statements included in this report for more information regarding our reportable segments.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2013 compared to the nine months ended March 31,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nine months periods indicated, financial data from the consolidated statements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As a %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Pr>
          <w:p>
            <w:pPr>
              <w:spacing w:after="0"/>
              <w:rPr>
                <w:sz w:val="12"/>
                <w:szCs w:val="12"/>
                <w:color w:val="auto"/>
              </w:rPr>
            </w:pP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Total Net</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March 31,</w:t>
            </w:r>
          </w:p>
        </w:tc>
        <w:tc>
          <w:tcPr>
            <w:tcW w:w="5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48"/>
        </w:trPr>
        <w:tc>
          <w:tcPr>
            <w:tcW w:w="4640" w:type="dxa"/>
            <w:vAlign w:val="bottom"/>
            <w:gridSpan w:val="3"/>
            <w:vMerge w:val="continue"/>
          </w:tcPr>
          <w:p>
            <w:pPr>
              <w:spacing w:after="0"/>
              <w:rPr>
                <w:sz w:val="12"/>
                <w:szCs w:val="12"/>
                <w:color w:val="auto"/>
              </w:rPr>
            </w:pPr>
          </w:p>
        </w:tc>
        <w:tc>
          <w:tcPr>
            <w:tcW w:w="3120" w:type="dxa"/>
            <w:vAlign w:val="bottom"/>
            <w:gridSpan w:val="2"/>
          </w:tcPr>
          <w:p>
            <w:pPr>
              <w:jc w:val="right"/>
              <w:ind w:right="114"/>
              <w:spacing w:after="0" w:line="148"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0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Revenue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8"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2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$153,355</w:t>
            </w:r>
          </w:p>
        </w:tc>
        <w:tc>
          <w:tcPr>
            <w:tcW w:w="5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184,070</w:t>
            </w:r>
          </w:p>
        </w:tc>
        <w:tc>
          <w:tcPr>
            <w:tcW w:w="5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92,819</w:t>
            </w:r>
          </w:p>
        </w:tc>
        <w:tc>
          <w:tcPr>
            <w:tcW w:w="5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78,178</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2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60,536</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105,892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25,130</w:t>
            </w:r>
          </w:p>
        </w:tc>
        <w:tc>
          <w:tcPr>
            <w:tcW w:w="5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35,041</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Restructuring and other charges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5,429</w:t>
            </w:r>
          </w:p>
        </w:tc>
        <w:tc>
          <w:tcPr>
            <w:tcW w:w="5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2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vMerge w:val="continue"/>
          </w:tcPr>
          <w:p>
            <w:pPr>
              <w:spacing w:after="0"/>
              <w:rPr>
                <w:sz w:val="19"/>
                <w:szCs w:val="19"/>
                <w:color w:val="auto"/>
              </w:rPr>
            </w:pPr>
          </w:p>
        </w:tc>
        <w:tc>
          <w:tcPr>
            <w:tcW w:w="2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80,262</w:t>
            </w:r>
          </w:p>
        </w:tc>
        <w:tc>
          <w:tcPr>
            <w:tcW w:w="5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81,736</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(19,726)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w:t>
            </w:r>
          </w:p>
        </w:tc>
        <w:tc>
          <w:tcPr>
            <w:tcW w:w="5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1,309</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 before income taxes</w:t>
            </w:r>
          </w:p>
        </w:tc>
        <w:tc>
          <w:tcPr>
            <w:tcW w:w="2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(19,271)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Tax (benefit) provision</w:t>
            </w:r>
          </w:p>
        </w:tc>
        <w:tc>
          <w:tcPr>
            <w:tcW w:w="24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(8,075)</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8,522</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 (11,196)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40" w:type="dxa"/>
            <w:vAlign w:val="bottom"/>
            <w:vMerge w:val="restart"/>
          </w:tcPr>
          <w:p>
            <w:pPr>
              <w:jc w:val="right"/>
              <w:ind w:right="1196"/>
              <w:spacing w:after="0"/>
              <w:rPr>
                <w:sz w:val="20"/>
                <w:szCs w:val="20"/>
                <w:color w:val="auto"/>
              </w:rPr>
            </w:pPr>
            <w:r>
              <w:rPr>
                <w:rFonts w:ascii="Arial" w:cs="Arial" w:eastAsia="Arial" w:hAnsi="Arial"/>
                <w:sz w:val="18"/>
                <w:szCs w:val="18"/>
                <w:color w:val="auto"/>
              </w:rPr>
              <w:t>27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w:t>
      </w:r>
      <w:r>
        <w:rPr>
          <w:rFonts w:ascii="Arial" w:cs="Arial" w:eastAsia="Arial" w:hAnsi="Arial"/>
          <w:sz w:val="14"/>
          <w:szCs w:val="14"/>
          <w:color w:val="auto"/>
        </w:rPr>
        <w:t>EVENUES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660" w:type="dxa"/>
            <w:vAlign w:val="bottom"/>
            <w:gridSpan w:val="2"/>
          </w:tcPr>
          <w:p>
            <w:pPr>
              <w:jc w:val="right"/>
              <w:ind w:right="119"/>
              <w:spacing w:after="0" w:line="148"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1000" w:type="dxa"/>
            <w:vAlign w:val="bottom"/>
            <w:gridSpan w:val="2"/>
          </w:tcPr>
          <w:p>
            <w:pPr>
              <w:jc w:val="right"/>
              <w:ind w:right="119"/>
              <w:spacing w:after="0" w:line="148"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1"/>
              </w:rPr>
              <w:t>$ Change</w:t>
            </w:r>
          </w:p>
        </w:tc>
        <w:tc>
          <w:tcPr>
            <w:tcW w:w="880" w:type="dxa"/>
            <w:vAlign w:val="bottom"/>
            <w:gridSpan w:val="2"/>
          </w:tcPr>
          <w:p>
            <w:pPr>
              <w:jc w:val="right"/>
              <w:ind w:right="172"/>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MCE</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$ 110,369</w:t>
            </w: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$159,438</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(49,069)</w:t>
            </w:r>
          </w:p>
        </w:tc>
        <w:tc>
          <w:tcPr>
            <w:tcW w:w="5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w:t>
            </w:r>
          </w:p>
        </w:tc>
        <w:tc>
          <w:tcPr>
            <w:tcW w:w="260" w:type="dxa"/>
            <w:vAlign w:val="bottom"/>
            <w:tcBorders>
              <w:top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MDIS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42,899</w:t>
            </w:r>
          </w:p>
        </w:tc>
        <w:tc>
          <w:tcPr>
            <w:tcW w:w="340" w:type="dxa"/>
            <w:vAlign w:val="bottom"/>
          </w:tcPr>
          <w:p>
            <w:pPr>
              <w:spacing w:after="0"/>
              <w:rPr>
                <w:sz w:val="18"/>
                <w:szCs w:val="18"/>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24,628</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18,271</w:t>
            </w:r>
          </w:p>
        </w:tc>
        <w:tc>
          <w:tcPr>
            <w:tcW w:w="880" w:type="dxa"/>
            <w:vAlign w:val="bottom"/>
            <w:gridSpan w:val="2"/>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153,355</w:t>
            </w:r>
          </w:p>
        </w:tc>
        <w:tc>
          <w:tcPr>
            <w:tcW w:w="340" w:type="dxa"/>
            <w:vAlign w:val="bottom"/>
          </w:tcPr>
          <w:p>
            <w:pPr>
              <w:spacing w:after="0"/>
              <w:rPr>
                <w:sz w:val="19"/>
                <w:szCs w:val="19"/>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184,070</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(30,715)</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70" w:lineRule="auto"/>
        <w:rPr>
          <w:sz w:val="20"/>
          <w:szCs w:val="20"/>
          <w:color w:val="auto"/>
        </w:rPr>
      </w:pPr>
      <w:r>
        <w:rPr>
          <w:rFonts w:ascii="Arial" w:cs="Arial" w:eastAsia="Arial" w:hAnsi="Arial"/>
          <w:sz w:val="15"/>
          <w:szCs w:val="15"/>
          <w:color w:val="auto"/>
        </w:rPr>
        <w:t>Total revenues decreased $30.7 million, or 17%, to $153.4 million during the nine months ended March 31, 2013 as compared to the comparable period in fiscal 2012. International revenues represented approximately 6% and 4% of total revenues during the nine months ended March 31, 2013 and 2012, respectively.</w:t>
      </w:r>
    </w:p>
    <w:p>
      <w:pPr>
        <w:spacing w:after="0" w:line="6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Net MCE revenues decreased $49.1 million, or 31%, during the nine months ended March 31, 2013 as compared to the comparable period in fiscal 2012. This decrease was primarily driven by lower defense sales, which decreased $51.9 million, slightly offset by a $2.8 million increase in commercial sales. The decrease in MCE defense revenues was driven by the decline in Joint Strike Fighter, Patriot and a classified program revenues year over year and a general slowdown in funding due to constraints on U.S. defense spending and uncertainties surrounding the future defense budget. This decline was partially offset by $24.8 million of revenues from the acquisition of Micronetics.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Net MDIS revenues increased $18.3 million during the nine months ended March 31, 2013 as compared to the same period in fiscal 2012. This increase was primarily driven by $11.4 million and $6.9 million of additional revenues contributed from newly acquired businesses.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Gross margin was 39.5% for the nine months ended March 31, 2013, a decline of 18% from the 57.5% gross margin achieved during the comparable period in fiscal 2012. The decrease in gross margin was primarily due to a shift in program revenue mix coupled with a revenue decline in our higher margin organic MCE computing business. In addition, the acquisitions of KOR, PDI, and Micronetics realize lower gross margins than our organic MCE computing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expenses decreased $0.3 million, or 0.6%, to $43.0 million during the nine months ended March 31, 2013, compared to $43.3 million during the comparable period in fiscal 2012. The decrease was primarily due to a decrease in employee compensation expense from the cost reduction initiatives as a result of our fiscal 2012 and 2013 restructuring plans, which was partially offset by an increase in employee compensation costs as a result of the KOR, PDI, and Micronetics acquisitions. Selling, general and administrative expenses increased as a percentage of revenues to 28.1% during the nine months ended March 31, 2013 from 23.5% during the same period in fiscal 2012 due to lower revenues in the first nine months of fiscal 2013 as compared to the comparable period in fiscal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Research and development expenses decreased $9.9 million, or 28.3%, to $25.1 million during the nine months ended March 31, 2013, compared to $35.0 million during the comparable period in fiscal 2012. The decrease was primarily due to cost reduction initiatives as a result of our fiscal 2012 and 2013 restructuring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plans, including a $7.3 million decrease in employee compensation expense, and a $3.2 million decrease in costs of prototype and development materials. These decreases were partially offset by lower resource allocations to customer funded projects in fiscal 2013 as compared to fiscal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Amortization of acquired intangible assets increased $3.7 million, to $6.4 million for the nine months ended March 31, 2013 as compared to $2.7 million during the comparable period in fiscal 2012, primarily due to amortization of intangible assets from the KOR, PDI and Micronetics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was $5.4 million of restructuring expense recorded during the nine months ended March 31, 2013. The restructuring plan implemented in the first quarter of fiscal 2013 consisted of involuntary separation costs related to the reduction in force which eliminated 142 positions largely in engineering, manufacturing and administrative functions, as well as reductions associated with the first phase of integration of Micronetics. The 2013 Plan was implemented to cope with reduced defense revenues and the near term uncertainties in the defense industry driven by the potential for defense budget sequestration. In addition we incurred charges during the nine months ended March 31, 2013 for facility space idled during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Acquisition costs and other related expenses decreased $0.5 million, to $0.3 million for the nine months ended March 31, 2013 as compared to $0.8 million during the comparable period in fiscal 2012. The acquisition costs and other related expenses incurred during the nine months ended March 31, 2013,were in connection with the acquisition of Micronetics. The acquisition costs and other related expenses incurred during the nine months ended March 31, 2012 were in connection with the KOR and PDI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Other income, net decreased $0.9 million, or 65%, to $0.5 million during the nine months ended March 31, 2013, as compared to the comparable period in fiscal 2012. Other income, net consists of $0.9 million in amortization of the gain on the sale leaseback of our corporate headquarters located in Chelmsford, Massachusetts offset by foreign currency exchange losses as the U.S. dollar strengthened against the Japanese yen. Interest income and interest expense were de minimis.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recorded an income tax benefit of $8.1 million during the nine months ended March 31, 2013 as compared to a $8.5 million income tax provision for the comparable period in fiscal 2012. Our income tax benefit for the nine months ended March 31, 2013 differed from the federal statutory tax rate of 35% primarily due to the impact of federal research and development tax credits including $1.7 million as a result of the retroactive extension of these research and development tax credits. Our effective tax rate for the nine months ended March 31, 2012 also differed from the federal statutory rate primarily due to the impact of the Section 199 manufacturing deduction and research and development tax credits.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use adjusted EBITDA as the profitability measure for our segment reporting. Adjusted EBITDA for MCE decreased $31.6 million during the nine months ended March 31, 2013 to $3.2 million as compared to $34.8 million for the comparable period in fiscal 2012. The decrease in adjusted EBITDA is primarily driven by lower revenues of $49.1 million coupled with lower product mix-related margins.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 for MDIS increased slightly to $4.7 million during the nine months ended March 31, 2013 as compared to $4.6 million in the comparable period in fiscal 2012. Lower margins related to a wide area persistent surveillance contract were offset by increased revenues generated by newly acquired businesses.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K to our consolidated financial statements included in this report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primary source of liquidity comes from existing cash and cash equivalents. Our near-term fixed commitments for cash expenditures consist primarily of payments under operating leases and inventory purchase commitments with our contract manufacturers. We do not currently have any material commitments for capital expenditures.</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October 12, 2012, we entered into a credit agreement (the “Credit Agreement”) with a syndicate of commercial banks, with KeyBank National Association acting as the administrative agent. The Credit Agreement provides for a $200.0 million senior unsecured revolving line of credit (the “Revolver”). We can borrow up to $200.0 million based on consolidated EBITDA for the four quarters ended March 31, 2013 and subject to compliance with the financial covenants discussed below. The Revolver is available for working capital, acquisitions, and general corporate purposes of the Company and its subsidiaries. The Revolver is available for borrowing during a five year period, with interest payable periodically during such period as provided in the Credit Agreement and principal due at the maturity of the Revolver.</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Credit Agreement has an accordion feature permitting us to request from the lenders an increase in the aggregate amount of the credit facility in the form of an incremental revolver or term loan in an amount not to exceed $50.0 million. Any such increase would require only the consent of the lenders increasing their respective commitments under the credit facility.</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interest rates applicable to borrowings under the Credit Agreement involve various rate options that are available to us. The rates are calculated using a combination of conventional base rate measures plus a margin over those rates. The base rates consist of LIBOR rates or prime rates. The actual rates will depend on the level of these underlying rates plus a margin based on our leverage at the time of borrowing.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under the Credit Agreement are senior unsecured loans. Each of our domestic subsidiaries is a guarantor under the Credit Agreement.</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Credit Agreement provides for conventional affirmative and negative covenants, including a maximum leverage ratio of 3.50x and a minimum interest coverage ratio of 3.0x. Each of the two ratios referred to above is calculated based on consolidated EBITDA, as defined in the Credit Agreement, on a consolidated basis for each consecutive four fiscal quarter period, after giving pro forma effect for any acquisitions or dispositions. Acquisitions are permitted under the Credit Agreement without any dollar limitation so long as, among other requirements, no default or event of default exists or would result therefore; at March 31, 2013, we are in compliance with a maximum leverage ratio of 3.25x and a minimum interest coverage ratio of 3.0x. In addition, the Credit Agreement contains certain customary representations and warranties, and events of default.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ind w:right="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2013, there was $54.6 million of borrowing capacity available. There were no borrowings outstanding on the Credit Agreement; however, there were outstanding letters of credit of $3.0 million. We were in compliance with all covenants and conditions under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On October 12, 2012, the Company terminated its Loan and Security Agreement with Silicon Valley Bank dated February 12, 2010, as amended on March 30, 2011 (the “Loan Agreement”). The Loan Agreement provided for a $35.0 million revolving line of credit. The Company terminated the Loan Agreement early without penalty. Silicon Valley Bank released its security interests in the Company’s assets in connection with the termination of the Loan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As of and for the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nine month period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22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422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20"/>
              <w:spacing w:after="0" w:line="129" w:lineRule="exact"/>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(6,693)</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27,687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w w:val="89"/>
              </w:rPr>
              <w:t>(70,245)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(77,139)</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72"/>
              <w:spacing w:after="0"/>
              <w:rPr>
                <w:sz w:val="20"/>
                <w:szCs w:val="20"/>
                <w:color w:val="auto"/>
              </w:rPr>
            </w:pPr>
            <w:r>
              <w:rPr>
                <w:rFonts w:ascii="Arial" w:cs="Arial" w:eastAsia="Arial" w:hAnsi="Arial"/>
                <w:sz w:val="18"/>
                <w:szCs w:val="18"/>
                <w:color w:val="auto"/>
                <w:w w:val="89"/>
              </w:rPr>
              <w:t>(80,819)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(48,030)</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35,145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cash and cash equivalents decreased by $80.8 million from June 30, 2012 to March 31, 2013, primarily as a result of the $67.7 million payment, net of cash acquired, to acquire Micronetics, a $6.6 million payment to repay debt held by Micronetics, and funding a $6.7 million cash out flow from operating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During the nine months ended March 31, 2013, we used $6.7 million in cash for operating activities compared to $27.7 million in cash generated from operating activities during the same period in fiscal 2012. The $34.4 million decline in cash generated by operating activities was primarily a result of lower comparable net income of $28.1 million and a $13.9 million increase in cash used for payables and accrued expenses. These increases in the use of cash were partially offset by $2.4 million in lower inventory purchases and $2.0 million generated from higher deferred revenues.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Investing Activities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nine months ended March 31, 2013, we used cash of $70.2 million in investing activities compared to $77.1 million used by investing activities during the same period in fiscal 2012. The $6.9 million decrease in cash used in investing activities was primarily driven by $2.7 million of less cash spent on acquisitions and $4.2 million of lower purchases of property and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During the nine months ended March 31, 2013, we used $3.9 million in financing activities compared to $1.4 million generated from financing activities during the same period in fiscal 2012. The $5.3 million change in cash from financing activities was primarily due to a $6.6 million payment to settle debt acquired as part of the Micronetics acquisition, offset by the release of $3.0 million of cash formerly restricted in support of a letter of credit which is presently supported by our Credit Agreement, and $0.8 million in financing fees associated with the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6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Less Than</w:t>
            </w:r>
          </w:p>
        </w:tc>
        <w:tc>
          <w:tcPr>
            <w:tcW w:w="80" w:type="dxa"/>
            <w:vAlign w:val="bottom"/>
          </w:tcPr>
          <w:p>
            <w:pPr>
              <w:spacing w:after="0"/>
              <w:rPr>
                <w:sz w:val="14"/>
                <w:szCs w:val="14"/>
                <w:color w:val="auto"/>
              </w:rPr>
            </w:pPr>
          </w:p>
        </w:tc>
        <w:tc>
          <w:tcPr>
            <w:tcW w:w="420" w:type="dxa"/>
            <w:vAlign w:val="bottom"/>
          </w:tcPr>
          <w:p>
            <w:pPr>
              <w:jc w:val="right"/>
              <w:ind w:right="79"/>
              <w:spacing w:after="0"/>
              <w:rPr>
                <w:sz w:val="20"/>
                <w:szCs w:val="20"/>
                <w:color w:val="auto"/>
              </w:rPr>
            </w:pPr>
            <w:r>
              <w:rPr>
                <w:rFonts w:ascii="Arial" w:cs="Arial" w:eastAsia="Arial" w:hAnsi="Arial"/>
                <w:sz w:val="14"/>
                <w:szCs w:val="14"/>
                <w:b w:val="1"/>
                <w:bCs w:val="1"/>
                <w:color w:val="auto"/>
              </w:rPr>
              <w:t>2-3</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56"/>
              <w:spacing w:after="0"/>
              <w:rPr>
                <w:sz w:val="20"/>
                <w:szCs w:val="20"/>
                <w:color w:val="auto"/>
              </w:rPr>
            </w:pPr>
            <w:r>
              <w:rPr>
                <w:rFonts w:ascii="Arial" w:cs="Arial" w:eastAsia="Arial" w:hAnsi="Arial"/>
                <w:sz w:val="14"/>
                <w:szCs w:val="14"/>
                <w:b w:val="1"/>
                <w:bCs w:val="1"/>
                <w:color w:val="auto"/>
              </w:rPr>
              <w:t>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58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10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90"/>
              </w:rPr>
              <w:t>1 Year</w:t>
            </w:r>
          </w:p>
        </w:tc>
        <w:tc>
          <w:tcPr>
            <w:tcW w:w="80" w:type="dxa"/>
            <w:vAlign w:val="bottom"/>
          </w:tcPr>
          <w:p>
            <w:pPr>
              <w:spacing w:after="0"/>
              <w:rPr>
                <w:sz w:val="14"/>
                <w:szCs w:val="14"/>
                <w:color w:val="auto"/>
              </w:rPr>
            </w:pPr>
          </w:p>
        </w:tc>
        <w:tc>
          <w:tcPr>
            <w:tcW w:w="42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w w:val="78"/>
              </w:rPr>
              <w:t>Years</w:t>
            </w:r>
          </w:p>
        </w:tc>
        <w:tc>
          <w:tcPr>
            <w:tcW w:w="500" w:type="dxa"/>
            <w:vAlign w:val="bottom"/>
          </w:tcPr>
          <w:p>
            <w:pPr>
              <w:spacing w:after="0"/>
              <w:rPr>
                <w:sz w:val="14"/>
                <w:szCs w:val="14"/>
                <w:color w:val="auto"/>
              </w:rPr>
            </w:pPr>
          </w:p>
        </w:tc>
        <w:tc>
          <w:tcPr>
            <w:tcW w:w="74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 obligations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$19,016</w:t>
            </w:r>
          </w:p>
        </w:tc>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$ 19,016</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12,712</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4,133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2,911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and 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5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32,647</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$ 23,580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6,156</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2,911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a liability at March 31, 2013 of $2.8 million for uncertain tax positions, not included in the table above, that has been taken or is expected to be taken in various income tax returns. We expect to make a payment of $0.5 million in the next twelve months as a result of resolutions of certain tax positions.</w:t>
      </w:r>
    </w:p>
    <w:p>
      <w:pPr>
        <w:spacing w:after="0" w:line="8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for less than one year and aggregated approximately $19.0 million at March 31, 2013.</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 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Adjusted EBITDA, the profitability measure for our segment reporting, is defined as net income (loss)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7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788</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(11,196)</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$16,943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Tax (benefit) provision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(2,232)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(8,075)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1,970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6,470</w:t>
            </w: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5,730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charges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5,429</w:t>
            </w:r>
          </w:p>
        </w:tc>
        <w:tc>
          <w:tcPr>
            <w:tcW w:w="4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Fair value adjustments from purchase accounting</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2,293</w:t>
            </w:r>
          </w:p>
        </w:tc>
        <w:tc>
          <w:tcPr>
            <w:tcW w:w="4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cost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5,242</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12,007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7,888</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39,572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4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Free cash flow is a non-GAAP financial measure and should not be considered in isolation or as a substitute for financial information provided in accordance with GAAP. This non-GAAP financial measure may not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3" w:name="page34"/>
    <w:bookmarkEnd w:id="33"/>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cash provided by operating activities, the most directly comparable GAAP financial measure, to free cash flow:</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29"/>
        </w:trPr>
        <w:tc>
          <w:tcPr>
            <w:tcW w:w="506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5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operating activities</w:t>
            </w:r>
          </w:p>
        </w:tc>
        <w:tc>
          <w:tcPr>
            <w:tcW w:w="17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$(6,693)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$27,687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760" w:type="dxa"/>
            <w:vAlign w:val="bottom"/>
          </w:tcPr>
          <w:p>
            <w:pPr>
              <w:spacing w:after="0"/>
              <w:rPr>
                <w:sz w:val="18"/>
                <w:szCs w:val="18"/>
                <w:color w:val="auto"/>
              </w:rPr>
            </w:pP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(2,259)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264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In February 2013, the FASB issued ASU No. 2013-02, </w:t>
      </w:r>
      <w:r>
        <w:rPr>
          <w:rFonts w:ascii="Arial" w:cs="Arial" w:eastAsia="Arial" w:hAnsi="Arial"/>
          <w:sz w:val="16"/>
          <w:szCs w:val="16"/>
          <w:i w:val="1"/>
          <w:iCs w:val="1"/>
          <w:color w:val="auto"/>
        </w:rPr>
        <w:t>Other Comprehensive Income (Topic 220): Reporting of Amounts Reclassified Out of Accumulated</w:t>
      </w:r>
      <w:r>
        <w:rPr>
          <w:rFonts w:ascii="Arial" w:cs="Arial" w:eastAsia="Arial" w:hAnsi="Arial"/>
          <w:sz w:val="16"/>
          <w:szCs w:val="16"/>
          <w:color w:val="auto"/>
        </w:rPr>
        <w:t xml:space="preserve"> </w:t>
      </w:r>
      <w:r>
        <w:rPr>
          <w:rFonts w:ascii="Arial" w:cs="Arial" w:eastAsia="Arial" w:hAnsi="Arial"/>
          <w:sz w:val="16"/>
          <w:szCs w:val="16"/>
          <w:i w:val="1"/>
          <w:iCs w:val="1"/>
          <w:color w:val="auto"/>
        </w:rPr>
        <w:t>Other Comprehensive Income</w:t>
      </w:r>
      <w:r>
        <w:rPr>
          <w:rFonts w:ascii="Arial" w:cs="Arial" w:eastAsia="Arial" w:hAnsi="Arial"/>
          <w:sz w:val="16"/>
          <w:szCs w:val="16"/>
          <w:color w:val="auto"/>
        </w:rPr>
        <w:t>, an amendment of the FASB Accounting Standards Codification. The ASU requires an entity to provide information about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reclassified out of accumulated other comprehensive income by component. The entity is also required to disclose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to be reclassified in their entirety to net income not required by U.S. GAAP, the entity is required to cross-reference details to other disclosures required by U.S. GAAP that provide detail about those amounts. The ASU is effective prospectively for annual reporting periods beginning after December 15, 2012. This guidance is not expected to have a material impact to our consolidated financial statements.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in our exposure to market risk from June 30, 2012 to March 31, 2013.</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2013.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Rules 13c-15(f) and 15d-15(f) under the Exchange Act) that occurred during the quarter ended March 31, 2013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U.S. Department of Justice (“DOJ”) conducted an investigation into the conduct of certain former employees of PDI (which was acquired by the Company in connection with the acquisition of KOR Electronics on December 30, 2011) in the 2008-2009 time frame, asserting, among other things, that such conduct may have constituted a violation of the Procurement Integrity Act. On August 31, 2012, the DOJ and PDI entered into a settlement agreement related to the investigation pursuant to which the DOJ released PDI and its affiliates from any civil monetary claims relating to the alleged conduct. PDI did not admit liability for the alleged conduct in the settlement. We were indemnified with respect to this matter by the former shareholders of KOR Electronics pursuant to the Company’s merger agreement with KOR dated December 30, 2011.</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foregoing, we are subject to litigation, claims, investigations and audits arising from time to time in the ordinary course of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business. Although legal proceedings are inherently unpredictable, we believe that we have valid defenses with respect to those matters currently pending against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us and intend to defend our self vigorously. The outcome of these matters, individually and in the aggregate, is not expected to have a material impact on our cash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flows, results of operations, or financial position.</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2012. There have been no material changes from the factors disclosed in our 2012 Annual Report on Form 10-K filed on August 22, 2012, although we may disclose changes to such factors or disclose additional factors from time to time in our future filings with the Securities and Exchange Commission.</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400" w:type="dxa"/>
            <w:vAlign w:val="bottom"/>
          </w:tcPr>
          <w:p>
            <w:pPr>
              <w:ind w:left="30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400" w:type="dxa"/>
            <w:vAlign w:val="bottom"/>
          </w:tcPr>
          <w:p>
            <w:pPr>
              <w:ind w:left="30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400" w:type="dxa"/>
            <w:vAlign w:val="bottom"/>
          </w:tcPr>
          <w:p>
            <w:pPr>
              <w:ind w:left="300"/>
              <w:spacing w:after="0"/>
              <w:rPr>
                <w:sz w:val="20"/>
                <w:szCs w:val="20"/>
                <w:color w:val="auto"/>
              </w:rPr>
            </w:pPr>
            <w:r>
              <w:rPr>
                <w:rFonts w:ascii="Arial" w:cs="Arial" w:eastAsia="Arial" w:hAnsi="Arial"/>
                <w:sz w:val="18"/>
                <w:szCs w:val="18"/>
                <w:color w:val="auto"/>
                <w:w w:val="89"/>
              </w:rPr>
              <w:t>Certification of the Company’s Chief Executive Officer and Chief Financial Officer pursuant to Section 906 of the Sarbanes-Oxley Act of 2002</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Pr>
          <w:p>
            <w:pPr>
              <w:ind w:left="300"/>
              <w:spacing w:after="0"/>
              <w:rPr>
                <w:sz w:val="20"/>
                <w:szCs w:val="20"/>
                <w:color w:val="auto"/>
              </w:rPr>
            </w:pPr>
            <w:r>
              <w:rPr>
                <w:rFonts w:ascii="Arial" w:cs="Arial" w:eastAsia="Arial" w:hAnsi="Arial"/>
                <w:sz w:val="18"/>
                <w:szCs w:val="18"/>
                <w:color w:val="auto"/>
                <w:w w:val="92"/>
              </w:rPr>
              <w:t>The following materials from the Company’s Quarterly Report on the Form 10-Q for the quarter ended March 31, 2013 formatted in XBRL</w:t>
            </w:r>
          </w:p>
        </w:tc>
      </w:tr>
      <w:tr>
        <w:trPr>
          <w:trHeight w:val="216"/>
        </w:trPr>
        <w:tc>
          <w:tcPr>
            <w:tcW w:w="740" w:type="dxa"/>
            <w:vAlign w:val="bottom"/>
          </w:tcPr>
          <w:p>
            <w:pPr>
              <w:spacing w:after="0"/>
              <w:rPr>
                <w:sz w:val="18"/>
                <w:szCs w:val="18"/>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w w:val="93"/>
              </w:rPr>
              <w:t>(eXtensible Business Reporting Language): (i) the Consolidated Balance Sheets; (ii) the Consolidated Statements of Operations; (iii) the</w:t>
            </w:r>
          </w:p>
        </w:tc>
      </w:tr>
      <w:tr>
        <w:trPr>
          <w:trHeight w:val="222"/>
        </w:trPr>
        <w:tc>
          <w:tcPr>
            <w:tcW w:w="740" w:type="dxa"/>
            <w:vAlign w:val="bottom"/>
          </w:tcPr>
          <w:p>
            <w:pPr>
              <w:spacing w:after="0"/>
              <w:rPr>
                <w:sz w:val="19"/>
                <w:szCs w:val="19"/>
                <w:color w:val="auto"/>
              </w:rPr>
            </w:pPr>
          </w:p>
        </w:tc>
        <w:tc>
          <w:tcPr>
            <w:tcW w:w="10400" w:type="dxa"/>
            <w:vAlign w:val="bottom"/>
          </w:tcPr>
          <w:p>
            <w:pPr>
              <w:ind w:left="300"/>
              <w:spacing w:after="0"/>
              <w:rPr>
                <w:sz w:val="20"/>
                <w:szCs w:val="20"/>
                <w:color w:val="auto"/>
              </w:rPr>
            </w:pPr>
            <w:r>
              <w:rPr>
                <w:rFonts w:ascii="Arial" w:cs="Arial" w:eastAsia="Arial" w:hAnsi="Arial"/>
                <w:sz w:val="18"/>
                <w:szCs w:val="18"/>
                <w:color w:val="auto"/>
              </w:rPr>
              <w:t>Consolidated Statements of Cash Flows; and (iv)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40" w:hanging="219"/>
        <w:spacing w:after="0" w:line="286" w:lineRule="auto"/>
        <w:tabs>
          <w:tab w:leader="none" w:pos="200" w:val="left"/>
        </w:tabs>
        <w:rPr>
          <w:sz w:val="20"/>
          <w:szCs w:val="20"/>
          <w:color w:val="auto"/>
        </w:rPr>
      </w:pPr>
      <w:r>
        <w:rPr>
          <w:rFonts w:ascii="Arial" w:cs="Arial" w:eastAsia="Arial" w:hAnsi="Arial"/>
          <w:sz w:val="16"/>
          <w:szCs w:val="16"/>
          <w:color w:val="auto"/>
        </w:rPr>
        <w:t>+</w:t>
        <w:tab/>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ind w:left="220" w:right="160" w:hanging="212"/>
        <w:spacing w:after="0" w:line="261"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35" w:name="page36"/>
    <w:bookmarkEnd w:id="35"/>
    <w:p>
      <w:pPr>
        <w:jc w:val="center"/>
        <w:ind w:right="-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MERCURY SYSTEMS, INC.</w:t>
      </w:r>
    </w:p>
    <w:p>
      <w:pPr>
        <w:spacing w:after="0" w:line="17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May 10,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MERCURY SYSTEMS, INC.</w:t>
      </w:r>
    </w:p>
    <w:p>
      <w:pPr>
        <w:spacing w:after="0" w:line="225" w:lineRule="exact"/>
        <w:rPr>
          <w:sz w:val="20"/>
          <w:szCs w:val="20"/>
          <w:color w:val="auto"/>
        </w:rPr>
      </w:pPr>
    </w:p>
    <w:p>
      <w:pPr>
        <w:ind w:left="6860"/>
        <w:spacing w:after="0"/>
        <w:tabs>
          <w:tab w:leader="none" w:pos="834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Kevin M. Bisson</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500"/>
          </w:cols>
          <w:pgMar w:left="240" w:top="274" w:right="11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2013</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2013</w:t>
      </w:r>
    </w:p>
    <w:p>
      <w:pPr>
        <w:spacing w:after="0" w:line="212"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84"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In connection with the Quarterly Report of Mercury Systems, Inc. (formerly Mercury Computer Systems, Inc.) (the “Company”) on Form 10-Q for the period ended March 31, 2013 as filed with the Securities and Exchange Commission (the “Report”), we, Mark Aslett, President and Chief Executive Officer of the Company, and Kevin M.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2013</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4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upperLetter"/>
      <w:start w:val="8"/>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2019-12-06T19:42:36Z</dcterms:created>
  <dcterms:modified xsi:type="dcterms:W3CDTF">2019-12-06T19:42:36Z</dcterms:modified>
</cp:coreProperties>
</file>