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DECEMBER 31, 2013</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960" w:space="720"/>
            <w:col w:w="464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960" w:space="720"/>
            <w:col w:w="464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January 31, 2014: 33,251,547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PAGE</w:t>
            </w:r>
          </w:p>
        </w:tc>
      </w:tr>
      <w:tr>
        <w:trPr>
          <w:trHeight w:val="192"/>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74"/>
        </w:trPr>
        <w:tc>
          <w:tcPr>
            <w:tcW w:w="1940" w:type="dxa"/>
            <w:vAlign w:val="bottom"/>
          </w:tcPr>
          <w:p>
            <w:pPr>
              <w:spacing w:after="0"/>
              <w:rPr>
                <w:sz w:val="24"/>
                <w:szCs w:val="24"/>
                <w:color w:val="auto"/>
              </w:rPr>
            </w:pPr>
          </w:p>
        </w:tc>
        <w:tc>
          <w:tcPr>
            <w:tcW w:w="530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Consolidated Balance Sheets as of December 31, 2013 and June 30, </w:t>
              </w:r>
            </w:hyperlink>
            <w:r>
              <w:rPr>
                <w:rFonts w:ascii="Arial" w:cs="Arial" w:eastAsia="Arial" w:hAnsi="Arial"/>
                <w:sz w:val="18"/>
                <w:szCs w:val="18"/>
                <w:color w:val="0000FF"/>
                <w:w w:val="88"/>
              </w:rPr>
              <w:t>2013</w:t>
            </w:r>
          </w:p>
        </w:tc>
        <w:tc>
          <w:tcPr>
            <w:tcW w:w="3120" w:type="dxa"/>
            <w:vAlign w:val="bottom"/>
            <w:gridSpan w:val="4"/>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Consolidated Statements of Operations and Comprehensive Loss for the three and six months ended December 31,</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82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2013 and 2012</w:t>
              </w:r>
            </w:hyperlink>
          </w:p>
        </w:tc>
        <w:tc>
          <w:tcPr>
            <w:tcW w:w="160" w:type="dxa"/>
            <w:vAlign w:val="bottom"/>
          </w:tcPr>
          <w:p>
            <w:pPr>
              <w:spacing w:after="0"/>
              <w:rPr>
                <w:sz w:val="17"/>
                <w:szCs w:val="17"/>
                <w:color w:val="auto"/>
              </w:rPr>
            </w:pPr>
          </w:p>
        </w:tc>
        <w:tc>
          <w:tcPr>
            <w:tcW w:w="1020" w:type="dxa"/>
            <w:vAlign w:val="bottom"/>
            <w:gridSpan w:val="4"/>
          </w:tcPr>
          <w:p>
            <w:pPr>
              <w:jc w:val="right"/>
              <w:ind w:righ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Cash Flows for the six months ended December 31, 2013 and 2012</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574"/>
        </w:trPr>
        <w:tc>
          <w:tcPr>
            <w:tcW w:w="1940" w:type="dxa"/>
            <w:vAlign w:val="bottom"/>
          </w:tcPr>
          <w:p>
            <w:pPr>
              <w:spacing w:after="0"/>
              <w:rPr>
                <w:sz w:val="24"/>
                <w:szCs w:val="24"/>
                <w:color w:val="auto"/>
              </w:rPr>
            </w:pPr>
          </w:p>
        </w:tc>
        <w:tc>
          <w:tcPr>
            <w:tcW w:w="6860" w:type="dxa"/>
            <w:vAlign w:val="bottom"/>
            <w:tcBorders>
              <w:top w:val="single" w:sz="8" w:color="0000FF"/>
            </w:tcBorders>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Consolidated Financial Statements</w:t>
              </w:r>
            </w:hyperlink>
          </w:p>
        </w:tc>
        <w:tc>
          <w:tcPr>
            <w:tcW w:w="1560" w:type="dxa"/>
            <w:vAlign w:val="bottom"/>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196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5"/>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Legal Proceedings</w:t>
              </w:r>
            </w:hyperlink>
          </w:p>
        </w:tc>
        <w:tc>
          <w:tcPr>
            <w:tcW w:w="708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08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Exhibits</w:t>
              </w:r>
            </w:hyperlink>
          </w:p>
        </w:tc>
        <w:tc>
          <w:tcPr>
            <w:tcW w:w="300" w:type="dxa"/>
            <w:vAlign w:val="bottom"/>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760" w:type="dxa"/>
            <w:vAlign w:val="bottom"/>
            <w:gridSpan w:val="2"/>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Signatures</w:t>
              </w:r>
            </w:hyperlink>
          </w:p>
        </w:tc>
        <w:tc>
          <w:tcPr>
            <w:tcW w:w="7660" w:type="dxa"/>
            <w:vAlign w:val="bottom"/>
            <w:gridSpan w:val="12"/>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669"/>
        </w:trPr>
        <w:tc>
          <w:tcPr>
            <w:tcW w:w="194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3540" w:type="dxa"/>
            <w:vAlign w:val="bottom"/>
            <w:gridSpan w:val="7"/>
          </w:tcPr>
          <w:p>
            <w:pPr>
              <w:jc w:val="right"/>
              <w:ind w:right="52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80" w:type="dxa"/>
            <w:vAlign w:val="bottom"/>
          </w:tcPr>
          <w:p>
            <w:pPr>
              <w:spacing w:after="0"/>
              <w:rPr>
                <w:sz w:val="23"/>
                <w:szCs w:val="23"/>
                <w:color w:val="auto"/>
              </w:rPr>
            </w:pPr>
          </w:p>
        </w:tc>
        <w:tc>
          <w:tcPr>
            <w:tcW w:w="790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MERCURY SYSTEMS, INC.</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6"/>
        </w:trPr>
        <w:tc>
          <w:tcPr>
            <w:tcW w:w="680" w:type="dxa"/>
            <w:vAlign w:val="bottom"/>
          </w:tcPr>
          <w:p>
            <w:pPr>
              <w:spacing w:after="0"/>
              <w:rPr>
                <w:sz w:val="22"/>
                <w:szCs w:val="22"/>
                <w:color w:val="auto"/>
              </w:rPr>
            </w:pPr>
          </w:p>
        </w:tc>
        <w:tc>
          <w:tcPr>
            <w:tcW w:w="790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680" w:type="dxa"/>
            <w:vAlign w:val="bottom"/>
          </w:tcPr>
          <w:p>
            <w:pPr>
              <w:spacing w:after="0"/>
              <w:rPr>
                <w:sz w:val="18"/>
                <w:szCs w:val="18"/>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color w:val="auto"/>
                <w:w w:val="87"/>
              </w:rPr>
              <w:t>(In thousands, except share and per share data)</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39,126</w:t>
            </w: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w w:val="92"/>
              </w:rPr>
              <w:t>Accounts receivable, net of allowance for doubtful accounts of $3 and $33 at December 31, 2013 and June 30,</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2013, respectively</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30,498</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Unbilled receivables and costs in excess of billings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37,432</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11,672</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2,369</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146,301</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15,019</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34,866</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369,742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374,431</w:t>
            </w:r>
          </w:p>
        </w:tc>
      </w:tr>
      <w:tr>
        <w:trPr>
          <w:trHeight w:val="67"/>
        </w:trPr>
        <w:tc>
          <w:tcPr>
            <w:tcW w:w="858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7,999</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12,218</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Deferred revenues and customer advances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5,788</w:t>
            </w:r>
          </w:p>
        </w:tc>
      </w:tr>
      <w:tr>
        <w:trPr>
          <w:trHeight w:val="27"/>
        </w:trPr>
        <w:tc>
          <w:tcPr>
            <w:tcW w:w="68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8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gain on sale-leaseback</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3,242</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2,880</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45,930</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H)</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 shares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w w:val="92"/>
              </w:rPr>
              <w:t>Common stock, $0.01 par value; 85,000,000 shares authorized; 31,123,090 and 30,381,254 shares issued and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outstanding at December 31, 2013 and June 30, 2013, respectively</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231,711</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95,524</w:t>
            </w: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330,812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328,501</w:t>
            </w:r>
          </w:p>
        </w:tc>
      </w:tr>
      <w:tr>
        <w:trPr>
          <w:trHeight w:val="27"/>
        </w:trPr>
        <w:tc>
          <w:tcPr>
            <w:tcW w:w="68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8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369,742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374,431</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99,232</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32,232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59,507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61,270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37,962</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10,231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19,575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17,627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7"/>
        </w:trPr>
        <w:tc>
          <w:tcPr>
            <w:tcW w:w="65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53,546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56,225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(18,263)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(17,827)</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(11,984)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loss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29,995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30,107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30,820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29,995</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(11,984)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(12,084)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(3,301)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(benefit) for deferred income taxes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items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(6,312)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liabilities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(67,721)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other investing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(4,234)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employee stock plans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deferred financing and offering costs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acquired debt</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Decrease in restricted cash</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capital lease obligations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39,126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115,964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44,535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33,900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(received) during the period for: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disclosures—non-cash activities: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Capital lease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Share-based business combination consideration</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Mercury Systems, Inc. (the “Company” or “Mercury”) provides commercially developed, open sensor and Big Data processing systems, software and services for critical commercial, defense and intelligence applications. The Company delivers innovative solutions, rapid time-to-value and world-class service and support to our defense prime contractor customers. The Company's products and solutions have been deployed in more than 300 programs with over 25 different defense prime contractors. Key programs include Aegis, Patriot, Surface Electronic Warfare Improvement Program ("SEWIP"), F-15, Predator and Reaper. The Company also delivers services and solutions in support of the intelligence community. Mercury Systems operates across a broad spectrum of defense and intelligence programs and the Company delivers its solutions and services via three operating segments: (i) Mercury Commercial Electronics ("MCE"); (ii) Mercury Defense Systems ("MDS") and; (iii) Mercury Intelligence Systems ("MIS").</w:t>
      </w:r>
    </w:p>
    <w:p>
      <w:pPr>
        <w:spacing w:after="0" w:line="5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MCE delivers innovative, commercially developed, open sensor and Big Data processing systems, software and services that include embedded multi-computing and embedded sensor processing. Mercury's products include, but are not limited to, embedded processing boards, digital receiver boards, and chassis-based systems using air, conduction, and proprietary cooling technologies. MCE has added capabilities around radio frequency ("RF") and microwave technologies, including tuners, converters, transceivers, switch filters, and power amplifiers and limiters, as well as emerging new manufacturing capabilities on a more scalable basis. MDS leverages commercially available technologies and solutions (or “building blocks”) from the Company's MCE business. MDS leverages this technology to develop integrated sensor processing subsystems and capabilities, for the C4ISR (command, control, communications, computers, intelligence, surveillance and reconnaissance), electronic warfare ("EW"), electronic counter measures ("ECM"), signals intelligence ("SIGINT") and radar test and simulation markets. MIS delivers Big Data processing capabilities, software data processing solutions and predictive analytics capabilities to address intelligence community and Department of Defense ("DoD") mission needs. These three operating segments allow the Company to deliver capabilities that combine technology building blocks, deep domain expertise in the defense sector and critical solution areas, and specialized skills in serving the DoD and the intelligence community.</w:t>
      </w:r>
    </w:p>
    <w:p>
      <w:pPr>
        <w:spacing w:after="0" w:line="20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2013 which are contained in the Company’s Annual Report on Form 10-K filed with the Securities and Exchange Commission (“SEC”) on August 16, 2013. The results for the three and six months ended December 31, 2013 are not necessarily indicative of the results to be expected for the full fiscal year.</w:t>
      </w:r>
    </w:p>
    <w:p>
      <w:pPr>
        <w:spacing w:after="0" w:line="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is comprised of the following three operating segments: MCE, MDS and MIS. The Company reports MCE as a standalone reportable segment and has aggregated MDS and MIS to form the reportable segment Mercury Defense and Intelligence Systems (“MDIS”). During the third quarter of fiscal 2013, the Company redefined its operating and reportable segments. The Company reclassified the segment data for the prior periods to conform to the current year's presentation. None of these changes impact the Company’s previously reported consolidated financial results. See Note K of the Notes to Consolidated Financial Statements for further discussion.</w:t>
      </w:r>
    </w:p>
    <w:p>
      <w:pPr>
        <w:spacing w:after="0" w:line="8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 xml:space="preserve">The Company relies upon FASB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to account for its revenue transactions. Revenue from sales are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reimbursed by the customer are included in revenue and cost of revenue.</w:t>
      </w:r>
    </w:p>
    <w:p>
      <w:pPr>
        <w:spacing w:after="0" w:line="6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53% and 40% of total revenues in the three and six months ended December 31, 2013, respectively. Total revenue recognized under multiple-deliverable revenue arrangements was 33% and 31% of total revenues in the three and six months ended December 31, 2012, respectively.</w:t>
      </w:r>
    </w:p>
    <w:p>
      <w:pPr>
        <w:spacing w:after="0" w:line="8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3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6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ind w:right="760" w:firstLine="432"/>
        <w:spacing w:after="0" w:line="34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ind w:right="20" w:firstLine="432"/>
        <w:spacing w:after="0" w:line="269"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When adjustments in estimated contract costs are identified, such revisions may result in current period adjustments to earnings applicable to performance in prior periods.</w:t>
      </w:r>
    </w:p>
    <w:p>
      <w:pPr>
        <w:spacing w:after="0" w:line="7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238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652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30,820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29,995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30,988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30,107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30,820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29,995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Equity instruments to purchase 3,871 shares of common stock were not included in the calculation of diluted net earnings per share for the three and six months ended December 31, 2013, because the equity instruments were anti-dilutive. Equity instruments to purchase 4,301 shares of common stock were not included in the calculation of diluted net earnings per share for the three and six months ended December 31, 2012, because the equity instruments were anti-dilutive.</w:t>
      </w:r>
    </w:p>
    <w:p>
      <w:pPr>
        <w:spacing w:after="0" w:line="21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 inputs to those valuation techniques are observable or</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117"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December 31,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ind w:left="774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87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2013</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bills and 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23,026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cash</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June 30, 2013</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37"/>
        </w:trPr>
        <w:tc>
          <w:tcPr>
            <w:tcW w:w="90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33,140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37,432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the carrying amount of goodwill for the six months ended December 31,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MDS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MIS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176,521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Goodwill adjustment for the Micronetics acquisition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8,970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176,612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six months ended December 31, 2013, there were no triggering events, as defined by FASB ASC 350, which required an interim goodwill impairment test. The Company performs its annual goodwill impairment test in the fourth quarter of each fiscal year. The goodwill adjustment for the Micronetics acquisition is the result of changes in fair value estimates derived from additional information gained during the measurement period which ended August 7, 2013.</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MDS and MIS.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6" w:right="239" w:bottom="1440" w:gutter="0" w:footer="0" w:header="0"/>
        </w:sectPr>
      </w:pPr>
    </w:p>
    <w:bookmarkStart w:id="9" w:name="page10"/>
    <w:bookmarkEnd w:id="9"/>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2013</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MCE restructuring charges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December 31,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the finalization of severance agreements and unused outplacement services.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All of the restructuring charges are within the MCE reportable segment and classified as operating expenses in the consolidated statements of operations and comprehensive loss and any remaining obligations are expected to be paid within the next twelve months. The remaining restructuring liability is classified as accrued expenses in the consolidated balance sheets. On January 27, 2014, the Company announced a restructuring plan that is being implemented as part of the final phase of integration activities relating to the Company’s recent acquisitions. See Note L of the Notes to Consolidated Financial Statements for further discussion.</w:t>
      </w:r>
    </w:p>
    <w:p>
      <w:pPr>
        <w:spacing w:after="0" w:line="21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Company recorded a tax benefit of $593 and $2,192 on a loss before taxes of $1,638 and $6,976 for the three months ended December 31, 2013 and 2012, respectively. The Company recorded a tax benefit of $1,872 and $5,843 on a loss before taxes of $5,173 and $17,827 for the six months ended December 31, 2013 and 2012. Income tax benefit for the three and six months ended December 31, 2013 differed from the federal statutory rate primarily due to the impact of federal research and development tax credits, Section 199 manufacturing deduction and stock compensation. Income tax benefit for the three and six months ended December 31, 2012 differed from the federal statutory rate primarily due to the impact of a Section 199 manufacturing deduction, state taxes and stock compensation. During the three and six months ended December 31, 2013, the Company included an income tax benefit of approximately $231 for an immaterial error that was subsequently corrected related to the Company's June 30, 2013 and 2012 income taxes payable. The Company concluded that the impact of the correction was neither quantitatively nor qualitatively material to the prior fiscal years ended June 30, 2013 and 2012 and each of its respective quarters ended during these fiscal years.</w:t>
      </w:r>
    </w:p>
    <w:p>
      <w:pPr>
        <w:spacing w:after="0" w:line="7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No material changes in the Company’s unrecognized tax positions occurred during the three and six months ended December 31, 2013. The Company estimates that the unrecognized tax benefits of up to $117 could be realized within the next 12 months as a result of resolutions of tax positions and the expiration of applicable statutes of limitations.</w:t>
      </w:r>
    </w:p>
    <w:p>
      <w:pPr>
        <w:spacing w:after="0" w:line="20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2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As of December 31, 2013, the Company has entered into non-cancelable purchase commitments for certain inventory components and services used in its normal operations. The purchase commitments covered by these agreements are for less than one year and aggregate to $18,036.</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consolidated EBITDA for the four quarters ended December 31, 2013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7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73"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3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6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as of December 31, 2013, the Company is in compliance with a maximum leverage ratio of 3.50x and a minimum interest coverage ratio of 3.0x. In addition, the Credit Agreement contains certain customary representations and warranties, and events of default.</w:t>
      </w:r>
    </w:p>
    <w:p>
      <w:pPr>
        <w:spacing w:after="0" w:line="70"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As of December 31, 2013, there was $57,105 of borrowing capacity available. There were no borrowings outstanding on the Credit Agreement; however, there were outstanding letters of credit of $4,299. The Company was in compliance with all covenants and conditions under the Credit Agreement.</w:t>
      </w:r>
    </w:p>
    <w:p>
      <w:pPr>
        <w:spacing w:after="0" w:line="14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8,018 shares at December 31, 2013. On November 7, 2013, the Company's number of shares authorized for issuance under the 2005 Plan increased by 254 shares as a result of forfeitures, cancellations and/or terminations from the Company's 1997 Stock Option Plan (the "1997 Plan"). The 2005 Plan will be increased by any future cancellations, forfeitures or terminations (other than by exercise)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1,095 shares available for future grant under the 2005 Plan at December 31,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46" w:right="259" w:bottom="1440" w:gutter="0" w:footer="0" w:header="0"/>
        </w:sectPr>
      </w:pPr>
    </w:p>
    <w:bookmarkStart w:id="11" w:name="page12"/>
    <w:bookmarkEnd w:id="11"/>
    <w:p>
      <w:pPr>
        <w:ind w:right="200"/>
        <w:spacing w:after="0" w:line="277" w:lineRule="auto"/>
        <w:rPr>
          <w:sz w:val="20"/>
          <w:szCs w:val="20"/>
          <w:color w:val="auto"/>
        </w:rPr>
      </w:pPr>
      <w:r>
        <w:rPr>
          <w:rFonts w:ascii="Arial" w:cs="Arial" w:eastAsia="Arial" w:hAnsi="Arial"/>
          <w:sz w:val="18"/>
          <w:szCs w:val="18"/>
          <w:color w:val="auto"/>
        </w:rPr>
        <w:t>as defined in the ESPP. There were 55 and 52 shares issued under the ESPP during the six months ended December 31, 2013 and 2012, respectively. Shares available for future purchase under the ESPP totaled 201 at December 31,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2,070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2013</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1,651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12.55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6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3"/>
                <w:szCs w:val="13"/>
                <w:color w:val="auto"/>
              </w:rPr>
            </w:pPr>
          </w:p>
        </w:tc>
        <w:tc>
          <w:tcPr>
            <w:tcW w:w="14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Pr>
          <w:p>
            <w:pPr>
              <w:jc w:val="right"/>
              <w:ind w:right="517"/>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2013</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10.23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color w:val="auto"/>
        </w:rPr>
        <w:t>The Company recognized the full expense of its share-based payment plans in the consolidated statements of operations for the three and six months ended December 31, 2013 and 2012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statements of operations: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Pr>
          <w:p>
            <w:pPr>
              <w:spacing w:after="0"/>
              <w:rPr>
                <w:sz w:val="16"/>
                <w:szCs w:val="16"/>
                <w:color w:val="auto"/>
              </w:rPr>
            </w:pPr>
          </w:p>
        </w:tc>
        <w:tc>
          <w:tcPr>
            <w:tcW w:w="222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4"/>
              </w:rPr>
              <w:t>Six Months Ended December 31,</w:t>
            </w:r>
          </w:p>
        </w:tc>
      </w:tr>
      <w:tr>
        <w:trPr>
          <w:trHeight w:val="264"/>
        </w:trPr>
        <w:tc>
          <w:tcPr>
            <w:tcW w:w="65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3,609</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4,359</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2,754</w:t>
            </w:r>
          </w:p>
        </w:tc>
      </w:tr>
      <w:tr>
        <w:trPr>
          <w:trHeight w:val="27"/>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2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is presently organized in three operating segments. The following operating segments were determined based upon the nature of the products offered to customers, the market characteristics of each operating segment and the Company’s management structure:</w:t>
      </w:r>
    </w:p>
    <w:p>
      <w:pPr>
        <w:spacing w:after="0" w:line="79" w:lineRule="exact"/>
        <w:rPr>
          <w:sz w:val="20"/>
          <w:szCs w:val="20"/>
          <w:color w:val="auto"/>
        </w:rPr>
      </w:pPr>
    </w:p>
    <w:p>
      <w:pPr>
        <w:ind w:left="1140" w:right="200" w:hanging="565"/>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innovative, commercially developed, open sensor and Big Data processing systems, software and services for critical commercial,</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92" w:right="239" w:bottom="1440" w:gutter="0" w:footer="0" w:header="0"/>
          <w:type w:val="continuous"/>
        </w:sectPr>
      </w:pPr>
    </w:p>
    <w:bookmarkStart w:id="12" w:name="page13"/>
    <w:bookmarkEnd w:id="12"/>
    <w:p>
      <w:pPr>
        <w:ind w:left="1140" w:right="140"/>
        <w:spacing w:after="0" w:line="304" w:lineRule="auto"/>
        <w:rPr>
          <w:sz w:val="20"/>
          <w:szCs w:val="20"/>
          <w:color w:val="auto"/>
        </w:rPr>
      </w:pPr>
      <w:r>
        <w:rPr>
          <w:rFonts w:ascii="Arial" w:cs="Arial" w:eastAsia="Arial" w:hAnsi="Arial"/>
          <w:sz w:val="18"/>
          <w:szCs w:val="18"/>
          <w:color w:val="auto"/>
        </w:rPr>
        <w:t>defense and intelligence applications. MCE delivers solutions that are secure and based upon open architectures and widely adopted industry standards. MCE's products include, but are not limited to, embedded processing boards, digital receiver boards, chassis-based systems using air, conduction, and proprietary cooling technologies and RF and microwave technologies, including tuners, converters, transceivers, switch filters, and power amplifiers and limiters. MCE delivers rapid time-to-value and world-class service and support to our commercial and defense prime contractor customers.</w:t>
      </w:r>
    </w:p>
    <w:p>
      <w:pPr>
        <w:spacing w:after="0" w:line="53" w:lineRule="exact"/>
        <w:rPr>
          <w:sz w:val="20"/>
          <w:szCs w:val="20"/>
          <w:color w:val="auto"/>
        </w:rPr>
      </w:pPr>
    </w:p>
    <w:p>
      <w:pPr>
        <w:ind w:left="1140" w:right="60" w:hanging="565"/>
        <w:spacing w:after="0" w:line="276"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Mercury Defense Systems (“MDS”): this operating segment delivers innovative, open sensor processing solutions to key defense prime contractors leveraging commercially available technologies and solutions from our MCE business.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MDS's products include, but are not limited to, Digital Radio Frequency Memory ("DRFM") jammers and radar environment simulators.</w:t>
      </w:r>
    </w:p>
    <w:p>
      <w:pPr>
        <w:spacing w:after="0" w:line="64" w:lineRule="exact"/>
        <w:rPr>
          <w:rFonts w:ascii="Arial" w:cs="Arial" w:eastAsia="Arial" w:hAnsi="Arial"/>
          <w:sz w:val="17"/>
          <w:szCs w:val="17"/>
          <w:color w:val="auto"/>
        </w:rPr>
      </w:pPr>
    </w:p>
    <w:p>
      <w:pPr>
        <w:ind w:left="1140" w:right="420" w:hanging="565"/>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Mercury Intelligence Systems (“MIS”): this operating segment delivers technologically advanced hardware and software data processing solutions and predictive analytics capabilities to address the intelligence community and Department of Defense mission needs.</w:t>
      </w:r>
    </w:p>
    <w:p>
      <w:pPr>
        <w:spacing w:after="0" w:line="1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Company’s operating segments were evaluated in accordance with FASB ASC 280- “Segment Reporting” in order to determine which operating segments qualified as reportable segments. The Company considered qualitative factors, including the economic characteristics of each operating segment to determine if any of its three operating segments qualified for aggregation into fewer reportable segments.</w:t>
      </w:r>
    </w:p>
    <w:p>
      <w:pPr>
        <w:spacing w:after="0" w:line="5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Company’s evaluation of the economic characteristics of its operating segments included comparisons of revenues and applicable growth rates, gross margins, operating margins, future projections, and additional non-GAAP financial measurements which indicate that MDS and MIS have similar economic characteristics. The Company also evaluated the following qualitative factors in accordance with FASB ASC 280 paragraph 10-50-11: the nature of products and services, the corresponding production processes, the types of customers, distribution methods for products and services and the nature of the corresponding regulatory environment associated with its operating segments. The Company determined each of these factors are similar for both the MDS and MIS operating segments and supports the aggregation of MDS and MIS into one reportable segment, Mercury Defense and Intelligence Systems (“MDIS”).</w:t>
      </w:r>
    </w:p>
    <w:p>
      <w:pPr>
        <w:spacing w:after="0" w:line="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analyzed quantitative thresholds of each reportable segment including but not limited to reported revenues, including sales to external customers and intersegment sales or transfers, reported profits or losses, and total assets of each operating segment. The Company determined that both MCE and MDIS met the quantitative thresholds for reporting.</w:t>
      </w:r>
    </w:p>
    <w:p>
      <w:pPr>
        <w:spacing w:after="0" w:line="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During the third quarter of fiscal 2013, the Company redefined its operating and reportable segments. The Company reclassified the segment data for the prior periods presented below to conform to the current year’s presentation.</w:t>
      </w:r>
    </w:p>
    <w:p>
      <w:pPr>
        <w:spacing w:after="0" w:line="62"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4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Adjusted EBITDA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Prior year’s amounts have been presented to reflect the current profitability measures 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MCE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MDIS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06"/>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6"/>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33"/>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42,305</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53,090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45,038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53,090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DECEMBER 31, 2012</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85,793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21,733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107,030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89,640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21,733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107,030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SIX MONTHS ENDED</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DECEMBER 31, 2012</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99,232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the Company’s net loss, the most directly comparable GAAP financial measure, to its adjusted EBITDA: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Pr>
          <w:p>
            <w:pPr>
              <w:spacing w:after="0"/>
              <w:rPr>
                <w:sz w:val="16"/>
                <w:szCs w:val="16"/>
                <w:color w:val="auto"/>
              </w:rPr>
            </w:pPr>
          </w:p>
        </w:tc>
        <w:tc>
          <w:tcPr>
            <w:tcW w:w="22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4"/>
              </w:rPr>
              <w:t>Six Months Ended December 31,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7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760" w:type="dxa"/>
            <w:vAlign w:val="bottom"/>
            <w:vMerge w:val="restart"/>
          </w:tcPr>
          <w:p>
            <w:pPr>
              <w:jc w:val="right"/>
              <w:ind w:right="6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0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52,509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53,090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53,090</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73"/>
        </w:trPr>
        <w:tc>
          <w:tcPr>
            <w:tcW w:w="470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THREE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2012</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45,953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49,804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48,702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49,804</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SIX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105,178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107,030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106,676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107,030</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SIX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2012</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93,588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99,232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97,515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99,232</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14,986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15,019</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38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Three Months Ended December 31,</w:t>
            </w:r>
          </w:p>
        </w:tc>
        <w:tc>
          <w:tcPr>
            <w:tcW w:w="22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97"/>
              </w:rPr>
              <w:t>Six Months Ended December 31,</w:t>
            </w:r>
          </w:p>
        </w:tc>
      </w:tr>
      <w:tr>
        <w:trPr>
          <w:trHeight w:val="264"/>
        </w:trPr>
        <w:tc>
          <w:tcPr>
            <w:tcW w:w="678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Northrop Grumman 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37"/>
        </w:trPr>
        <w:tc>
          <w:tcPr>
            <w:tcW w:w="67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While the Company typically has customers from which it derives 10% or more of its revenue, the sales to each of these customers are spread across multiple programs and platforms. For the three and six months ended December 31, 2013, only one program, Aegis, individually comprised more than 10% of the Company's revenue at 27% and 16% , respectively. For the three and six months ended December 31, 2012, no single program comprised 10% or more of the Company's revenue.</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92" w:right="239" w:bottom="1440" w:gutter="0" w:footer="0" w:header="0"/>
          <w:type w:val="continuous"/>
        </w:sectPr>
      </w:pPr>
    </w:p>
    <w:bookmarkStart w:id="15" w:name="page16"/>
    <w:bookmarkEnd w:id="15"/>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January 27, 2014, the Company announced a restructuring plan that is being implemented as part of the final phase of integration activities relating to the Company’s recent acquisitions. This integration plan includes the consolidation of manufacturing facilities, centralization of administrative functions using common systems and processes and realignment of research and development resources. The Company expects to incur approximately $4,900 of restructuring charges in the second half of fiscal 2014 associated with this integration plan. For the third quarter of fiscal 2014, the Company anticipates incurring restructuring charges of $3,325 associated with involuntary separation costs related to a reduction in force which eliminated 54 positions largely in engineering, manufacturing and administrative functions. The estimated charges in the second half of fiscal 2014 will primarily affect the MCE reportable segment. The Company expects to incur approximately $4,200 of restructuring charges in fiscal 2015 related to the integration plan, which is expected to be completed by the end of fiscal 2015.</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823" w:right="359" w:bottom="1440" w:gutter="0" w:footer="0" w:header="0"/>
        </w:sectPr>
      </w:pPr>
    </w:p>
    <w:bookmarkStart w:id="16" w:name="page17"/>
    <w:bookmarkEnd w:id="16"/>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“potential,” and similar expressions are intended to identify forward-looking statements regarding events, conditions and financial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and amounts of such funding,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2013.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Mercury Systems, Inc. (the "Company" or "Mercury") provides commercially developed, open sensor and Big Data processing systems, software and services for critical commercial, defense and intelligence applications. We deliver innovative solutions, rapid time-to-value and world-class service and support to our defense prime contractor customers. Our products and solutions have been deployed in more than 300 programs with over 25 different defense prime contractors. Key programs include Aegis, Patriot, Surface Electronic Warfare Improvement Program ("SEWIP"), F-15, Predator and Reaper. We also deliver services and solutions in support of the intelligence community. Mercury operates across a broad spectrum of defense and intelligence programs and we deliver our solutions and services via three operating segments: (i) Mercury Commercial Electronics (“MCE”); (ii) Mercury Defense Systems (“MDS”) and; (iii) Mercury Intelligence Systems (“MIS”).</w:t>
      </w:r>
    </w:p>
    <w:p>
      <w:pPr>
        <w:spacing w:after="0" w:line="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December 31, 2013, we had 744 employees. Our revenue, net loss and adjusted EBITDA for the three month period ended December 31, 2013 were $53.1 million, $(1.0) million, and $5.1 million, respectively. Our revenue, net loss and adjusted EBITDA for the six month period ended December 31, 2013 were $107.0 million, $(3.3) million, and $8.7 million, respectively. See the Non-GAAP Financial Measures section for a reconciliation of our net loss to adjusted EBITDA.</w:t>
      </w:r>
    </w:p>
    <w:p>
      <w:pPr>
        <w:spacing w:after="0" w:line="7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and Intelligence Systems ("MDIS"). We combined the MDS and MIS businesses as they both entail similar products and services and have a similar customer base. See below for a description of our two reportable segments:</w:t>
      </w:r>
    </w:p>
    <w:p>
      <w:pPr>
        <w:spacing w:after="0" w:line="7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Mercury Commercial Electronics, </w:t>
      </w:r>
      <w:r>
        <w:rPr>
          <w:rFonts w:ascii="Arial" w:cs="Arial" w:eastAsia="Arial" w:hAnsi="Arial"/>
          <w:sz w:val="17"/>
          <w:szCs w:val="17"/>
          <w:color w:val="auto"/>
        </w:rPr>
        <w:t>or MCE, delivers innovative, commercially developed, open sensor and Big Data processing systems for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defense and intelligence applications. We deliver solutions that are secure and based upon open architectures and widely adopted industry standards. MCE's products include, but are not limited to, embedded processing boards, digital receiver boards, chassis-based systems using air, conduction, and proprietary cooling technologies and RF and microwave technologies, including tuners, converters, transceivers, switch filters, and power amplifiers and limiters. We deliver rapid time-to-value and world-class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our RF and microwave solutions to market on a more scalable basis.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December 31, 2013, MCE accounted for 80% of our total net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40" w:firstLine="405"/>
        <w:spacing w:after="0" w:line="271" w:lineRule="auto"/>
        <w:rPr>
          <w:sz w:val="20"/>
          <w:szCs w:val="20"/>
          <w:color w:val="auto"/>
        </w:rPr>
      </w:pPr>
      <w:r>
        <w:rPr>
          <w:rFonts w:ascii="Arial" w:cs="Arial" w:eastAsia="Arial" w:hAnsi="Arial"/>
          <w:sz w:val="17"/>
          <w:szCs w:val="17"/>
          <w:i w:val="1"/>
          <w:iCs w:val="1"/>
          <w:color w:val="auto"/>
        </w:rPr>
        <w:t xml:space="preserve">Mercury Defense and Intelligence Systems, </w:t>
      </w:r>
      <w:r>
        <w:rPr>
          <w:rFonts w:ascii="Arial" w:cs="Arial" w:eastAsia="Arial" w:hAnsi="Arial"/>
          <w:sz w:val="17"/>
          <w:szCs w:val="17"/>
          <w:color w:val="auto"/>
        </w:rPr>
        <w:t>or MDIS, leverages the technology building blocks developed within MCE for key solutions required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prime contractor customers. This segment represents an aggregation of Mercury Defense Systems ("MDS") and Mercury Intelligence Systems ("MIS"). Technology building blocks from MCE are deployed as part of solutions that fall into the areas of electronic warfare ("EW"), electronic counter measures ("ECM"), signals intelligence ("SIGINT"), electro optical/infrared, and radar test and simulation. Most of this work is done with Defense Contract Audit Agency (“DCAA”) oversight on behalf of one or more of our prime contractor customers and U.S. Department of Defense agencies. MDIS's products include, but are not limited to, Digital Radio Frequency Memory ("DRFM") jammers and radar environment simulators. MDIS also provides analyst and systems engineering support, also under DCAA oversight, to the intelligence community. This professional services work falls into the critical areas of Big Data processing, predictive analytics and multi-intelligence analysis.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December 31, 2013, MDIS accounted for 20% of our total net revenues.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121"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On January 27, 2014, the Company announced a restructuring plan that is being implemented as part of the final phase of integration activities relating to the Company’s recent acquisitions. This integration plan includes the consolidation of manufacturing facilities, centralization of administrative functions using common systems and processes and realignment of research and development resources. The Company expects to incur approximately $4.9 million of restructuring charges in the second half of fiscal 2014 associated with this integration plan. For the third quarter of fiscal 2014, the Company anticipates incurring restructuring charges of $3.3 million associated with involuntary separation costs related to a reduction in force which eliminated 54 positions largely in engineering, manufacturing and administrative functions. The estimated charges in the second half of fiscal 2014 will primarily affect the MCE reportable segment. The Company expects to incur approximately $4.2 million of restructuring charges in fiscal 2015 related to the integration plan, which is expected to be completed by the end of fiscal 2015. The Company anticipates to generate gross annualized savings of $16 million starting in fiscal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2013 compared to the three months ended December 31, 2012</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As a % of</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3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Total Net</w:t>
            </w:r>
          </w:p>
        </w:tc>
        <w:tc>
          <w:tcPr>
            <w:tcW w:w="14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December 31, 2012</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Revenue</w:t>
            </w:r>
          </w:p>
        </w:tc>
        <w:tc>
          <w:tcPr>
            <w:tcW w:w="1460" w:type="dxa"/>
            <w:vAlign w:val="bottom"/>
            <w:gridSpan w:val="4"/>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60" w:type="dxa"/>
            <w:vAlign w:val="bottom"/>
            <w:tcBorders>
              <w:bottom w:val="single" w:sz="8" w:color="CCEEFF"/>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2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50.9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Tax benefit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CCEEFF"/>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December 31, 2013</w:t>
            </w:r>
          </w:p>
        </w:tc>
        <w:tc>
          <w:tcPr>
            <w:tcW w:w="100" w:type="dxa"/>
            <w:vAlign w:val="bottom"/>
          </w:tcPr>
          <w:p>
            <w:pPr>
              <w:spacing w:after="0"/>
              <w:rPr>
                <w:sz w:val="24"/>
                <w:szCs w:val="24"/>
                <w:color w:val="auto"/>
              </w:rPr>
            </w:pPr>
          </w:p>
        </w:tc>
        <w:tc>
          <w:tcPr>
            <w:tcW w:w="14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2012</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MDIS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14,064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5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53,090</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49,804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3,286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Total revenues increased $3.3 million, or 7%, to $53.1 million during the three months ended December 31, 2013 as compared to the comparable period in fiscal 2013. This increase was driven by higher defense sales of $5.3 million, partially offset by lower commercial sales of $2.0 million. The increase in total revenues is primarily attributed to a $13.5 million increase in the Aegis program. This increase is offset by lower commercial revenues, as well as lower revenues from international customers, including foreign military sales through our prime customers and direct sales to non-U.S. based customers. International sales decreased from $11.7 million in the three months ended December 31, 2012 to $9.3 million for the three months ended December 31, 2013. The key driver of the decrease in international revenues was primarily from the Asia Pacific region.</w:t>
      </w:r>
    </w:p>
    <w:p>
      <w:pPr>
        <w:spacing w:after="0" w:line="7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Net MCE revenues increased $5.1 million, or 14%, during the three months ended December 31, 2013 as compared to the same period in the prior fiscal year. This increase was primarily driven by higher defense sales of $7.1 million related to increases from the Aegis and Airborne Signals Intelligence Payload ("ASIP") programs, partially offset by lower RF components and unmanned aerial vehicle ("UAV") program related revenues, and a $2.0 million decrease in commercial sales.</w:t>
      </w:r>
    </w:p>
    <w:p>
      <w:pPr>
        <w:spacing w:after="0" w:line="79"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Net MDIS revenues decreased $3.5 million, or 25%, during the three months ended December 31, 2013 as compared to the same period in the previous fiscal year. This decrease was primarily driven by lower revenues related to a DRFM jammer program and lower revenues due to customer funding delays.</w:t>
      </w:r>
    </w:p>
    <w:p>
      <w:pPr>
        <w:spacing w:after="0" w:line="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right="260" w:firstLine="432"/>
        <w:spacing w:after="0" w:line="302" w:lineRule="auto"/>
        <w:rPr>
          <w:sz w:val="20"/>
          <w:szCs w:val="20"/>
          <w:color w:val="auto"/>
        </w:rPr>
      </w:pPr>
      <w:r>
        <w:rPr>
          <w:rFonts w:ascii="Arial" w:cs="Arial" w:eastAsia="Arial" w:hAnsi="Arial"/>
          <w:sz w:val="16"/>
          <w:szCs w:val="16"/>
          <w:color w:val="auto"/>
        </w:rPr>
        <w:t>Gross margin was 47% for the three months ended December 31, 2013, as compared to 35% gross margin achieved during the same period in fiscal 2013. The higher gross margin between years was due to a more favorable product mix, with increased sales in our higher margin digital signal processing products within MCE, including $2.3 million in royalty revenues at 100% margin. In addition, for the three months ended December 31, 2012 there was a $1.3 million non-recurring charge for a fair value adjustment from purchase accounting resulting from the Micronetics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Selling, general and administrative expenses increased $0.2 million, or 1%, to $14.8 million during the three months ended December 31, 2013, compared to $14.6 million during the comparable period in fiscal 2013. The increase was primarily due to an increase in employee stock compensation expense. Selling, general and administrative expenses decreased as a percentage of revenues to 27.8% during the three months ended December 31, 2013 from 29.3% during the same period in fiscal 2013 due to higher revenues in the second quarter of fiscal 2014 as compared to the comparable period in fiscal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Research and development expenses increased $2.6 million, or 35%, to $10.2 million during the three months ended December 31, 2013, compared to $7.6 million during the comparable period in fiscal 2013. The increase was primarily due to lower customer funded development and higher prototype expenses between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Amortization of acquired intangible assets decreased $0.3 million, to $1.9 million for the three months ended December 31, 2013 as compared to $2.2 million during the comparable period in fiscal 2013, primarily due to a portion of the Micronetics related intangible assets being fully amortized during the first quarter of fiscal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Restructuring and other charges decreased to $0.1 million during the three months ended December 31, 2013, as compared to $0.2 million during the comparable period in fiscal 2013. The charges were primarily associated with facility space that was vacated in each period. In the second quarter of fiscal 2014 we opened our Advanced Microelectronics Center ("AMC") in Hudson, New Hampshire and transferred operations from our Salem, New Hampshire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Other income, net increased to $0.4 million during the three months ended December 31, 2013, as compared to $0.1 million for the same period in fiscal 2013. The increase was a result of foreign currency exchange gains during fiscal 2014 compared to losses during fiscal 2013 primarily driven by changes in the Japanese yen. Other income, net consists of $0.3 million in amortization of the gain on the sale leaseback of our corporate headquarters located in Chelmsford, Massachusetts and foreign currency exchange gains and losses. Interest income and interest expense were de minimis.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recorded an income tax benefit of $0.6 million during the three months ended December 31, 2013 as compared to a $2.2 million income tax benefit for the comparable period in the prior fiscal year. Our income tax benefit for the three months ended December 31, 2013 differed from the federal statutory tax rate of 35% primarily due to the impact of federal research and development tax credits, Section 199 manufacturing deduction and stock compensation. Our effective tax rate during the comparable period in fiscal 2013 also differed from the federal statutory rate primarily due to the impact of the Section 199 manufacturing deduction, state taxes and stock compensation.</w:t>
      </w:r>
    </w:p>
    <w:p>
      <w:pPr>
        <w:spacing w:after="0" w:line="8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of December 31, 2013, we had approximately $3.2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We have concluded that no valuation allowance should be recorded against our net federal deferred tax assets at December 31,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increased $4.4 million during the three months ended December 31, 2013 to $4.1 million as compared to $(0.3) million for the comparable period in fiscal 2013. The increase in adjusted EBITDA is driven by higher revenues of $5.1 million primarily from defense programs, coupled with higher gross margins.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0" w:name="page21"/>
    <w:bookmarkEnd w:id="20"/>
    <w:p>
      <w:pPr>
        <w:ind w:right="80" w:firstLine="432"/>
        <w:spacing w:after="0" w:line="264" w:lineRule="auto"/>
        <w:rPr>
          <w:sz w:val="20"/>
          <w:szCs w:val="20"/>
          <w:color w:val="auto"/>
        </w:rPr>
      </w:pPr>
      <w:r>
        <w:rPr>
          <w:rFonts w:ascii="Arial" w:cs="Arial" w:eastAsia="Arial" w:hAnsi="Arial"/>
          <w:sz w:val="18"/>
          <w:szCs w:val="18"/>
          <w:color w:val="auto"/>
        </w:rPr>
        <w:t>Adjusted EBITDA for MDIS decreased $1.1 million during the three months ended December 31, 2013 to $0.9 million as compared to $2.0 million for the comparable period in fiscal 2013. The decrease in adjusted EBITDA was primarily due to lower revenues from a DRFM jammer program and lower revenues due to customer funding delays.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2013 compared to the six months ended December 31, 2012</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six months periods indicated, financial data from the consolidated statements of operations:</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As a % of</w:t>
            </w: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Total Net</w:t>
            </w:r>
          </w:p>
        </w:tc>
        <w:tc>
          <w:tcPr>
            <w:tcW w:w="1180" w:type="dxa"/>
            <w:vAlign w:val="bottom"/>
            <w:gridSpan w:val="3"/>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1"/>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3"/>
                <w:szCs w:val="13"/>
                <w:color w:val="auto"/>
              </w:rPr>
            </w:pPr>
          </w:p>
        </w:tc>
        <w:tc>
          <w:tcPr>
            <w:tcW w:w="800" w:type="dxa"/>
            <w:vAlign w:val="bottom"/>
          </w:tcPr>
          <w:p>
            <w:pPr>
              <w:jc w:val="right"/>
              <w:ind w:right="291"/>
              <w:spacing w:after="0" w:line="158"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99,232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59,507</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61,270</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37,962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19,575</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17,627</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5,201</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53,546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56,225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Tax benefit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MDIS</w:t>
            </w:r>
          </w:p>
        </w:tc>
        <w:tc>
          <w:tcPr>
            <w:tcW w:w="12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21,733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107,030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Total revenues increased $7.8 million, or 8%, to $107.0 million during the six months ended December 31, 2013 as compared to the comparable period in fiscal 2013. This increase was driven by higher defense sales of $7.2 million, coupled with a $0.6 million increase in commercial sales. The increase in total revenues is primarily attributed to increases in the Aegis, Patriot, SEWIP and Lynx programs, as well as increased revenues from international customers, including foreign military sales through our prime customers and direct sales to non-U.S. based customers. These increases were partially offset by lower revenues from the DRFM jammer and Gorgon Stare programs. International sales increased from $21.9 million in the six months ended December 31, 2012 to $24.7 million for the six months ended December 31, 2013. Key programs driving the increase in international revenues were Aegis, Patriot, F-15, F-16, and higher shipments to a telecommunications customer for product that was designated as end of life.</w:t>
      </w:r>
    </w:p>
    <w:p>
      <w:pPr>
        <w:spacing w:after="0" w:line="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Net MCE revenues increased $16.6 million, or 24%, during the six months ended December 31, 2013 as compared to the same period in the prior fiscal year. This increase was primarily driven by higher defense sales of $16.0 million related to increases in the Aegis, Patriot, SEWIP, F-15, F-16, ASIP and Lynx programs, and a $0.6 million increase in commercial sales.</w:t>
      </w:r>
    </w:p>
    <w:p>
      <w:pPr>
        <w:spacing w:after="0" w:line="7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MDIS revenues decreased $8.2 million, or 27%, during the six months ended December 31, 2013 as compared to the same period in the prior fiscal year. This decrease was primarily driven by lower revenues from the Gorgon Stare and DRFM jammer programs as well as lower revenues due to customer funding delays.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right="100"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Gross margin was 44% for the six months ended December 31, 2013, as compared 38% gross margin achieved during the same period in fiscal 2013. The higher gross margin between years was due to a more favorable product mix, with increased sales in our higher margin digital signal processing products within MCE. In addition, for the six months ended December 31, 2012 there was a $2.0 million non-recurring charge for a fair value adjustment from purchase accounting resulting from the Micronetics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Selling, general and administrative expenses increased $0.8 million, or 3%, to $29.9 million during the six months ended December 31, 2013, compared to $29.1 million during the comparable period in fiscal 2013. The increase was primarily due to a $0.8 million increase in employee stock compensation expense. Selling, general and administrative expenses decreased as a percentage of revenues to 27.9% during the six months ended December 31, 2013 from 29.3% during the same period in fiscal 2013 due to higher revenues in the first six months of fiscal 2014 as compared to the comparable period in fiscal 2013.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Research and development expenses increased $1.9 million, or 11%, to $19.6 million during the six months ended December 31, 2013, compared to $17.6 million during the comparable period in fiscal 2013. The increase was primarily due to a $1.0 million increase in purchases of prototype material for pipeline opportunities, higher employee stock compensation, and lower customer funded development.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acquired intangible assets was $4.0 million for the six months ended December 31, 2013 and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implemented a restructuring plan in the first quarter of fiscal 2013. This plan consisted of involuntary separation costs related to a reduction in force and facility charges for our Huntsville, AL site. The plan was implemented in response to reduced defense revenues and near term Department of Defense budget uncertainties driven by the potential for sequestration. The $5.2 million of restructuring expense recorded during the six months ended December 31, 2012 related to the elimination of 142 positions largely from our engineering, administrative and manufacturing functions. The $0.1 million restructuring expense recorded during the six months ended December 31, 2013 related to facility space that was vacated after we opened our Advanced Microelectronics Center in Hudson, New Hampshire.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Other income, net increased to $0.9 million during the six months ended December 31, 2013, as compared to $0.4 million for the same period in fiscal 2013. The increase was a result of foreign currency exchange gains during fiscal 2014 compared to losses during fiscal 2013 primarily driven by changes in the Japanese yen. Other income, net consists of $0.6 million in amortization of the gain on the sale leaseback of our corporate headquarters located in Chelmsford, Massachusetts and foreign currency exchange gains and losses. Interest income and interest expense were de minimis.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recorded an income tax benefit of $1.9 million during the six months ended December 31, 2013 as compared to a $5.8 million income tax benefit for the comparable period in the prior fiscal year. Our income tax benefit for the six months ended December 31, 2013 differed from the federal statutory tax rate of 35% primarily due to the impact of federal research and development tax credits, Section 199 manufacturing deduction and stock compensation. Our effective tax rate during the comparable period in fiscal 2013 also differed from the federal statutory rate primarily due to the impact of the Section 199 manufacturing deduction, state taxes and stock compensation.</w:t>
      </w:r>
    </w:p>
    <w:p>
      <w:pPr>
        <w:spacing w:after="0" w:line="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December 31, 2013, we had approximately $3.2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We have concluded that no valuation allowance should be recorded against our net federal deferred tax assets at December 31, 2013.</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increased $8.9 million during the six months ended December 31, 2013 to $6.4 million as compared to $(2.5) million for the comparable period in fiscal 2013. The increase in adjusted EBITDA is primarily driven by higher revenues of $16.6 million primarily from the Aegis, Patriot, SEWIP, F-15, ASIP and Lynx programs, coupled with higher gross margins.</w:t>
      </w:r>
    </w:p>
    <w:p>
      <w:pPr>
        <w:spacing w:after="0" w:line="7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Adjusted EBITDA for MDIS decreased $2.9 million during the six months ended December 31, 2013 to $2.3 million as compared to $5.2 million for the comparable period in fiscal 2013. The decrease in adjusted EBITDA was primarily due to lower revenues from the Gorgon Stare and DRFM jammer programs and lower revenues due to customer funding delays.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73"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consolidated EBITDA for the four quarters ended December 31, 2013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8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4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at December 31, 2013, we are in compliance with a maximum leverage ratio of 3.50x and a minimum interest coverage ratio of 3.0x. In addition, the Credit Agreement contains certain customary representations and warranties, and events of default.</w:t>
      </w:r>
    </w:p>
    <w:p>
      <w:pPr>
        <w:spacing w:after="0" w:line="70"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As of December 31, 2013, there was $57.1 million of borrowing capacity available. There were no borrowings outstanding on the Credit Agreement; however, there were outstanding letters of credit of $4.3 million. We were in compliance with all covenants and conditions under the Credit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46"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2"/>
              </w:rPr>
              <w:t>As of and for the six</w:t>
            </w:r>
          </w:p>
        </w:tc>
        <w:tc>
          <w:tcPr>
            <w:tcW w:w="880" w:type="dxa"/>
            <w:vAlign w:val="bottom"/>
          </w:tcPr>
          <w:p>
            <w:pPr>
              <w:spacing w:after="0"/>
              <w:rPr>
                <w:sz w:val="24"/>
                <w:szCs w:val="24"/>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center"/>
              <w:ind w:left="458"/>
              <w:spacing w:after="0" w:line="149" w:lineRule="exact"/>
              <w:rPr>
                <w:sz w:val="20"/>
                <w:szCs w:val="20"/>
                <w:color w:val="auto"/>
              </w:rPr>
            </w:pPr>
            <w:r>
              <w:rPr>
                <w:rFonts w:ascii="Arial" w:cs="Arial" w:eastAsia="Arial" w:hAnsi="Arial"/>
                <w:sz w:val="14"/>
                <w:szCs w:val="14"/>
                <w:b w:val="1"/>
                <w:bCs w:val="1"/>
                <w:color w:val="auto"/>
                <w:w w:val="92"/>
              </w:rPr>
              <w:t>month period ended</w:t>
            </w:r>
          </w:p>
        </w:tc>
        <w:tc>
          <w:tcPr>
            <w:tcW w:w="8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513"/>
              <w:spacing w:after="0"/>
              <w:rPr>
                <w:sz w:val="20"/>
                <w:szCs w:val="20"/>
                <w:color w:val="auto"/>
              </w:rPr>
            </w:pPr>
            <w:r>
              <w:rPr>
                <w:rFonts w:ascii="Arial" w:cs="Arial" w:eastAsia="Arial" w:hAnsi="Arial"/>
                <w:sz w:val="14"/>
                <w:szCs w:val="14"/>
                <w:b w:val="1"/>
                <w:bCs w:val="1"/>
                <w:color w:val="auto"/>
                <w:w w:val="83"/>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9,531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(69,824)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(82,064)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44,535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33,900</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cash and cash equivalents increased by $5.4 million from June 30, 2013 to December 31, 2013, primarily as a result of $9.5 million in cash generated from operating activities, partially offset by $3.9 million in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During the six months ended December 31, 2013, we generated $9.5 million in cash from operating activities compared to $8.4 million in cash used for operating activities during the same period in fiscal 2013. The $17.9 million increase in cash generated by operating activities was primarily a result of a smaller comparable net loss of $8.7 million, $7.2 million in lower inventory purchases, $6.7 million of a smaller comparable tax benefit, and a $3.2 million decrease in cash used for payables and accrued expenses. These increases in cash generated from operations were partially offset by $7.1 million in higher prepaid taxes.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During the six months ended December 31, 2013, we used cash of $4.2 million in investing activities compared to $69.8 million used by investing activities during the same period in fiscal 2013. The $65.6 million decrease in cash used in investing activities was driven by $67.7 million of cash spent on the Micronetics acquisition during the six months ended December 31,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During the six months ended December 31, 2013, we generated $0.2 million for financing activities compared to $3.9 million used for financing activities during the same period in fiscal 2013. The $4.2 million change in cash from financing activities was primarily due to a $6.6 million payment to settle debt acquired as part of the Micronetics acquisition offset by the release of $3.0 million of restricted cash during the six months ended December 31,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23,173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8,656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 obligations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41,709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23,148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have a liability at December 31, 2013 of $2.9 million for uncertain tax positions, not included in the table above, that has been taken or is expected to be taken in various income tax returns. We expect to make a payment of $0.1 million in the next twelve months as a result of resolutions of certain tax positions.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$18.0 million at December 31, 2013.</w:t>
      </w:r>
    </w:p>
    <w:p>
      <w:pPr>
        <w:spacing w:after="0" w:line="12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6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Adjusted EBITDA, the profitability measure for our segment reporting,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0"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t>The following table reconciles our net loss, the most directly comparable GAAP financial measure, to our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5,201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Fair value adjustments from purchase accounting</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2,197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cost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4,359</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29"/>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(8,390)</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In July 2013, the FASB issued ASU No. 2013-11, </w:t>
      </w:r>
      <w:r>
        <w:rPr>
          <w:rFonts w:ascii="Arial" w:cs="Arial" w:eastAsia="Arial" w:hAnsi="Arial"/>
          <w:sz w:val="18"/>
          <w:szCs w:val="18"/>
          <w:i w:val="1"/>
          <w:iCs w:val="1"/>
          <w:color w:val="auto"/>
        </w:rPr>
        <w:t>Presentation of an Unrecognized Tax Benefit When a Net Operating Loss Carryforward, a Similar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Loss, or a Tax Credit Carryforward Exists, </w:t>
      </w:r>
      <w:r>
        <w:rPr>
          <w:rFonts w:ascii="Arial" w:cs="Arial" w:eastAsia="Arial" w:hAnsi="Arial"/>
          <w:sz w:val="18"/>
          <w:szCs w:val="18"/>
          <w:color w:val="auto"/>
        </w:rPr>
        <w:t>an amendment of the FASB Accounting Standards Codification. The ASU requires an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to be presented as a decrease in a deferred tax asset when net operating loss carryforwards, similar tax losses, or tax credit carryforwards exist and certain criteria are met. The ASU is effective prospectively for annual reporting periods beginning after December 15, 2013. This guidance is not expected to have a material impact to our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2013 to December 31, 2013.</w:t>
      </w:r>
    </w:p>
    <w:p>
      <w:pPr>
        <w:spacing w:after="0" w:line="24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2013.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December 31, 2013 that has materially affected, or is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23" w:right="2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2013. There have been no material changes from the factors disclosed in our 2013 Annual Report on Form 10-K filed on August 16, 2013,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6"/>
              </w:rPr>
              <w:t>Mercury Systems, Inc. Executive Bonus Plan - Corporate Financial Performance (incorporated herein by reference to</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Appendix A to Mercury Systems, Inc. Definitive Proxy Statement filed with the Securities and Exchange Commission on</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August 30, 2013)</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December 31, 2013</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ind w:left="660" w:right="340" w:hanging="607"/>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0" w:right="279" w:bottom="1440" w:gutter="0" w:footer="0" w:header="0"/>
        </w:sectPr>
      </w:pPr>
    </w:p>
    <w:bookmarkStart w:id="28" w:name="page29"/>
    <w:bookmarkEnd w:id="28"/>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6, 2014.</w:t>
      </w:r>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20" w:val="left"/>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Kevin M. Bisson</w:t>
      </w:r>
    </w:p>
    <w:p>
      <w:pPr>
        <w:spacing w:after="0" w:line="10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Senior Vice President,</w:t>
      </w:r>
    </w:p>
    <w:p>
      <w:pPr>
        <w:spacing w:after="0" w:line="10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20"/>
          </w:cols>
          <w:pgMar w:left="240" w:top="580" w:right="9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2014</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171" w:lineRule="exact"/>
        <w:rPr>
          <w:sz w:val="20"/>
          <w:szCs w:val="20"/>
          <w:color w:val="auto"/>
        </w:rPr>
      </w:pPr>
    </w:p>
    <w:p>
      <w:pPr>
        <w:ind w:left="1620" w:hanging="9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2014</w:t>
      </w:r>
    </w:p>
    <w:p>
      <w:pPr>
        <w:spacing w:after="0" w:line="171" w:lineRule="exact"/>
        <w:rPr>
          <w:sz w:val="20"/>
          <w:szCs w:val="20"/>
          <w:color w:val="auto"/>
        </w:rPr>
      </w:pPr>
    </w:p>
    <w:p>
      <w:pPr>
        <w:ind w:left="1920"/>
        <w:spacing w:after="0"/>
        <w:tabs>
          <w:tab w:leader="none" w:pos="22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December 31, 2013 as filed with the Securities and Exchange Commission (the “Report”), we, Mark Aslett, President and Chief Executive Officer of the Company, and Kevin M.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2014</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920"/>
        <w:spacing w:after="0"/>
        <w:tabs>
          <w:tab w:leader="none" w:pos="22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upperLetter"/>
      <w:start w:val="2"/>
    </w:lvl>
  </w:abstractNum>
  <w:abstractNum w:abstractNumId="4">
    <w:nsid w:val="3352255A"/>
    <w:multiLevelType w:val="hybridMultilevel"/>
    <w:lvl w:ilvl="0">
      <w:lvlJc w:val="left"/>
      <w:lvlText w:val="%1."/>
      <w:numFmt w:val="upperLetter"/>
      <w:start w:val="3"/>
    </w:lvl>
  </w:abstractNum>
  <w:abstractNum w:abstractNumId="5">
    <w:nsid w:val="109CF92E"/>
    <w:multiLevelType w:val="hybridMultilevel"/>
    <w:lvl w:ilvl="0">
      <w:lvlJc w:val="left"/>
      <w:lvlText w:val="%1."/>
      <w:numFmt w:val="upperLetter"/>
      <w:start w:val="4"/>
    </w:lvl>
  </w:abstractNum>
  <w:abstractNum w:abstractNumId="6">
    <w:nsid w:val="DED7263"/>
    <w:multiLevelType w:val="hybridMultilevel"/>
    <w:lvl w:ilvl="0">
      <w:lvlJc w:val="left"/>
      <w:lvlText w:val="%1."/>
      <w:numFmt w:val="upperLetter"/>
      <w:start w:val="5"/>
    </w:lvl>
  </w:abstractNum>
  <w:abstractNum w:abstractNumId="7">
    <w:nsid w:val="7FDCC233"/>
    <w:multiLevelType w:val="hybridMultilevel"/>
    <w:lvl w:ilvl="0">
      <w:lvlJc w:val="left"/>
      <w:lvlText w:val="%1."/>
      <w:numFmt w:val="upperLetter"/>
      <w:start w:val="6"/>
    </w:lvl>
  </w:abstractNum>
  <w:abstractNum w:abstractNumId="8">
    <w:nsid w:val="1BEFD79F"/>
    <w:multiLevelType w:val="hybridMultilevel"/>
    <w:lvl w:ilvl="0">
      <w:lvlJc w:val="left"/>
      <w:lvlText w:val="%1."/>
      <w:numFmt w:val="upperLetter"/>
      <w:start w:val="7"/>
    </w:lvl>
  </w:abstractNum>
  <w:abstractNum w:abstractNumId="9">
    <w:nsid w:val="41A7C4C9"/>
    <w:multiLevelType w:val="hybridMultilevel"/>
    <w:lvl w:ilvl="0">
      <w:lvlJc w:val="left"/>
      <w:lvlText w:val="%1."/>
      <w:numFmt w:val="upperLetter"/>
      <w:start w:val="8"/>
    </w:lvl>
  </w:abstractNum>
  <w:abstractNum w:abstractNumId="10">
    <w:nsid w:val="6B68079A"/>
    <w:multiLevelType w:val="hybridMultilevel"/>
    <w:lvl w:ilvl="0">
      <w:lvlJc w:val="left"/>
      <w:lvlText w:val="%1."/>
      <w:numFmt w:val="upperLetter"/>
      <w:start w:val="9"/>
    </w:lvl>
  </w:abstractNum>
  <w:abstractNum w:abstractNumId="11">
    <w:nsid w:val="4E6AFB66"/>
    <w:multiLevelType w:val="hybridMultilevel"/>
    <w:lvl w:ilvl="0">
      <w:lvlJc w:val="left"/>
      <w:lvlText w:val="%1."/>
      <w:numFmt w:val="upperLetter"/>
      <w:start w:val="10"/>
    </w:lvl>
  </w:abstractNum>
  <w:abstractNum w:abstractNumId="12">
    <w:nsid w:val="25E45D32"/>
    <w:multiLevelType w:val="hybridMultilevel"/>
    <w:lvl w:ilvl="0">
      <w:lvlJc w:val="left"/>
      <w:lvlText w:val="%1."/>
      <w:numFmt w:val="upperLetter"/>
      <w:start w:val="1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upperLetter"/>
      <w:start w:val="12"/>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2019-12-06T17:57:13Z</dcterms:created>
  <dcterms:modified xsi:type="dcterms:W3CDTF">2019-12-06T17:57:13Z</dcterms:modified>
</cp:coreProperties>
</file>