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DECEMBER 31, 2014</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20" w:right="419" w:bottom="1440" w:gutter="0" w:footer="0" w:header="0"/>
        </w:sectPr>
      </w:pPr>
    </w:p>
    <w:p>
      <w:pPr>
        <w:spacing w:after="0" w:line="6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0" w:lineRule="exact"/>
        <w:rPr>
          <w:sz w:val="24"/>
          <w:szCs w:val="24"/>
          <w:color w:val="auto"/>
        </w:rPr>
      </w:pPr>
    </w:p>
    <w:p>
      <w:pPr>
        <w:sectPr>
          <w:pgSz w:w="11900" w:h="16838" w:orient="portrait"/>
          <w:cols w:equalWidth="0" w:num="2">
            <w:col w:w="6560" w:space="720"/>
            <w:col w:w="3960"/>
          </w:cols>
          <w:pgMar w:left="240" w:top="220"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COMMISSION FILE NUMBER: 0-23599</w:t>
      </w:r>
    </w:p>
    <w:p>
      <w:pPr>
        <w:sectPr>
          <w:pgSz w:w="11900" w:h="16838" w:orient="portrait"/>
          <w:cols w:equalWidth="0" w:num="1">
            <w:col w:w="11240"/>
          </w:cols>
          <w:pgMar w:left="240" w:top="220"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MERCURY SYSTEMS, INC.</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201 RIVERNECK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CHELMSFORD,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01824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240"/>
          </w:cols>
          <w:pgMar w:left="240" w:top="220" w:right="41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ind w:left="44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2">
            <w:col w:w="9340" w:space="180"/>
            <w:col w:w="1720"/>
          </w:cols>
          <w:pgMar w:left="240" w:top="220" w:right="41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Shares of Common Stock outstanding as of January 31, 2015: 34,149,555 shares</w:t>
      </w:r>
    </w:p>
    <w:p>
      <w:pPr>
        <w:sectPr>
          <w:pgSz w:w="11900" w:h="16838" w:orient="portrait"/>
          <w:cols w:equalWidth="0" w:num="1">
            <w:col w:w="11240"/>
          </w:cols>
          <w:pgMar w:left="240" w:top="220" w:right="4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PAGE</w:t>
            </w:r>
          </w:p>
        </w:tc>
      </w:tr>
      <w:tr>
        <w:trPr>
          <w:trHeight w:val="192"/>
        </w:trPr>
        <w:tc>
          <w:tcPr>
            <w:tcW w:w="1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5"/>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040" w:type="dxa"/>
            <w:vAlign w:val="bottom"/>
            <w:gridSpan w:val="7"/>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940" w:type="dxa"/>
            <w:vAlign w:val="bottom"/>
          </w:tcPr>
          <w:p>
            <w:pPr>
              <w:spacing w:after="0"/>
              <w:rPr>
                <w:sz w:val="24"/>
                <w:szCs w:val="24"/>
                <w:color w:val="auto"/>
              </w:rPr>
            </w:pPr>
          </w:p>
        </w:tc>
        <w:tc>
          <w:tcPr>
            <w:tcW w:w="5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December 31, 2014 and June 30, 2014</w:t>
              </w:r>
            </w:hyperlink>
          </w:p>
        </w:tc>
        <w:tc>
          <w:tcPr>
            <w:tcW w:w="3120" w:type="dxa"/>
            <w:vAlign w:val="bottom"/>
            <w:gridSpan w:val="4"/>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940" w:type="dxa"/>
            <w:vAlign w:val="bottom"/>
          </w:tcPr>
          <w:p>
            <w:pPr>
              <w:spacing w:after="0"/>
              <w:rPr>
                <w:sz w:val="24"/>
                <w:szCs w:val="24"/>
                <w:color w:val="auto"/>
              </w:rPr>
            </w:pPr>
          </w:p>
        </w:tc>
        <w:tc>
          <w:tcPr>
            <w:tcW w:w="79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and Comprehensive Income (Loss) for the three and six months ended</w:t>
              </w:r>
            </w:hyperlink>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842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31, 2014 and 2013</w:t>
              </w:r>
            </w:hyperlink>
          </w:p>
        </w:tc>
        <w:tc>
          <w:tcPr>
            <w:tcW w:w="1020" w:type="dxa"/>
            <w:vAlign w:val="bottom"/>
          </w:tcPr>
          <w:p>
            <w:pPr>
              <w:jc w:val="right"/>
              <w:spacing w:after="0" w:line="196" w:lineRule="exact"/>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six months ended December 31, 2014 and 2013</w:t>
              </w:r>
            </w:hyperlink>
          </w:p>
        </w:tc>
        <w:tc>
          <w:tcPr>
            <w:tcW w:w="10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574"/>
        </w:trPr>
        <w:tc>
          <w:tcPr>
            <w:tcW w:w="1940" w:type="dxa"/>
            <w:vAlign w:val="bottom"/>
          </w:tcPr>
          <w:p>
            <w:pPr>
              <w:spacing w:after="0"/>
              <w:rPr>
                <w:sz w:val="24"/>
                <w:szCs w:val="24"/>
                <w:color w:val="auto"/>
              </w:rPr>
            </w:pPr>
          </w:p>
        </w:tc>
        <w:tc>
          <w:tcPr>
            <w:tcW w:w="6860" w:type="dxa"/>
            <w:vAlign w:val="bottom"/>
            <w:tcBorders>
              <w:top w:val="single" w:sz="8" w:color="0000EE"/>
            </w:tcBorders>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Consolidated Financial Statements</w:t>
              </w:r>
            </w:hyperlink>
          </w:p>
        </w:tc>
        <w:tc>
          <w:tcPr>
            <w:tcW w:w="1560" w:type="dxa"/>
            <w:vAlign w:val="bottom"/>
            <w:gridSpan w:val="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18</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3.</w:t>
            </w:r>
          </w:p>
        </w:tc>
        <w:tc>
          <w:tcPr>
            <w:tcW w:w="8420" w:type="dxa"/>
            <w:vAlign w:val="bottom"/>
            <w:gridSpan w:val="1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Quantitative and Qualitative Disclosures about Market Risk</w:t>
              </w:r>
            </w:hyperlink>
          </w:p>
        </w:tc>
        <w:tc>
          <w:tcPr>
            <w:tcW w:w="10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28</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412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6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29">
              <w:r>
                <w:rPr>
                  <w:rFonts w:ascii="Arial" w:cs="Arial" w:eastAsia="Arial" w:hAnsi="Arial"/>
                  <w:sz w:val="18"/>
                  <w:szCs w:val="18"/>
                  <w:color w:val="0000FF"/>
                  <w:w w:val="88"/>
                </w:rPr>
                <w:t>Legal Proceedings</w:t>
              </w:r>
            </w:hyperlink>
          </w:p>
        </w:tc>
        <w:tc>
          <w:tcPr>
            <w:tcW w:w="7080" w:type="dxa"/>
            <w:vAlign w:val="bottom"/>
            <w:gridSpan w:val="10"/>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1A.</w:t>
            </w:r>
          </w:p>
        </w:tc>
        <w:tc>
          <w:tcPr>
            <w:tcW w:w="8420" w:type="dxa"/>
            <w:vAlign w:val="bottom"/>
            <w:gridSpan w:val="1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Exhibits</w:t>
              </w:r>
            </w:hyperlink>
          </w:p>
        </w:tc>
        <w:tc>
          <w:tcPr>
            <w:tcW w:w="300" w:type="dxa"/>
            <w:vAlign w:val="bottom"/>
            <w:tcBorders>
              <w:top w:val="single" w:sz="8" w:color="0000FF"/>
            </w:tcBorders>
            <w:gridSpan w:val="2"/>
          </w:tcPr>
          <w:p>
            <w:pPr>
              <w:spacing w:after="0"/>
              <w:rPr>
                <w:sz w:val="24"/>
                <w:szCs w:val="24"/>
                <w:color w:val="auto"/>
              </w:rPr>
            </w:pPr>
          </w:p>
        </w:tc>
        <w:tc>
          <w:tcPr>
            <w:tcW w:w="7520" w:type="dxa"/>
            <w:vAlign w:val="bottom"/>
            <w:gridSpan w:val="11"/>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574"/>
        </w:trPr>
        <w:tc>
          <w:tcPr>
            <w:tcW w:w="194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29">
              <w:r>
                <w:rPr>
                  <w:rFonts w:ascii="Arial" w:cs="Arial" w:eastAsia="Arial" w:hAnsi="Arial"/>
                  <w:sz w:val="18"/>
                  <w:szCs w:val="18"/>
                  <w:color w:val="0000FF"/>
                  <w:w w:val="85"/>
                </w:rPr>
                <w:t>Signatures</w:t>
              </w:r>
            </w:hyperlink>
          </w:p>
        </w:tc>
        <w:tc>
          <w:tcPr>
            <w:tcW w:w="7660" w:type="dxa"/>
            <w:vAlign w:val="bottom"/>
            <w:gridSpan w:val="1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r>
      <w:tr>
        <w:trPr>
          <w:trHeight w:val="669"/>
        </w:trPr>
        <w:tc>
          <w:tcPr>
            <w:tcW w:w="1940" w:type="dxa"/>
            <w:vAlign w:val="bottom"/>
          </w:tcPr>
          <w:p>
            <w:pPr>
              <w:spacing w:after="0"/>
              <w:rPr>
                <w:sz w:val="24"/>
                <w:szCs w:val="24"/>
                <w:color w:val="auto"/>
              </w:rPr>
            </w:pPr>
          </w:p>
        </w:tc>
        <w:tc>
          <w:tcPr>
            <w:tcW w:w="4300" w:type="dxa"/>
            <w:vAlign w:val="bottom"/>
            <w:gridSpan w:val="9"/>
          </w:tcPr>
          <w:p>
            <w:pPr>
              <w:ind w:left="368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900" w:type="dxa"/>
            <w:vAlign w:val="bottom"/>
          </w:tcPr>
          <w:p>
            <w:pPr>
              <w:jc w:val="center"/>
              <w:ind w:left="2079"/>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7900" w:type="dxa"/>
            <w:vAlign w:val="bottom"/>
          </w:tcPr>
          <w:p>
            <w:pPr>
              <w:jc w:val="center"/>
              <w:ind w:left="2099"/>
              <w:spacing w:after="0"/>
              <w:rPr>
                <w:sz w:val="20"/>
                <w:szCs w:val="20"/>
                <w:color w:val="auto"/>
              </w:rPr>
            </w:pPr>
            <w:r>
              <w:rPr>
                <w:rFonts w:ascii="Arial" w:cs="Arial" w:eastAsia="Arial" w:hAnsi="Arial"/>
                <w:sz w:val="18"/>
                <w:szCs w:val="18"/>
                <w:b w:val="1"/>
                <w:bCs w:val="1"/>
                <w:color w:val="auto"/>
                <w:w w:val="99"/>
              </w:rPr>
              <w:t>MERCURY SYSTEMS, INC.</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80" w:type="dxa"/>
            <w:vAlign w:val="bottom"/>
          </w:tcPr>
          <w:p>
            <w:pPr>
              <w:spacing w:after="0"/>
              <w:rPr>
                <w:sz w:val="22"/>
                <w:szCs w:val="22"/>
                <w:color w:val="auto"/>
              </w:rPr>
            </w:pPr>
          </w:p>
        </w:tc>
        <w:tc>
          <w:tcPr>
            <w:tcW w:w="7900" w:type="dxa"/>
            <w:vAlign w:val="bottom"/>
          </w:tcPr>
          <w:p>
            <w:pPr>
              <w:jc w:val="center"/>
              <w:ind w:left="2099"/>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900" w:type="dxa"/>
            <w:vAlign w:val="bottom"/>
          </w:tcPr>
          <w:p>
            <w:pPr>
              <w:jc w:val="center"/>
              <w:ind w:left="2079"/>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900" w:type="dxa"/>
            <w:vAlign w:val="bottom"/>
          </w:tcPr>
          <w:p>
            <w:pPr>
              <w:jc w:val="center"/>
              <w:ind w:left="2079"/>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80" w:type="dxa"/>
            <w:vAlign w:val="bottom"/>
            <w:tcBorders>
              <w:bottom w:val="single" w:sz="8" w:color="CCEEFF"/>
            </w:tcBorders>
          </w:tcPr>
          <w:p>
            <w:pPr>
              <w:spacing w:after="0"/>
              <w:rPr>
                <w:sz w:val="16"/>
                <w:szCs w:val="16"/>
                <w:color w:val="auto"/>
              </w:rPr>
            </w:pPr>
          </w:p>
        </w:tc>
        <w:tc>
          <w:tcPr>
            <w:tcW w:w="79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580" w:type="dxa"/>
            <w:vAlign w:val="bottom"/>
            <w:gridSpan w:val="2"/>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56,987</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47,287</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Accounts receivable, net of allowance for doubtful accounts of $77 and $34 at December 31, 2014 and June 30, 2014, respectively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47,432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37,625</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Unbilled receivables and costs in excess of billings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19,774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22,036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30,011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31,655</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15,172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15,216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Prepaid income taxes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4,729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3,631</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Current assets of discontinued operations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74"/>
        </w:trPr>
        <w:tc>
          <w:tcPr>
            <w:tcW w:w="680" w:type="dxa"/>
            <w:vAlign w:val="bottom"/>
            <w:tcBorders>
              <w:bottom w:val="single" w:sz="8" w:color="CCEEFF"/>
            </w:tcBorders>
          </w:tcPr>
          <w:p>
            <w:pPr>
              <w:spacing w:after="0"/>
              <w:rPr>
                <w:sz w:val="6"/>
                <w:szCs w:val="6"/>
                <w:color w:val="auto"/>
              </w:rPr>
            </w:pPr>
          </w:p>
        </w:tc>
        <w:tc>
          <w:tcPr>
            <w:tcW w:w="7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80" w:type="dxa"/>
            <w:vAlign w:val="bottom"/>
            <w:shd w:val="clear" w:color="auto" w:fill="CCEEFF"/>
          </w:tcPr>
          <w:p>
            <w:pPr>
              <w:spacing w:after="0"/>
              <w:rPr>
                <w:sz w:val="15"/>
                <w:szCs w:val="15"/>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179,035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160,305</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12,968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14,144</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80" w:type="dxa"/>
            <w:vAlign w:val="bottom"/>
          </w:tcPr>
          <w:p>
            <w:pPr>
              <w:ind w:left="40"/>
              <w:spacing w:after="0"/>
              <w:rPr>
                <w:sz w:val="20"/>
                <w:szCs w:val="20"/>
                <w:color w:val="auto"/>
              </w:rPr>
            </w:pPr>
            <w:r>
              <w:rPr>
                <w:rFonts w:ascii="Arial" w:cs="Arial" w:eastAsia="Arial" w:hAnsi="Arial"/>
                <w:sz w:val="14"/>
                <w:szCs w:val="14"/>
                <w:color w:val="auto"/>
              </w:rPr>
              <w:t>Goodwill</w:t>
            </w:r>
          </w:p>
        </w:tc>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168,146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168,146</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21,481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25,006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Other non-current assets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assets of discontinued operations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4,859</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385,367</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373,712</w:t>
            </w:r>
          </w:p>
        </w:tc>
        <w:tc>
          <w:tcPr>
            <w:tcW w:w="0" w:type="dxa"/>
            <w:vAlign w:val="bottom"/>
          </w:tcPr>
          <w:p>
            <w:pPr>
              <w:spacing w:after="0"/>
              <w:rPr>
                <w:sz w:val="1"/>
                <w:szCs w:val="1"/>
                <w:color w:val="auto"/>
              </w:rPr>
            </w:pPr>
          </w:p>
        </w:tc>
      </w:tr>
      <w:tr>
        <w:trPr>
          <w:trHeight w:val="100"/>
        </w:trPr>
        <w:tc>
          <w:tcPr>
            <w:tcW w:w="680" w:type="dxa"/>
            <w:vAlign w:val="bottom"/>
            <w:tcBorders>
              <w:bottom w:val="single" w:sz="8" w:color="CCEEFF"/>
            </w:tcBorders>
          </w:tcPr>
          <w:p>
            <w:pPr>
              <w:spacing w:after="0"/>
              <w:rPr>
                <w:sz w:val="8"/>
                <w:szCs w:val="8"/>
                <w:color w:val="auto"/>
              </w:rPr>
            </w:pPr>
          </w:p>
        </w:tc>
        <w:tc>
          <w:tcPr>
            <w:tcW w:w="79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580" w:type="dxa"/>
            <w:vAlign w:val="bottom"/>
            <w:gridSpan w:val="2"/>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580" w:type="dxa"/>
            <w:vAlign w:val="bottom"/>
            <w:gridSpan w:val="2"/>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11,300</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7,054</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8,817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8,377</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Accrued compensation</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9,983</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Deferred revenues and customer advances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8,778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5,898</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Current liabilities of discontinued operations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39,457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32,930</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7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gain on sale-leaseback</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2,086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5,021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5,911</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3,154</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Other non-current liabilities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1,666</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liabilities of discontinued operations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51,151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46,565</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7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I)</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gridSpan w:val="2"/>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Preferred stock, $0.01 par value; 1,000,000 shares authorized; no shares issued or outstanding</w:t>
            </w:r>
          </w:p>
        </w:tc>
        <w:tc>
          <w:tcPr>
            <w:tcW w:w="16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580" w:type="dxa"/>
            <w:vAlign w:val="bottom"/>
            <w:gridSpan w:val="2"/>
          </w:tcPr>
          <w:p>
            <w:pPr>
              <w:ind w:left="380"/>
              <w:spacing w:after="0" w:line="157" w:lineRule="exact"/>
              <w:rPr>
                <w:sz w:val="20"/>
                <w:szCs w:val="20"/>
                <w:color w:val="auto"/>
              </w:rPr>
            </w:pPr>
            <w:r>
              <w:rPr>
                <w:rFonts w:ascii="Arial" w:cs="Arial" w:eastAsia="Arial" w:hAnsi="Arial"/>
                <w:sz w:val="14"/>
                <w:szCs w:val="14"/>
                <w:color w:val="auto"/>
                <w:w w:val="93"/>
              </w:rPr>
              <w:t>Common stock, $0.01 par value; 85,000,000 shares authorized; 32,222,498 and 31,284,273 shares issued and outstanding at December 31,</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2014 and June 30, 2014, respectively</w:t>
            </w:r>
          </w:p>
        </w:tc>
        <w:tc>
          <w:tcPr>
            <w:tcW w:w="16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248,228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241,725</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84,863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84,099</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334,216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327,147</w:t>
            </w:r>
          </w:p>
        </w:tc>
        <w:tc>
          <w:tcPr>
            <w:tcW w:w="0" w:type="dxa"/>
            <w:vAlign w:val="bottom"/>
          </w:tcPr>
          <w:p>
            <w:pPr>
              <w:spacing w:after="0"/>
              <w:rPr>
                <w:sz w:val="1"/>
                <w:szCs w:val="1"/>
                <w:color w:val="auto"/>
              </w:rPr>
            </w:pPr>
          </w:p>
        </w:tc>
      </w:tr>
      <w:tr>
        <w:trPr>
          <w:trHeight w:val="74"/>
        </w:trPr>
        <w:tc>
          <w:tcPr>
            <w:tcW w:w="680" w:type="dxa"/>
            <w:vAlign w:val="bottom"/>
            <w:tcBorders>
              <w:bottom w:val="single" w:sz="8" w:color="CCEEFF"/>
            </w:tcBorders>
          </w:tcPr>
          <w:p>
            <w:pPr>
              <w:spacing w:after="0"/>
              <w:rPr>
                <w:sz w:val="6"/>
                <w:szCs w:val="6"/>
                <w:color w:val="auto"/>
              </w:rPr>
            </w:pPr>
          </w:p>
        </w:tc>
        <w:tc>
          <w:tcPr>
            <w:tcW w:w="7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80" w:type="dxa"/>
            <w:vAlign w:val="bottom"/>
            <w:shd w:val="clear" w:color="auto" w:fill="CCEEFF"/>
          </w:tcPr>
          <w:p>
            <w:pPr>
              <w:spacing w:after="0"/>
              <w:rPr>
                <w:sz w:val="15"/>
                <w:szCs w:val="15"/>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and shareholders’ equity</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385,367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373,712</w:t>
            </w:r>
          </w:p>
        </w:tc>
        <w:tc>
          <w:tcPr>
            <w:tcW w:w="0" w:type="dxa"/>
            <w:vAlign w:val="bottom"/>
          </w:tcPr>
          <w:p>
            <w:pPr>
              <w:spacing w:after="0"/>
              <w:rPr>
                <w:sz w:val="1"/>
                <w:szCs w:val="1"/>
                <w:color w:val="auto"/>
              </w:rPr>
            </w:pPr>
          </w:p>
        </w:tc>
      </w:tr>
      <w:tr>
        <w:trPr>
          <w:trHeight w:val="60"/>
        </w:trPr>
        <w:tc>
          <w:tcPr>
            <w:tcW w:w="680" w:type="dxa"/>
            <w:vAlign w:val="bottom"/>
            <w:tcBorders>
              <w:bottom w:val="single" w:sz="8" w:color="CCEEFF"/>
            </w:tcBorders>
            <w:shd w:val="clear" w:color="auto" w:fill="CCEEFF"/>
          </w:tcPr>
          <w:p>
            <w:pPr>
              <w:spacing w:after="0"/>
              <w:rPr>
                <w:sz w:val="5"/>
                <w:szCs w:val="5"/>
                <w:color w:val="auto"/>
              </w:rPr>
            </w:pPr>
          </w:p>
        </w:tc>
        <w:tc>
          <w:tcPr>
            <w:tcW w:w="79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111,150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101,658</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30,054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26,607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60,116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55,771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45,887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7,895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19,454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23,496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51,589</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Basic net earnings (loss) per share: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net earnings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596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32,052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31,880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30,820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32,686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30,988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32,720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30,820</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88" w:right="239" w:bottom="1440" w:gutter="0" w:footer="0" w:header="0"/>
          <w:type w:val="continuous"/>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(Benefit) provision for deferred income taxes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goodwill from discontinued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 from stock-based compensation</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items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unbilled receivables, and costs in excess of billings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(7,103)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(3,587)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revenues and customer advances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non-current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10,406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9,531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(increase) in other investing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(2,122)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employee stock plans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of capital lease obligations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47,287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39,126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56,987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paid during the period for:</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Income taxes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Supplemental disclosures—non-cash activities: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Issuance of restricted stock awards to employees</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8,832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Capital lease financings</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40" w:type="dxa"/>
            <w:vAlign w:val="bottom"/>
            <w:gridSpan w:val="2"/>
          </w:tcPr>
          <w:p>
            <w:pPr>
              <w:ind w:left="2640"/>
              <w:spacing w:after="0"/>
              <w:rPr>
                <w:sz w:val="20"/>
                <w:szCs w:val="20"/>
                <w:color w:val="auto"/>
              </w:rPr>
            </w:pPr>
            <w:r>
              <w:rPr>
                <w:rFonts w:ascii="Arial" w:cs="Arial" w:eastAsia="Arial" w:hAnsi="Arial"/>
                <w:sz w:val="18"/>
                <w:szCs w:val="18"/>
                <w:color w:val="auto"/>
                <w:w w:val="96"/>
              </w:rPr>
              <w:t>The accompanying notes are an integral part of the consolidated financial statements.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Mercury Systems, Inc. is a leading high-tech commercial provider of more affordable secure and sensor processing subsystems designed and made in the U.S.A. for critical defense and intelligence applications. The Company delivers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Predator, F-35 and Reaper. The Company’s organizational structure allows it to deliver capabilities that combine technology building blocks and deep domain expertise in the defense sector. The Company believes its total portfolio of services and solutions is unique in the industry for a commercial company.</w:t>
      </w:r>
    </w:p>
    <w:p>
      <w:pPr>
        <w:spacing w:after="0" w:line="1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goal is to grow and build on its position as a critical component of the defense industrial base and become the leading provider of open and affordable secure and sensor processing subsystems. The Mercury Commercial Electronics (“MCE”) operating segment designs, develops and builds open sensor processing products and subsystems that include embedded processing modules and subsystems, radio frequency (“RF”) and microwave multi-function assemblies as well as subsystems, and RF and microwave components. The Mercury Defense Systems (“MDS”) operating segment provides significant capabilities relating to pre-integrated, open, affordable electronic warfare ("EW"), electronic attack ("EA") and electronic counter measure ("ECM") subsystems and significant capabilities in signals intelligence ("SIGINT"), electro-optical/infrared ("EO/IR") processing technologies and radar environment test and simulation systems.</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June 2014, the Company initiated a plan to divest the Mercury Intelligence Systems (“MIS”) operating segment, based on the Company's strategic direction and investment priorities focusing on its core business. As a result, the Company's MIS operating segment met the “held for sale” criteria in accordance with Financial Accounting Standard Boards (“FASB”) Accounting Standards Codification (“ASC”) 205,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(“FASB ASC 205”) as of June 30, 2014 and all reporting periods thereafter (see Note C to the Consolidated Financial Statements). The consolidated financial statements, excluding the statements of cash flows, and the notes to the consolidated financial statements were restated for all periods presented to reflect the discontinuation of the MIS operating segment, in accordance with FASB ASC 205. On January 23, 2015, the Company completed the sale of the MIS operating segment.</w:t>
      </w:r>
    </w:p>
    <w:p>
      <w:pPr>
        <w:spacing w:after="0" w:line="21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2014 which are contained in the Company’s Annual Report on Form 10-K filed with the Securities and Exchange Commission (“SEC”) on August 14, 2014. The results for the three and six months ended December 31, 2014 are not necessarily indicative of the results to be expected for the full fiscal year.</w:t>
      </w:r>
    </w:p>
    <w:p>
      <w:pPr>
        <w:spacing w:after="0" w:line="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is comprised of the following operating segments: MCE and MDS. See Note L of the Notes to Consolidated Financial Statements for further discussion.</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are available. Additionally, FASB ASU 2009-13 expands the disclosure requirements related to a vendor’s multiple-deliverable revenue arrangements.</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26% and 28% of total revenues in the three and six months ended December 31, 2014, respectively. Total revenue recognized under multiple-deliverable revenue arrangements was 56% and 42% of total revenues in the three and six months ended December 31, 2013, respectively.</w:t>
      </w:r>
    </w:p>
    <w:p>
      <w:pPr>
        <w:spacing w:after="0" w:line="8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3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objective of BESP is to determine the price at which the Company would transact if the product or service were sold by the Company on a standalone basis.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5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and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do not include a general right of return for delivered products. The Company considers a deliverable to have standalone value if the item is sold separately by the Company or another vendor or if the item could be resold by the customer.</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The Company also engages in long-term contracts for development, production and services activities which it accounts for consistent with FASB ASC 605-35, </w:t>
      </w:r>
      <w:r>
        <w:rPr>
          <w:rFonts w:ascii="Arial" w:cs="Arial" w:eastAsia="Arial" w:hAnsi="Arial"/>
          <w:sz w:val="17"/>
          <w:szCs w:val="17"/>
          <w:i w:val="1"/>
          <w:iCs w:val="1"/>
          <w:color w:val="auto"/>
        </w:rPr>
        <w:t>Accounting for Performance of Construction-Type and Certain Production-Type Contracts</w:t>
      </w:r>
      <w:r>
        <w:rPr>
          <w:rFonts w:ascii="Arial" w:cs="Arial" w:eastAsia="Arial" w:hAnsi="Arial"/>
          <w:sz w:val="17"/>
          <w:szCs w:val="17"/>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Revenues recognized in excess of the amounts invoiced to clients are classified as unbilled receivables. For time and materials contracts, revenue reflects the number of direct labor hours expended in the performance of a contract multiplied by the contract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billing rate, as well as reimbursement of other billable direct costs. For all types of contracts, the Company recognizes anticipated contract losses as soon as they become known and estimable.</w:t>
      </w:r>
    </w:p>
    <w:p>
      <w:pPr>
        <w:spacing w:after="0" w:line="6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prospectively and when adjustments in estimated contract costs are identified, such revisions may result in current period adjustments to earnings applicable to performance in prior periods.</w:t>
      </w:r>
    </w:p>
    <w:p>
      <w:pPr>
        <w:spacing w:after="0" w:line="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by us. Examples of the Company's service revenues include: consulting, maintenance and other support, testing and installation. The Company combines its product and service revenues into a single class as services revenues do not exceed 10 percent of total revenues.</w:t>
      </w:r>
    </w:p>
    <w:p>
      <w:pPr>
        <w:spacing w:after="0" w:line="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Weighted-average shares were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54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Six Months Ended December 31,</w:t>
            </w:r>
          </w:p>
        </w:tc>
      </w:tr>
      <w:tr>
        <w:trPr>
          <w:trHeight w:val="264"/>
        </w:trPr>
        <w:tc>
          <w:tcPr>
            <w:tcW w:w="6740" w:type="dxa"/>
            <w:vAlign w:val="bottom"/>
            <w:tcBorders>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32,052</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31,880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equity instruments</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32,686</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30,988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32,720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30,820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Equity instruments to purchase 654 and 740 shares of common stock were not included in the calculation of diluted net earnings per share for the three and six months ended December 31, 2014, because the equity instruments were anti-dilutive. Equity instruments to purchase 3,871 shares of common stock were not included in the calculation of diluted net earnings per share for the three and six months ended December 31, 2013, because the equity instruments were anti-dilutive.</w:t>
      </w:r>
    </w:p>
    <w:p>
      <w:pPr>
        <w:spacing w:after="0" w:line="156" w:lineRule="exact"/>
        <w:rPr>
          <w:sz w:val="20"/>
          <w:szCs w:val="20"/>
          <w:color w:val="auto"/>
        </w:rPr>
      </w:pPr>
    </w:p>
    <w:p>
      <w:pPr>
        <w:ind w:left="840" w:hanging="832"/>
        <w:spacing w:after="0"/>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fourth quarter of fiscal 2014, the Company conducted a strategic review of the Mercury Intelligence Systems (“MIS”) business unit which encompassed an assessment of MIS' financial performance and contemporaneous future financial projections. The Company, with Board of Director's approval, concluded that a plan to divest the MIS business unit would be in the best interests of the Company and its shareholders.</w:t>
      </w:r>
    </w:p>
    <w:p>
      <w:pPr>
        <w:spacing w:after="0" w:line="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of June 30, 2014, the Company's MIS operating segment met the "held for sale" criteria in accordance with FASB ASC 205. As the Company will not have continuing involvement in the operations of MIS after its divestiture in January 2015, the MIS operating results have been reported as a discontinued operation for all periods presented. On January 23, 2015, the Company completed the sale of the MIS operating segment.</w:t>
      </w:r>
    </w:p>
    <w:p>
      <w:pPr>
        <w:spacing w:after="0" w:line="3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MIS is considered its own operating segment and was previously aggregated with MDS into one reportable segment based on similar economic and qualitative factors in accordance with FASB ASC 280. As MIS is a discontinued operation, the results of MIS have been excluded from the MDS reportable segment. Accordingly, the revenues, costs of revenue, operating expenses, assets and liabilities of MIS have been reported separately in the Consolidated Statements of Operations and Comprehensive Income (Loss) and Consolidated Balance Sheets for all periods presented. The discontinued operation's balances in the Consolidated Balance Sheets do not reflect intercompany receivable balances of MIS, and the results of discontinued operations do not reflect interest expense or the allocation of the Company's corporate general and administrative expenses.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ind w:left="420"/>
        <w:spacing w:after="0"/>
        <w:rPr>
          <w:sz w:val="20"/>
          <w:szCs w:val="20"/>
          <w:color w:val="auto"/>
        </w:rPr>
      </w:pPr>
      <w:r>
        <w:rPr>
          <w:rFonts w:ascii="Arial" w:cs="Arial" w:eastAsia="Arial" w:hAnsi="Arial"/>
          <w:sz w:val="18"/>
          <w:szCs w:val="18"/>
          <w:color w:val="auto"/>
        </w:rPr>
        <w:t>The amounts reported in loss from discontinued operations, net of income taxes were as follows:</w:t>
      </w:r>
    </w:p>
    <w:p>
      <w:pPr>
        <w:spacing w:after="0" w:line="25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22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December</w:t>
            </w: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w w:val="95"/>
              </w:rPr>
              <w:t>Six Months Ended December</w:t>
            </w:r>
          </w:p>
        </w:tc>
      </w:tr>
      <w:tr>
        <w:trPr>
          <w:trHeight w:val="192"/>
        </w:trPr>
        <w:tc>
          <w:tcPr>
            <w:tcW w:w="5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1"/>
              </w:rPr>
              <w:t>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2"/>
              </w:rPr>
              <w:t>31,</w:t>
            </w:r>
          </w:p>
        </w:tc>
        <w:tc>
          <w:tcPr>
            <w:tcW w:w="68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 of discontinued operations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5,372</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Costs of discontinued operations:</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3,736</w:t>
            </w:r>
          </w:p>
        </w:tc>
      </w:tr>
      <w:tr>
        <w:trPr>
          <w:trHeight w:val="243"/>
        </w:trPr>
        <w:tc>
          <w:tcPr>
            <w:tcW w:w="50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1,588</w:t>
            </w:r>
          </w:p>
        </w:tc>
      </w:tr>
      <w:tr>
        <w:trPr>
          <w:trHeight w:val="27"/>
        </w:trPr>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r>
      <w:tr>
        <w:trPr>
          <w:trHeight w:val="243"/>
        </w:trPr>
        <w:tc>
          <w:tcPr>
            <w:tcW w:w="50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248</w:t>
            </w:r>
          </w:p>
        </w:tc>
      </w:tr>
      <w:tr>
        <w:trPr>
          <w:trHeight w:val="27"/>
        </w:trPr>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Acquisition costs and other related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360"/>
              <w:spacing w:after="0"/>
              <w:rPr>
                <w:sz w:val="20"/>
                <w:szCs w:val="20"/>
                <w:color w:val="auto"/>
              </w:rPr>
            </w:pPr>
            <w:r>
              <w:rPr>
                <w:rFonts w:ascii="Arial" w:cs="Arial" w:eastAsia="Arial" w:hAnsi="Arial"/>
                <w:sz w:val="18"/>
                <w:szCs w:val="18"/>
                <w:color w:val="auto"/>
              </w:rPr>
              <w:t>Impairment of goodwill</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5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reported as assets and liabilities of the discontinued operations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Unbilled receivables and costs in excess of billings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income taxes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2,062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of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6,233</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802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818</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2,436</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depreciation, amortization and significant operating and investing non-cash items of the discontinued operations were as follows:</w:t>
      </w:r>
    </w:p>
    <w:p>
      <w:pPr>
        <w:spacing w:after="0" w:line="36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9"/>
              </w:rPr>
              <w:t>Three Months Ended December 31,</w:t>
            </w:r>
          </w:p>
        </w:tc>
        <w:tc>
          <w:tcPr>
            <w:tcW w:w="1860" w:type="dxa"/>
            <w:vAlign w:val="bottom"/>
            <w:gridSpan w:val="6"/>
          </w:tcPr>
          <w:p>
            <w:pPr>
              <w:ind w:left="40"/>
              <w:spacing w:after="0"/>
              <w:rPr>
                <w:sz w:val="20"/>
                <w:szCs w:val="20"/>
                <w:color w:val="auto"/>
              </w:rPr>
            </w:pPr>
            <w:r>
              <w:rPr>
                <w:rFonts w:ascii="Arial" w:cs="Arial" w:eastAsia="Arial" w:hAnsi="Arial"/>
                <w:sz w:val="14"/>
                <w:szCs w:val="14"/>
                <w:b w:val="1"/>
                <w:bCs w:val="1"/>
                <w:color w:val="auto"/>
                <w:w w:val="93"/>
              </w:rPr>
              <w:t>Six Months Ended December</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40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31,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2,283</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6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692" w:right="239" w:bottom="1440" w:gutter="0" w:footer="0" w:header="0"/>
          <w:type w:val="continuous"/>
        </w:sectPr>
      </w:pPr>
    </w:p>
    <w:bookmarkStart w:id="9" w:name="page10"/>
    <w:bookmarkEnd w:id="9"/>
    <w:p>
      <w:pPr>
        <w:jc w:val="both"/>
        <w:ind w:firstLine="405"/>
        <w:spacing w:after="0" w:line="259" w:lineRule="auto"/>
        <w:rPr>
          <w:sz w:val="20"/>
          <w:szCs w:val="20"/>
          <w:color w:val="auto"/>
        </w:rPr>
      </w:pPr>
      <w:r>
        <w:rPr>
          <w:rFonts w:ascii="Arial" w:cs="Arial" w:eastAsia="Arial" w:hAnsi="Arial"/>
          <w:sz w:val="18"/>
          <w:szCs w:val="18"/>
          <w:color w:val="auto"/>
        </w:rPr>
        <w:t>During the three months ended December 31, 2014, the Company began exclusive negotiations with a potential buyer of MIS. Based primarily on these negotiations, the Company determined that the MIS reporting unit’s carrying value of goodwill exceeded its implied fair value, resulting in a goodwill impairment charge of $2,283. The impairment charge is reflected within discontinued operations of the Company’s accompanying consolidated financial statements.</w:t>
      </w:r>
    </w:p>
    <w:p>
      <w:pPr>
        <w:spacing w:after="0" w:line="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January 23, 2015, the Company completed the sale of the MIS operating segment for a selling price approximating the net book value of the business after the goodwill impairment charge recorded in the second fiscal quarter of 2015.</w:t>
      </w:r>
    </w:p>
    <w:p>
      <w:pPr>
        <w:spacing w:after="0" w:line="19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measures at fair value certain financial assets and liabilities, including cash equivalents and restricted cash. FASB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Disclosures</w:t>
      </w:r>
      <w:r>
        <w:rPr>
          <w:rFonts w:ascii="Arial" w:cs="Arial" w:eastAsia="Arial" w:hAnsi="Arial"/>
          <w:sz w:val="18"/>
          <w:szCs w:val="18"/>
          <w:color w:val="auto"/>
        </w:rPr>
        <w:t>, specifies a hierarchy of valuation techniques based on whether the inputs to those valuation techniques are observable or</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Observable inputs reflect market data obtained from independent sources, while unobservable inputs reflect the Company’s market assumptions. These two types of inputs have created the following fair-value hierarchy: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117"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December 31, 2014:</w:t>
      </w: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56,987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56,987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57,251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57,251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carrying values of cash and cash equivalents, including all U.S. Treasury Bills and money market funds, accounts receivable and payable, and accrued liabilities approximate fair value due to the short-term maturities of these assets and liabilities.</w:t>
      </w:r>
    </w:p>
    <w:p>
      <w:pPr>
        <w:spacing w:after="0" w:line="19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Inventory is stated at the lower of cost (first-in, first-out) or market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and non-cancelable on-order inventory in excess of estimated usage. The excess and obsolete inventory evaluation is based upon assumptions about future demand, history, product mix and possible alternative uses. Inventory was comprised of the following: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Pr>
          <w:p>
            <w:pPr>
              <w:spacing w:after="0"/>
              <w:rPr>
                <w:sz w:val="16"/>
                <w:szCs w:val="16"/>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June 30, 2014</w:t>
            </w:r>
          </w:p>
        </w:tc>
      </w:tr>
      <w:tr>
        <w:trPr>
          <w:trHeight w:val="250"/>
        </w:trPr>
        <w:tc>
          <w:tcPr>
            <w:tcW w:w="8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4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13,755</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12,677</w:t>
            </w:r>
          </w:p>
        </w:tc>
      </w:tr>
      <w:tr>
        <w:trPr>
          <w:trHeight w:val="27"/>
        </w:trPr>
        <w:tc>
          <w:tcPr>
            <w:tcW w:w="8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5,223</w:t>
            </w:r>
          </w:p>
        </w:tc>
      </w:tr>
      <w:tr>
        <w:trPr>
          <w:trHeight w:val="237"/>
        </w:trPr>
        <w:tc>
          <w:tcPr>
            <w:tcW w:w="8820" w:type="dxa"/>
            <w:vAlign w:val="bottom"/>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31,655</w:t>
            </w:r>
          </w:p>
        </w:tc>
      </w:tr>
      <w:tr>
        <w:trPr>
          <w:trHeight w:val="27"/>
        </w:trPr>
        <w:tc>
          <w:tcPr>
            <w:tcW w:w="88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carrying amount of goodwill by reporting units as of December 31, 2014 and June 30,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2014</w:t>
            </w:r>
          </w:p>
        </w:tc>
        <w:tc>
          <w:tcPr>
            <w:tcW w:w="10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June 30, 2014</w:t>
            </w:r>
          </w:p>
        </w:tc>
      </w:tr>
      <w:tr>
        <w:trPr>
          <w:trHeight w:val="250"/>
        </w:trPr>
        <w:tc>
          <w:tcPr>
            <w:tcW w:w="8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MCE goodwill</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134,378</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MDS goodwill</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33,768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33,768</w:t>
            </w:r>
          </w:p>
        </w:tc>
      </w:tr>
      <w:tr>
        <w:trPr>
          <w:trHeight w:val="27"/>
        </w:trPr>
        <w:tc>
          <w:tcPr>
            <w:tcW w:w="8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168,146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168,146</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six months ended December 31, 2014, there were no triggering events, as defined by FASB ASC 350, which required an interim goodwill impairment test. The Company performs its annual goodwill impairment test in the fourth quarter of each fiscal year.</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MCE and MDS.</w:t>
      </w:r>
    </w:p>
    <w:p>
      <w:pPr>
        <w:spacing w:after="0" w:line="20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Plan</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fiscal 2014 the Company announced a restructuring plan (“2014 Plan”) that was implemented as part of the final phase of integration activities relating to the Company’s recent acquisitions. The integration activities included the consolidation of manufacturing facilities, centralization of administrative functions using common information systems and processes, and realignment of research and development resources. During the three months ended December 31, 2014, the Company has successfully completed the integration plan and incurred restructuring and other charges of $1,162. These charges were primarily associated with the third phase of the Chelmsford, Massachusetts headquarters consolidation and severance related costs. In the event that the Company is unable to sublease the unoccupied portion of its headquarters complex in Chelmsford, MA, it will incur nominal, periodic restructuring charges through fiscal 2017. These restructuring and other charges affect the MCE reportable segment.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Severance &amp;</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Related</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&amp;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2014</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MCE restructuring and other charges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MDS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paid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liability at December 31, 2014</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Reversals result from unused outplacement services.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of the restructuring and other charges are classified as operating expenses in the consolidated statements of operations and comprehensive income (loss) and any remaining obligations are expected to be paid by the end of fiscal 2017. The restructuring liability is classified as accrued expenses in the consolidated balance sheets.</w:t>
      </w:r>
    </w:p>
    <w:p>
      <w:pPr>
        <w:spacing w:after="0" w:line="20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8"/>
          <w:szCs w:val="18"/>
          <w:color w:val="auto"/>
        </w:rPr>
        <w:t>The Company recorded a tax provision of $1,047 and a tax benefit of $442 on income from continuing operations before income taxes of $3,933 and loss from continuing operations before income taxes of $1,229 for the three months ended December 31, 2014 and 2013, respectively. The Company recorded a tax provision of $1,047 and a tax benefit of $1,761 on income from continuing operations before income taxes of $4,650 and loss from continuing operations before income taxes of $4,852 for the six months ended December 31, 2014 and 2013, respectively. Income tax for the three and six months ended December 31, 2014 differed from the federal statutory rate primarily due to the impact of federal research and development credits, Section 199 manufacturing deduction, stock compensation and state taxes</w:t>
      </w:r>
      <w:r>
        <w:rPr>
          <w:rFonts w:ascii="Arial" w:cs="Arial" w:eastAsia="Arial" w:hAnsi="Arial"/>
          <w:sz w:val="19"/>
          <w:szCs w:val="19"/>
          <w:color w:val="1F497D"/>
        </w:rPr>
        <w:t>.</w:t>
      </w:r>
      <w:r>
        <w:rPr>
          <w:rFonts w:ascii="Arial" w:cs="Arial" w:eastAsia="Arial" w:hAnsi="Arial"/>
          <w:sz w:val="18"/>
          <w:szCs w:val="18"/>
          <w:color w:val="auto"/>
        </w:rPr>
        <w:t xml:space="preserve"> Income tax benefit for the three and six months ended December 31, 2013 differed from the federal statutory rate primarily due to the impact of federal research and development tax credits, Section 199 manufacturing deduction, stock compensation and state taxes.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23" w:right="239" w:bottom="1440" w:gutter="0" w:footer="0" w:header="0"/>
        </w:sectPr>
      </w:pPr>
    </w:p>
    <w:bookmarkStart w:id="11" w:name="page12"/>
    <w:bookmarkEnd w:id="11"/>
    <w:p>
      <w:pPr>
        <w:jc w:val="both"/>
        <w:ind w:firstLine="432"/>
        <w:spacing w:after="0" w:line="259" w:lineRule="auto"/>
        <w:rPr>
          <w:sz w:val="20"/>
          <w:szCs w:val="20"/>
          <w:color w:val="auto"/>
        </w:rPr>
      </w:pPr>
      <w:r>
        <w:rPr>
          <w:rFonts w:ascii="Arial" w:cs="Arial" w:eastAsia="Arial" w:hAnsi="Arial"/>
          <w:sz w:val="18"/>
          <w:szCs w:val="18"/>
          <w:color w:val="auto"/>
        </w:rPr>
        <w:t>On December 19, 2014, the Tax Increase Prevention Act of 2014 was enacted, which retroactively reinstated and extended the federal research and development credits from January 1, 2014 through December 31, 2014. Based on the extension, the Company estimates that there was an additional $894 credit earned in calendar year 2014, of which $487 relating to fiscal year 2014 was recognized as a discrete benefit in the three months ended December 31, 2014.</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unrecognized tax positions increased by $123 during the three and six months ended December 31, 2014. The increase relates to reserves on the additional research and development credits for fiscal year 2014.</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estimates that unrecognized tax benefits of up to $1,022 could be realized within the next 12 months as a result of resolutions of tax positions and the expiration of applicable statutes of limitations. The Company is currently under audit by the Internal Revenue Service for fiscal year 2013. There have been no significant changes to the status of this examination during the six months ended December 31, 2014.</w:t>
      </w:r>
    </w:p>
    <w:p>
      <w:pPr>
        <w:spacing w:after="0" w:line="18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December 31, 2014, the Company has entered into non-cancelable purchase commitments for certain inventory components and services used in its normal operations. The purchase commitments covered by these agreements are for less than one year and aggregate to $34,336.</w:t>
      </w:r>
    </w:p>
    <w:p>
      <w:pPr>
        <w:spacing w:after="0" w:line="17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Senior Unsecured Credit Facility</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December 31, 2014, there was $101,357 of borrowing capacity available under the Company's credit agreement with a syndicate of commercial banks, with Key Bank National Association acting as the administrative agent. The Company can borrow up to $200,000 based on the Company's consolidated EBITDA for the trailing four quarters. There were no borrowings outstanding on the credit agreement; however, there were outstanding letters of credit of $3,934. The Company was in compliance with all covenants and conditions under the credit agreement.</w:t>
      </w:r>
    </w:p>
    <w:p>
      <w:pPr>
        <w:spacing w:after="0" w:line="19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number of shares authorized for issuance under the Company’s 2005 Stock Incentive Plan, as amended and restated (the “2005 Plan”), is 11,424 shares at December 31, 2014. On October 21, 2014, the Company's number of shares authorized for issuance under the 2005 Plan increased 3,406 shares, including 206 shares as a result of cancellations, forfeitures or terminations under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3,548 shares available for future grant under the 2005 Plan at December 31, 2014.</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August 15, 2014, as part of the Company's ongoing annual equity grant program for employees, the Company granted, for the first time, performance-based restricted stock awards to certain executives pursuant to the 2005 Plan. These performance awards vest annually over a three year requisite service period subject to the achievement of specific financial performance targets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related to adjusted EBITDA as a percentage of revenue. Based on the performance targets, these awards require graded vesting that results in more rapid expense recognition compared to traditional time-based vesting over the same vesting period. The Company will monitor the probability of achieving the performance targets on a quarterly basis and may adjust periodic compensation expense accordingly.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number of shares authorized for issuance under the Company’s 1997 Employee Stock Purchase Plan, as amended and restated (“ESPP”), is 1,400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41 and 55 shares issued under the ESPP during the six months ended December 31, 2014 and 2013, respectively. Shares available for future purchase under the ESPP totaled 123 at December 31, 2014.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2014</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1,435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2014</w:t>
            </w:r>
          </w:p>
        </w:tc>
        <w:tc>
          <w:tcPr>
            <w:tcW w:w="12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1,144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11.98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2014:</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14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2014</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2,091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10.15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2014</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1,957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10.59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recognized the full expense of its share-based payment plans in the consolidated statements of operations for the three and six months ended December 31, 2014 and 2013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included in the Company’s consolidated statements of operations: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December 31,</w:t>
            </w:r>
          </w:p>
        </w:tc>
        <w:tc>
          <w:tcPr>
            <w:tcW w:w="216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Six Months Ended December 31,</w:t>
            </w:r>
          </w:p>
        </w:tc>
      </w:tr>
      <w:tr>
        <w:trPr>
          <w:trHeight w:val="264"/>
        </w:trPr>
        <w:tc>
          <w:tcPr>
            <w:tcW w:w="67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3,744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4,318</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4,807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5,604</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compensation expense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3,048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3,638</w:t>
            </w:r>
          </w:p>
        </w:tc>
      </w:tr>
      <w:tr>
        <w:trPr>
          <w:trHeight w:val="27"/>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The Company utilizes the management approach for determining reportable segments in accordance with the authoritative guidance. The following operating segments were determined based upon the nature of the products offered to customers, the market characteristics of each operating segment and the Company's management structure:</w:t>
      </w:r>
    </w:p>
    <w:p>
      <w:pPr>
        <w:spacing w:after="0" w:line="52" w:lineRule="exact"/>
        <w:rPr>
          <w:sz w:val="20"/>
          <w:szCs w:val="20"/>
          <w:color w:val="auto"/>
        </w:rPr>
      </w:pPr>
    </w:p>
    <w:p>
      <w:pPr>
        <w:jc w:val="both"/>
        <w:ind w:left="660" w:hanging="328"/>
        <w:spacing w:after="0" w:line="25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Mercury Commercial Electronics (“MCE”): this operating segment delivers affordable, innovative, commercially developed, specialized processing subsystems for critical commercial, defense and intelligence applications. MCE delivers secure solutions that are based upon open architectures and widely adopted industry standards. MCE delivers rapid time-to-value and service and support to prime defense contractors and commercial customers. MCE provides solutions to prime contractor customers on a variety of programs. MCE also provides technology building blocks to Mercury Defense Systems on key classified and unclassified programs. MCE has a legacy of embedded multi-computing and embedded sensor processing expertise. More recently, MCE has added substantial capabilities around radio frequency ("RF") and microwave technologies as well as emerging new manufacturing capabilities to bring design, production and test capabilities of its RF and microwave solutions to market on a more scalable basis.</w:t>
      </w:r>
    </w:p>
    <w:p>
      <w:pPr>
        <w:spacing w:after="0" w:line="57" w:lineRule="exact"/>
        <w:rPr>
          <w:rFonts w:ascii="Arial" w:cs="Arial" w:eastAsia="Arial" w:hAnsi="Arial"/>
          <w:sz w:val="18"/>
          <w:szCs w:val="18"/>
          <w:color w:val="auto"/>
        </w:rPr>
      </w:pPr>
    </w:p>
    <w:p>
      <w:pPr>
        <w:jc w:val="both"/>
        <w:ind w:left="660" w:hanging="355"/>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Mercury Defense Systems (“MDS”): this operating segment provides significant capabilities relating to pre-integrated, open, affordable electronic warfare ("EW"), electronic attack ("EA") and electronic counter measure ("ECM") subsystems, and signals intelligence ("SIGINT") and electro-optical/infrared ("EO/IR") processing technologies. MDS deploys these solutions on behalf of defense prime contractors and the Department of Defense ("DoD"), leveraging commercially available technologies and solutions (or “building blocks”) from the MCE business and other commercial suppliers.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5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Company's operating segments were evaluated in accordance with FASB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in order to determine which operating segments qualified as reportable segments. The Company determined that both MCE and MDS met the quantitative thresholds for reporting.</w:t>
      </w:r>
    </w:p>
    <w:p>
      <w:pPr>
        <w:spacing w:after="0" w:line="1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Prior year results have been restated for the reclassification of the MIS operating segment as discontinued operations. MIS was previously aggregated with MDS into one reportable segment based on similar economic and qualitative factors in accordance with FASB ASC 280 (see Note C).</w:t>
      </w:r>
    </w:p>
    <w:p>
      <w:pPr>
        <w:spacing w:after="0" w:line="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EBITDA is defined as income from continuing operations before interest income and expense, income taxes, depreciation, amortization of intangible assets, restructuring and other charges, impairment of long-lived assets, acquisition costs and other related expenses, fair value adjustments from purchase accounting and stock-based compensation costs.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MCE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MDS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06"/>
        </w:trPr>
        <w:tc>
          <w:tcPr>
            <w:tcW w:w="7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6"/>
        </w:trPr>
        <w:tc>
          <w:tcPr>
            <w:tcW w:w="7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2014</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33"/>
        </w:trPr>
        <w:tc>
          <w:tcPr>
            <w:tcW w:w="5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51,806</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52,729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20"/>
        </w:trPr>
        <w:tc>
          <w:tcPr>
            <w:tcW w:w="5620" w:type="dxa"/>
            <w:vAlign w:val="bottom"/>
          </w:tcPr>
          <w:p>
            <w:pPr>
              <w:ind w:left="40"/>
              <w:spacing w:after="0"/>
              <w:rPr>
                <w:sz w:val="20"/>
                <w:szCs w:val="20"/>
                <w:color w:val="auto"/>
              </w:rPr>
            </w:pPr>
            <w:r>
              <w:rPr>
                <w:rFonts w:ascii="Arial" w:cs="Arial" w:eastAsia="Arial" w:hAnsi="Arial"/>
                <w:sz w:val="16"/>
                <w:szCs w:val="16"/>
                <w:color w:val="auto"/>
              </w:rPr>
              <w:t>THREE MONTHS ENDED</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0"/>
              <w:spacing w:after="0"/>
              <w:rPr>
                <w:sz w:val="20"/>
                <w:szCs w:val="20"/>
                <w:color w:val="auto"/>
              </w:rPr>
            </w:pPr>
            <w:r>
              <w:rPr>
                <w:rFonts w:ascii="Arial" w:cs="Arial" w:eastAsia="Arial" w:hAnsi="Arial"/>
                <w:sz w:val="16"/>
                <w:szCs w:val="16"/>
                <w:color w:val="auto"/>
              </w:rPr>
              <w:t>DECEMBER 31, 2013</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50,932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50,932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4,082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SIX MONTHS ENDED</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2014</w:t>
            </w:r>
          </w:p>
        </w:tc>
        <w:tc>
          <w:tcPr>
            <w:tcW w:w="4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100,362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10,147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111,150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101,787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10,358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111,150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18,710</w:t>
            </w:r>
          </w:p>
        </w:tc>
        <w:tc>
          <w:tcPr>
            <w:tcW w:w="0" w:type="dxa"/>
            <w:vAlign w:val="bottom"/>
          </w:tcPr>
          <w:p>
            <w:pPr>
              <w:spacing w:after="0"/>
              <w:rPr>
                <w:sz w:val="1"/>
                <w:szCs w:val="1"/>
                <w:color w:val="auto"/>
              </w:rPr>
            </w:pPr>
          </w:p>
        </w:tc>
      </w:tr>
      <w:tr>
        <w:trPr>
          <w:trHeight w:val="220"/>
        </w:trPr>
        <w:tc>
          <w:tcPr>
            <w:tcW w:w="5620" w:type="dxa"/>
            <w:vAlign w:val="bottom"/>
          </w:tcPr>
          <w:p>
            <w:pPr>
              <w:ind w:left="40"/>
              <w:spacing w:after="0"/>
              <w:rPr>
                <w:sz w:val="20"/>
                <w:szCs w:val="20"/>
                <w:color w:val="auto"/>
              </w:rPr>
            </w:pPr>
            <w:r>
              <w:rPr>
                <w:rFonts w:ascii="Arial" w:cs="Arial" w:eastAsia="Arial" w:hAnsi="Arial"/>
                <w:sz w:val="16"/>
                <w:szCs w:val="16"/>
                <w:color w:val="auto"/>
              </w:rPr>
              <w:t>SIX MONTHS ENDED</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0"/>
              <w:spacing w:after="0"/>
              <w:rPr>
                <w:sz w:val="20"/>
                <w:szCs w:val="20"/>
                <w:color w:val="auto"/>
              </w:rPr>
            </w:pPr>
            <w:r>
              <w:rPr>
                <w:rFonts w:ascii="Arial" w:cs="Arial" w:eastAsia="Arial" w:hAnsi="Arial"/>
                <w:sz w:val="16"/>
                <w:szCs w:val="16"/>
                <w:color w:val="auto"/>
              </w:rPr>
              <w:t>DECEMBER 31, 2013</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101,658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89,640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101,658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6,425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reconciles the Company’s income (loss) from continuing operations, the most directly comparable GAAP financial measure, to its adjusted EBITDA: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 31,</w:t>
            </w:r>
          </w:p>
        </w:tc>
        <w:tc>
          <w:tcPr>
            <w:tcW w:w="216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264"/>
        </w:trPr>
        <w:tc>
          <w:tcPr>
            <w:tcW w:w="4320" w:type="dxa"/>
            <w:vAlign w:val="bottom"/>
            <w:tcBorders>
              <w:bottom w:val="single" w:sz="8" w:color="CCEEFF"/>
            </w:tcBorders>
          </w:tcPr>
          <w:p>
            <w:pPr>
              <w:spacing w:after="0"/>
              <w:rPr>
                <w:sz w:val="22"/>
                <w:szCs w:val="22"/>
                <w:color w:val="auto"/>
              </w:rPr>
            </w:pPr>
          </w:p>
        </w:tc>
        <w:tc>
          <w:tcPr>
            <w:tcW w:w="24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43"/>
        </w:trPr>
        <w:tc>
          <w:tcPr>
            <w:tcW w:w="432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provision (benefit)</w:t>
            </w: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43"/>
        </w:trPr>
        <w:tc>
          <w:tcPr>
            <w:tcW w:w="43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3,290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43"/>
        </w:trPr>
        <w:tc>
          <w:tcPr>
            <w:tcW w:w="432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2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18,710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40" w:type="dxa"/>
            <w:vAlign w:val="bottom"/>
            <w:vMerge w:val="restart"/>
          </w:tcPr>
          <w:p>
            <w:pPr>
              <w:jc w:val="right"/>
              <w:ind w:right="87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t>The geographic distribution of the Company’s revenues is summarized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Asia Pacific</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r>
      <w:tr>
        <w:trPr>
          <w:trHeight w:val="206"/>
        </w:trPr>
        <w:tc>
          <w:tcPr>
            <w:tcW w:w="6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6"/>
        </w:trPr>
        <w:tc>
          <w:tcPr>
            <w:tcW w:w="6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2014</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33"/>
        </w:trPr>
        <w:tc>
          <w:tcPr>
            <w:tcW w:w="4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55,625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355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4"/>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57,089</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56,589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3"/>
          </w:tcPr>
          <w:p>
            <w:pPr>
              <w:jc w:val="right"/>
              <w:ind w:right="34"/>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57,089</w:t>
            </w: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73"/>
        </w:trPr>
        <w:tc>
          <w:tcPr>
            <w:tcW w:w="4700" w:type="dxa"/>
            <w:vAlign w:val="bottom"/>
            <w:shd w:val="clear" w:color="auto" w:fill="CCEEFF"/>
          </w:tcPr>
          <w:p>
            <w:pPr>
              <w:ind w:left="40"/>
              <w:spacing w:after="0" w:line="174" w:lineRule="exact"/>
              <w:rPr>
                <w:sz w:val="20"/>
                <w:szCs w:val="20"/>
                <w:color w:val="auto"/>
              </w:rPr>
            </w:pPr>
            <w:r>
              <w:rPr>
                <w:rFonts w:ascii="Arial" w:cs="Arial" w:eastAsia="Arial" w:hAnsi="Arial"/>
                <w:sz w:val="16"/>
                <w:szCs w:val="16"/>
                <w:color w:val="auto"/>
              </w:rPr>
              <w:t>THREE MONTHS ENDED</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2013</w:t>
            </w: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50,351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451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50,932</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51,030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3"/>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50,932</w:t>
            </w: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82"/>
        </w:trPr>
        <w:tc>
          <w:tcPr>
            <w:tcW w:w="47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SIX MONTHS ENDED</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108,710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701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4"/>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111,150</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110,257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3"/>
          </w:tcPr>
          <w:p>
            <w:pPr>
              <w:jc w:val="right"/>
              <w:ind w:right="34"/>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111,150</w:t>
            </w: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82"/>
        </w:trPr>
        <w:tc>
          <w:tcPr>
            <w:tcW w:w="47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SIX MONTHS ENDED</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99,806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959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4"/>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101,658</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101,304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3"/>
          </w:tcPr>
          <w:p>
            <w:pPr>
              <w:jc w:val="right"/>
              <w:ind w:right="34"/>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101,658</w:t>
            </w:r>
          </w:p>
        </w:tc>
      </w:tr>
      <w:tr>
        <w:trPr>
          <w:trHeight w:val="27"/>
        </w:trPr>
        <w:tc>
          <w:tcPr>
            <w:tcW w:w="47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05"/>
        </w:trPr>
        <w:tc>
          <w:tcPr>
            <w:tcW w:w="7320" w:type="dxa"/>
            <w:vAlign w:val="bottom"/>
            <w:gridSpan w:val="7"/>
          </w:tcPr>
          <w:p>
            <w:pPr>
              <w:ind w:left="440"/>
              <w:spacing w:after="0"/>
              <w:rPr>
                <w:sz w:val="20"/>
                <w:szCs w:val="20"/>
                <w:color w:val="auto"/>
              </w:rPr>
            </w:pPr>
            <w:r>
              <w:rPr>
                <w:rFonts w:ascii="Arial" w:cs="Arial" w:eastAsia="Arial" w:hAnsi="Arial"/>
                <w:sz w:val="18"/>
                <w:szCs w:val="18"/>
                <w:color w:val="auto"/>
                <w:w w:val="91"/>
              </w:rPr>
              <w:t>Foreign revenue is based on the country in which the Company’s legal subsidiary is domiciled.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7320" w:type="dxa"/>
            <w:vAlign w:val="bottom"/>
            <w:gridSpan w:val="7"/>
          </w:tcPr>
          <w:p>
            <w:pPr>
              <w:ind w:left="440"/>
              <w:spacing w:after="0"/>
              <w:rPr>
                <w:sz w:val="20"/>
                <w:szCs w:val="20"/>
                <w:color w:val="auto"/>
              </w:rPr>
            </w:pPr>
            <w:r>
              <w:rPr>
                <w:rFonts w:ascii="Arial" w:cs="Arial" w:eastAsia="Arial" w:hAnsi="Arial"/>
                <w:sz w:val="18"/>
                <w:szCs w:val="18"/>
                <w:color w:val="auto"/>
                <w:w w:val="96"/>
              </w:rPr>
              <w:t>The geographic distribution of the Company’s long-lived assets is summarized as follows: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7"/>
        </w:trPr>
        <w:tc>
          <w:tcPr>
            <w:tcW w:w="47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w w:val="89"/>
              </w:rPr>
              <w:t>Asia Pacific</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Borders>
              <w:bottom w:val="single" w:sz="8" w:color="CCEEFF"/>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14,090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48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14,144</w:t>
            </w:r>
          </w:p>
        </w:tc>
      </w:tr>
      <w:tr>
        <w:trPr>
          <w:trHeight w:val="351"/>
        </w:trPr>
        <w:tc>
          <w:tcPr>
            <w:tcW w:w="6080" w:type="dxa"/>
            <w:vAlign w:val="bottom"/>
            <w:gridSpan w:val="4"/>
          </w:tcPr>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8800" w:type="dxa"/>
            <w:vAlign w:val="bottom"/>
            <w:gridSpan w:val="13"/>
          </w:tcPr>
          <w:p>
            <w:pPr>
              <w:ind w:left="440"/>
              <w:spacing w:after="0"/>
              <w:rPr>
                <w:sz w:val="20"/>
                <w:szCs w:val="20"/>
                <w:color w:val="auto"/>
              </w:rPr>
            </w:pPr>
            <w:r>
              <w:rPr>
                <w:rFonts w:ascii="Arial" w:cs="Arial" w:eastAsia="Arial" w:hAnsi="Arial"/>
                <w:sz w:val="18"/>
                <w:szCs w:val="18"/>
                <w:color w:val="auto"/>
                <w:w w:val="96"/>
              </w:rPr>
              <w:t>Customers comprising 10% or more of the Company’s revenues for the periods shown below are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7"/>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7"/>
              </w:rPr>
              <w:t>Three Months Ended December 31,</w:t>
            </w:r>
          </w:p>
        </w:tc>
        <w:tc>
          <w:tcPr>
            <w:tcW w:w="100" w:type="dxa"/>
            <w:vAlign w:val="bottom"/>
          </w:tcPr>
          <w:p>
            <w:pPr>
              <w:spacing w:after="0"/>
              <w:rPr>
                <w:sz w:val="24"/>
                <w:szCs w:val="24"/>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Six Months Ended December 31,</w:t>
            </w:r>
          </w:p>
        </w:tc>
      </w:tr>
      <w:tr>
        <w:trPr>
          <w:trHeight w:val="264"/>
        </w:trPr>
        <w:tc>
          <w:tcPr>
            <w:tcW w:w="47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Raytheon Company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36%</w:t>
            </w:r>
          </w:p>
        </w:tc>
        <w:tc>
          <w:tcPr>
            <w:tcW w:w="12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Lockheed Martin Corporation</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18%</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Corporation</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54%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620" w:right="3880" w:hanging="5612"/>
        <w:spacing w:after="0" w:line="559"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 16</w:t>
      </w:r>
    </w:p>
    <w:p>
      <w:pPr>
        <w:sectPr>
          <w:pgSz w:w="11900" w:h="16838" w:orient="portrait"/>
          <w:cols w:equalWidth="0" w:num="1">
            <w:col w:w="11420"/>
          </w:cols>
          <w:pgMar w:left="240" w:top="692" w:right="239" w:bottom="1440" w:gutter="0" w:footer="0" w:header="0"/>
        </w:sectPr>
      </w:pPr>
    </w:p>
    <w:bookmarkStart w:id="16" w:name="page17"/>
    <w:bookmarkEnd w:id="16"/>
    <w:p>
      <w:pPr>
        <w:ind w:firstLine="432"/>
        <w:spacing w:after="0" w:line="308" w:lineRule="auto"/>
        <w:rPr>
          <w:sz w:val="20"/>
          <w:szCs w:val="20"/>
          <w:color w:val="auto"/>
        </w:rPr>
      </w:pPr>
      <w:r>
        <w:rPr>
          <w:rFonts w:ascii="Arial" w:cs="Arial" w:eastAsia="Arial" w:hAnsi="Arial"/>
          <w:sz w:val="17"/>
          <w:szCs w:val="17"/>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28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3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ind w:left="54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360" w:type="dxa"/>
            <w:vAlign w:val="bottom"/>
          </w:tcPr>
          <w:p>
            <w:pPr>
              <w:spacing w:after="0"/>
              <w:rPr>
                <w:sz w:val="16"/>
                <w:szCs w:val="16"/>
                <w:color w:val="auto"/>
              </w:rPr>
            </w:pPr>
          </w:p>
        </w:tc>
        <w:tc>
          <w:tcPr>
            <w:tcW w:w="15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0"/>
              </w:rPr>
              <w:t>December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63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Patriot</w:t>
            </w:r>
          </w:p>
        </w:tc>
        <w:tc>
          <w:tcPr>
            <w:tcW w:w="1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9"/>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4"/>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SEWIP</w:t>
            </w:r>
          </w:p>
        </w:tc>
        <w:tc>
          <w:tcPr>
            <w:tcW w:w="106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tcPr>
          <w:p>
            <w:pPr>
              <w:ind w:left="680"/>
              <w:spacing w:after="0"/>
              <w:rPr>
                <w:sz w:val="20"/>
                <w:szCs w:val="20"/>
                <w:color w:val="auto"/>
              </w:rPr>
            </w:pPr>
            <w:r>
              <w:rPr>
                <w:rFonts w:ascii="Arial" w:cs="Arial" w:eastAsia="Arial" w:hAnsi="Arial"/>
                <w:sz w:val="18"/>
                <w:szCs w:val="18"/>
                <w:color w:val="auto"/>
                <w:w w:val="94"/>
              </w:rPr>
              <w:t>13%</w:t>
            </w:r>
          </w:p>
        </w:tc>
        <w:tc>
          <w:tcPr>
            <w:tcW w:w="100" w:type="dxa"/>
            <w:vAlign w:val="bottom"/>
          </w:tcPr>
          <w:p>
            <w:pPr>
              <w:spacing w:after="0"/>
              <w:rPr>
                <w:sz w:val="21"/>
                <w:szCs w:val="21"/>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F-35</w:t>
            </w:r>
          </w:p>
        </w:tc>
        <w:tc>
          <w:tcPr>
            <w:tcW w:w="1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4"/>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4"/>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Aegis</w:t>
            </w:r>
          </w:p>
        </w:tc>
        <w:tc>
          <w:tcPr>
            <w:tcW w:w="1060" w:type="dxa"/>
            <w:vAlign w:val="bottom"/>
          </w:tcPr>
          <w:p>
            <w:pPr>
              <w:ind w:left="680"/>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40" w:type="dxa"/>
            <w:vAlign w:val="bottom"/>
          </w:tcPr>
          <w:p>
            <w:pPr>
              <w:ind w:left="680"/>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9"/>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4"/>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24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6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January 23, 2015, the Company completed the sale of the MIS operating segment for a selling price approximating the net book value of that business unit on the date of sale.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7" w:name="page18"/>
    <w:bookmarkEnd w:id="17"/>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jc w:val="both"/>
        <w:ind w:firstLine="432"/>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due to performance quality issues with outsourced components, inability to fully realize the expected benefits from acquisitions, divestitures and restructurings,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2014.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Mercury Systems, Inc. is a leading high-tech commercial provider of more affordable secure and sensor processing subsystems designed and made in the U.S.A. for critical defense and intelligence applications. We deliver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and Reaper. Our organizational structure allows us to deliver capabilities that combine technology building blocks and deep domain expertise in the defense sector. We believe our total portfolio of services and solutions is unique in the industry for a commercial company. Mercury Systems operates across a broad spectrum of defense programs and, effective for fiscal 2015, we deliver our solutions and services via two business units: (i) Mercury Commercial Electronics; and (ii) Mercury Defense Systems. In the fourth quarter of fiscal 2014, we initiated a plan to divest our Mercury Intelligence Systems business unit. Consequently, its operating results are included in discontinued operations for all periods presented (see Note C to the consolidated financial statements).</w:t>
      </w:r>
    </w:p>
    <w:p>
      <w:pPr>
        <w:spacing w:after="0" w:line="5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2014, we had 625 employees. Our revenue, income from continuing operations and adjusted EBITDA for the three month period ended December 31, 2014 were $57.1 million, $2.9 million, and $10.7 million, respectively. Our revenue, income from continuing operations and adjusted EBITDA for the six month period ended December 31, 2014 were $111.2 million, $3.6 million, and $18.7 million respectively. See the Non-GAAP Financial Measures section for a reconciliation of our income from continuing operations to adjusted EBITDA.</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operations are organized in the following two reportable segments: (i) Mercury Commercial Electronics ("MCE") and (ii) Mercury Defense Systems ("MDS").</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Mercury Commercial Electronics, </w:t>
      </w:r>
      <w:r>
        <w:rPr>
          <w:rFonts w:ascii="Arial" w:cs="Arial" w:eastAsia="Arial" w:hAnsi="Arial"/>
          <w:sz w:val="18"/>
          <w:szCs w:val="18"/>
          <w:color w:val="auto"/>
        </w:rPr>
        <w:t>or MCE, provides affordable, innovative, commercially designed and developed, specialized processing subsystems</w:t>
      </w:r>
      <w:r>
        <w:rPr>
          <w:rFonts w:ascii="Arial" w:cs="Arial" w:eastAsia="Arial" w:hAnsi="Arial"/>
          <w:sz w:val="18"/>
          <w:szCs w:val="18"/>
          <w:i w:val="1"/>
          <w:iCs w:val="1"/>
          <w:color w:val="auto"/>
        </w:rPr>
        <w:t xml:space="preserve"> </w:t>
      </w:r>
      <w:r>
        <w:rPr>
          <w:rFonts w:ascii="Arial" w:cs="Arial" w:eastAsia="Arial" w:hAnsi="Arial"/>
          <w:sz w:val="18"/>
          <w:szCs w:val="18"/>
          <w:color w:val="auto"/>
        </w:rPr>
        <w:t>for critical commercial, defense and intelligence applications. We deliver innovative solutions, rapid time-to-value and service and support to our prime defense contractor customers. Our technologies and capabilities include embedded processing modules and subsystems, RF and microwave multi-function assemblies as well as subsystems, and RF and microwave components.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MCE utilizes leading edge, high performance computing technologies architected by leveraging open standards and open architectures to address highly data-intensive applications that include signal, sensor and image processing; all of this while addressing the packaging challenges, often referred to as “SWaP” (size, weight, and power) that are common in military as well as some commercial applications. In addition, MCE designs and builds RF and microwave components and subsystems to meet the needs of the electronic warfare ("EW"), signals intelligence ("SIGINT") and other high bandwidth communications requirements and applications.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For the six months ended December 31, 2014, MCE accounted for approximately 91% of our total net revenues.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Mercury Defense Systems, </w:t>
      </w:r>
      <w:r>
        <w:rPr>
          <w:rFonts w:ascii="Arial" w:cs="Arial" w:eastAsia="Arial" w:hAnsi="Arial"/>
          <w:sz w:val="17"/>
          <w:szCs w:val="17"/>
          <w:color w:val="auto"/>
        </w:rPr>
        <w:t>or MDS, provides significant capabilities relating to pre-integrated, open, affordable EW, electronic attack ("EA") and</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counter measure ("ECM") subsystems, SIGINT and electro-optical/infrared ("EO/IR") processing technologies, and radar environment test and simulation systems. MDS deploys these solutions on behalf of defense prime contractors and the Department of Defense ("DoD"), leveraging commercially available technologies and solutions (or “building blocks”) from our MCE business and other commercial suppliers.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six months ended December 31, 2014, MDS accounted for approximately 9% of our total net revenues.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2014 compared to the three months ended December 31, 2013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As a % of</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4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Total Net</w:t>
            </w:r>
          </w:p>
        </w:tc>
        <w:tc>
          <w:tcPr>
            <w:tcW w:w="14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December 31, 2013</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58"/>
        </w:trPr>
        <w:tc>
          <w:tcPr>
            <w:tcW w:w="54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Revenue</w:t>
            </w:r>
          </w:p>
        </w:tc>
        <w:tc>
          <w:tcPr>
            <w:tcW w:w="1460" w:type="dxa"/>
            <w:vAlign w:val="bottom"/>
            <w:gridSpan w:val="4"/>
            <w:vMerge w:val="continue"/>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540" w:type="dxa"/>
            <w:vAlign w:val="bottom"/>
            <w:tcBorders>
              <w:bottom w:val="single" w:sz="8" w:color="CCEEFF"/>
            </w:tcBorders>
            <w:gridSpan w:val="2"/>
            <w:shd w:val="clear" w:color="auto" w:fill="CCEEFF"/>
          </w:tcPr>
          <w:p>
            <w:pPr>
              <w:jc w:val="right"/>
              <w:ind w:right="34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57,089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Cost of revenues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30,054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7,895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1,162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23,496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7"/>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Income (loss) from operations</w:t>
            </w: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3,933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Tax provision (benefit)</w:t>
            </w:r>
          </w:p>
        </w:tc>
        <w:tc>
          <w:tcPr>
            <w:tcW w:w="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Income (loss) from continuing operations</w:t>
            </w: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Net income (loss)</w:t>
            </w:r>
          </w:p>
        </w:tc>
        <w:tc>
          <w:tcPr>
            <w:tcW w:w="540" w:type="dxa"/>
            <w:vAlign w:val="bottom"/>
            <w:tcBorders>
              <w:top w:val="single" w:sz="8" w:color="auto"/>
            </w:tcBorders>
            <w:gridSpan w:val="2"/>
          </w:tcPr>
          <w:p>
            <w:pPr>
              <w:jc w:val="right"/>
              <w:ind w:right="34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4"/>
                <w:szCs w:val="24"/>
                <w:color w:val="auto"/>
              </w:rPr>
            </w:pPr>
          </w:p>
        </w:tc>
        <w:tc>
          <w:tcPr>
            <w:tcW w:w="140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24"/>
                <w:szCs w:val="24"/>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December 31, 2013</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MDS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8,445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57"/>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60" w:type="dxa"/>
            <w:vAlign w:val="bottom"/>
          </w:tcPr>
          <w:p>
            <w:pPr>
              <w:spacing w:after="0"/>
              <w:rPr>
                <w:sz w:val="22"/>
                <w:szCs w:val="22"/>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57,089</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50,932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6,157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19</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9" w:name="page20"/>
    <w:bookmarkEnd w:id="19"/>
    <w:p>
      <w:pPr>
        <w:jc w:val="both"/>
        <w:ind w:firstLine="432"/>
        <w:spacing w:after="0" w:line="255" w:lineRule="auto"/>
        <w:rPr>
          <w:sz w:val="20"/>
          <w:szCs w:val="20"/>
          <w:color w:val="auto"/>
        </w:rPr>
      </w:pPr>
      <w:r>
        <w:rPr>
          <w:rFonts w:ascii="Arial" w:cs="Arial" w:eastAsia="Arial" w:hAnsi="Arial"/>
          <w:sz w:val="18"/>
          <w:szCs w:val="18"/>
          <w:color w:val="auto"/>
        </w:rPr>
        <w:t>Total revenues increased $6.2 million, or 12%, to $57.1 million during the three months ended December 31, 2014 as compared to the comparable period in fiscal 2014. This increase was driven by higher defense sales of $4.9 million and higher commercial sales of $1.3 million. The increase in total revenues is primarily attributed to higher revenues from the Patriot, SEWIP, and F-35 programs. International revenues, which consist of foreign military sales through prime defense contractor customers and direct sales to non-U.S. based customers, increased $5.3 million to $14.6 million during the three months ended December 31, 2014, compared to $9.3 million in the same period in the prior fiscal year. The increase was primarily driven by higher revenues from the Patriot, Aegis, and Global Hawk programs. International revenues represented 26% and 18% of total revenues during the three months ended December 31, 2014 and 2013, respectively.</w:t>
      </w:r>
    </w:p>
    <w:p>
      <w:pPr>
        <w:spacing w:after="0" w:line="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MCE revenues increased $9.5 million, or 22%, during the three months ended December 31, 2014 as compared to the same period in the prior fiscal year. This increase was primarily driven by higher defense sales of $8.2 million related to increases from the Patriot, SEWIP, and F-35 programs, and a $1.3 million increase in commercial sales.</w:t>
      </w:r>
    </w:p>
    <w:p>
      <w:pPr>
        <w:spacing w:after="0" w:line="73"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Net MDS revenues decreased $3.7 million, or 44%, during the three months ended December 31, 2014 as compared to the same period in the previous fiscal year. This decrease was primarily driven by lower revenues related to the Gorgon Stare program in the most recent quarter.</w:t>
      </w:r>
    </w:p>
    <w:p>
      <w:pPr>
        <w:spacing w:after="0" w:line="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Gross margin was 47.4% for the three months ended December 31, 2014, a slight decrease of 40 basis points from the 47.8% gross margin achieved during the same period in fiscal 2014. The slightly lower gross margin between years was due to changes in product mix, including more revenues from certain lower-margin commercial products in the three months ended December 31, 2014 as compared to the same period in the prior fiscal 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Selling, general and administrative expenses decreased $1.2 million, or 9%, to $12.7 million during the three months ended December 31, 2014, compared to $13.9 million during the comparable period in fiscal 2014. The decrease was primarily due to lower employee compensation expenses as a result of further progress achieved on our plan of integrating and consolidating facilities, systems, and processes. This plan was successfully completed in the second quarter of fiscal 2015. Selling, general and administrative expenses decreased as a percentage of revenues to 22.2% during the three months ended December 31, 2014 from 27.4% during the same period in fiscal 2014 due to higher revenues in the second quarter of fiscal 2015 coupled with overall expense reductions, as compared to the comparable period in fiscal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Research and development expenses decreased $2.2 million, or 22%, to $7.9 million during the three months ended December 31, 2014, compared to $10.1 million during the comparable period in fiscal 2014. The decrease was primarily due to higher customer funded development during fiscal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of intangible assets was $1.8 million for both the three months ended December 31, 2014 and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3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fiscal 2014, the Company announced a restructuring plan ("2014 Plan") that was implemented as part of the final phase of integration activities relating to the Company’s recent acquisitions. The integration plan included the consolidation of manufacturing facilities, centralization of administrative functions using common information systems and processes, and realignment of research and development resources. During the second quarter of fiscal 2015, the 2014 Plan was completed and the Company incurred restructuring and other charges of $1.2 million, primarily associated with the final phase of the Chelmsford, Massachusetts headquarters consolidation and severance costs. In the event that the Company is unable to sublease the unoccupied portion of its headquarters complex in Chelmsford, Massachusetts, it will incur nominal, periodic restructuring charges through fiscal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Other income, net was $0.4 million during both the three months ended December 31, 2014 and 2013. Other income, net for the three months ended December 31, 2014 and 2013, include $0.3 million related to the amortization of the gain on the sale leaseback of our corporate headquarters located in Chelmsford, Massachusetts. Interest income and interest expense for both periods were de minimis.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44"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7"/>
          <w:szCs w:val="17"/>
          <w:color w:val="auto"/>
        </w:rPr>
        <w:t>We recorded an income tax provision of $1.0 million during the three months ended December 31, 2014 as compared to a $0.4 million income tax benefit for the comparable period in the prior fiscal year. Our income taxes for the three months ended December 31, 2014 differed from the federal statutory tax rate primarily due to the impact of federal research and development credits, Section 199 manufacturing deduction, stock compensation and state taxes. Our income tax benefit during the comparable period in fiscal 2014 also differed from the federal statutory rate primarily due to the impact of the federal research and development tax credits, Section 199 manufacturing deduction, and stock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ISCONTINUED</w:t>
      </w:r>
      <w:r>
        <w:rPr>
          <w:rFonts w:ascii="Arial" w:cs="Arial" w:eastAsia="Arial" w:hAnsi="Arial"/>
          <w:sz w:val="18"/>
          <w:szCs w:val="18"/>
          <w:color w:val="auto"/>
        </w:rPr>
        <w:t xml:space="preserve"> O</w:t>
      </w:r>
      <w:r>
        <w:rPr>
          <w:rFonts w:ascii="Arial" w:cs="Arial" w:eastAsia="Arial" w:hAnsi="Arial"/>
          <w:sz w:val="14"/>
          <w:szCs w:val="14"/>
          <w:color w:val="auto"/>
        </w:rPr>
        <w:t>PERATIONS</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incurred a loss from discontinued operations of $2.6 million in the three month ended in December 31, 2014 compared to a loss from discontinued operations of $0.3 million for the same period in fiscal 2014. The loss from discontinued operations during the three months ended December 31, 2014 included a $2.3 million impairment of goodwill in our MIS business. On January 23, 2015, we completed the sale of MIS for a price approximating the net book value of that business unit on the date of sale.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use adjusted EBITDA as the profitability measure for our segment reporting. Adjusted EBITDA for MCE increased $6.4 million during the three months ended December 31, 2014 to $10.5 million as compared to $4.1 million for the comparable period in fiscal 2014. The increase in adjusted EBITDA is driven by higher revenues of $9.5 million primarily from defense programs, coupled with lower operating expenses.</w:t>
      </w:r>
    </w:p>
    <w:p>
      <w:pPr>
        <w:spacing w:after="0" w:line="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Adjusted EBITDA for MDS decreased $0.8 million during the three months ended December 31, 2014 to $0.3 million as compared to $1.1 million for the comparable period in fiscal 2014. The decrease in adjusted EBITDA was primarily due to lower revenues from the Gorgon Stare program.</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L to our consolidated financial statements included in this report for more information regarding our operating segments.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2014 compared to the six months ended December 31, 2013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six months periods indicated, financial data from the consolidated statements of operations:</w:t>
      </w:r>
    </w:p>
    <w:p>
      <w:pPr>
        <w:spacing w:after="0" w:line="36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As a % of</w:t>
            </w:r>
          </w:p>
        </w:tc>
        <w:tc>
          <w:tcPr>
            <w:tcW w:w="10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4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Total Net</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58"/>
        </w:trPr>
        <w:tc>
          <w:tcPr>
            <w:tcW w:w="44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12"/>
              <w:spacing w:after="0" w:line="158"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2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3"/>
                <w:szCs w:val="13"/>
                <w:color w:val="auto"/>
              </w:rPr>
            </w:pPr>
          </w:p>
        </w:tc>
        <w:tc>
          <w:tcPr>
            <w:tcW w:w="980" w:type="dxa"/>
            <w:vAlign w:val="bottom"/>
          </w:tcPr>
          <w:p>
            <w:pPr>
              <w:jc w:val="right"/>
              <w:ind w:right="312"/>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101,658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60,116</w:t>
            </w:r>
          </w:p>
        </w:tc>
        <w:tc>
          <w:tcPr>
            <w:tcW w:w="10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55,771</w:t>
            </w:r>
          </w:p>
        </w:tc>
        <w:tc>
          <w:tcPr>
            <w:tcW w:w="100" w:type="dxa"/>
            <w:vAlign w:val="bottom"/>
          </w:tcPr>
          <w:p>
            <w:pPr>
              <w:spacing w:after="0"/>
              <w:rPr>
                <w:sz w:val="21"/>
                <w:szCs w:val="21"/>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51,034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45,887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3"/>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19,454</w:t>
            </w:r>
          </w:p>
        </w:tc>
        <w:tc>
          <w:tcPr>
            <w:tcW w:w="100" w:type="dxa"/>
            <w:vAlign w:val="bottom"/>
          </w:tcPr>
          <w:p>
            <w:pPr>
              <w:spacing w:after="0"/>
              <w:rPr>
                <w:sz w:val="21"/>
                <w:szCs w:val="21"/>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Restructuring and other charges</w:t>
            </w:r>
          </w:p>
        </w:tc>
        <w:tc>
          <w:tcPr>
            <w:tcW w:w="1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46,767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51,589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9"/>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Income (loss) from continuing operations before</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income taxes (benefit)</w:t>
            </w:r>
          </w:p>
        </w:tc>
        <w:tc>
          <w:tcPr>
            <w:tcW w:w="1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0"/>
                <w:szCs w:val="20"/>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(4,852)</w:t>
            </w:r>
          </w:p>
        </w:tc>
        <w:tc>
          <w:tcPr>
            <w:tcW w:w="10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Tax provision (benefit)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4"/>
              <w:spacing w:after="0" w:line="158"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36"/>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MCE</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14,569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MDS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16,361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111,150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101,658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9,492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Total revenues increased $9.5 million, or 9%, to $111.2 million during the six months ended December 31, 2014 as compared to the comparable period in fiscal 2014. This increase was driven by higher defense sales of $13.0 million, partially offset by a $3.5 million decrease in commercial sales. The increase in total revenues is primarily attributed to increases in the Patriot, SEWIP, and F-35 programs that were partially offset by lower revenues from the Aegis and Gorgon Stare programs.</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MCE revenues increased $14.6 million, or 17%, during the six months ended December 31, 2014 as compared to the same period in the prior fiscal year. This increase was primarily driven by higher defense sales of $18.1 million related to increases in the Aegis, Patriot, F-35, and Global Hawk programs, partially offset by a $3.5 million decrease in commercial sales.</w:t>
      </w:r>
    </w:p>
    <w:p>
      <w:pPr>
        <w:spacing w:after="0" w:line="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Net MDS revenues decreased $6.2 million, or 38%, during the six months ended December 31, 2014 as compared to the same period in the prior fiscal year. This decrease was primarily driven by lower revenues related to the Gorgon Stare program and radar environment test and simulation sales.</w:t>
      </w:r>
    </w:p>
    <w:p>
      <w:pPr>
        <w:spacing w:after="0" w:line="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Gross margin was 45.9% for the six months ended December 31, 2014, as compared to 45.1% gross margin during the same period in fiscal 2014. The higher gross margin between years was due to a more favorable product mix, primarily driven by stronger revenues in our higher margin digital signal processing products within MCE.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Selling, general and administrative expenses decreased $3.3 million, or 12%, to $25.0 million during the six months ended December 31, 2014, compared to $28.3 million during the comparable period in fiscal 2014. The decrease was primarily due to lower employee compensation expenses as a result of further progress achieved on our plan of integrating and consolidating facilities, systems and processes. This plan was successfully completed in the second quarter of fiscal 2015. Selling, general and administrative expenses decreased as a percentage of revenues to 22.5% during the six months ended December 31, 2014 from 27.8% during the same period in fiscal 2014 due to higher revenues in the first six months of fiscal 2015 coupled with overall expense reductions, as compared to the comparable period in fiscal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Research and development expenses decreased $3.6 million, or 19%, to $15.8 million during the six months ended December 31, 2014, compared to $19.4 million during the comparable period in fiscal 2014. The decrease was primarily due to higher customer funded development and lower headcount during fiscal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of intangible assets decreased $0.3 million, or 7%, to $3.5 million during the six months ended December 31, 2014, compared to $3.8 million during the comparable period in fiscal 2014, primarily due to a portion of the Micronetics related intangible assets being fully amortized during the first quarter of fiscal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2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3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Restructuring and other charges were $2.4 million for the six months ended December 31, 2014, as compared to less than $0.1 million during the comparable period in fiscal 2014. In fiscal 2014, the Company announced a restructuring plan ("2014 Plan") that was implemented as part of the final phase of integration activities relating to the Company’s recent acquisitions. The integration plan included the consolidation of manufacturing facilities, centralization of administrative functions using common information systems and processes, and realignment of research and development resources. During the first six months of fiscal 2015, the 2014 Plan was completed and the Company incurred restructuring and other charges of 2.4 million, primarily associated with the final phases of the Chelmsford, Massachusetts headquarters consolidation and severance costs. In the event that the Company is unable to sublease the unoccupied portion of its headquarters complex in Chelmsford, Massachusetts, it will incur nominal, periodic restructuring charges through fiscal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income, net decreased to $0.4 million during the six months ended December 31, 2014, as compared to $0.9 million for the same period in fiscal 2014. The decrease was driven by a $0.3 million write off of an escrow receivable in the first half of fiscal 2015. Other income, net for the six months ended December 31, 2014 and 2013, also includes $0.6 million in amortization of the gain on the sale leaseback of our corporate headquarters located in Chelmsford, Massachusetts. Interest income and interest expense for both periods were de minimis.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recorded an income tax provision of $1.0 million during the six months ended December 31, 2014 as compared to a $1.8 million income tax benefit for the comparable period in the prior fiscal year. Our income taxes for the six months ended December 31, 2014 differed from the federal statutory tax rate of 35% primarily due to the impact of federal research and development tax credits, Section 199 manufacturing deduction, stock compensation and state taxes. Our income tax benefit during the comparable period in fiscal 2014 also differed from the federal statutory rate primarily due to the impact of the federal research and development tax credits, Section 199 manufacturing deduction, stock compensation and state taxes.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ISCONTINUED</w:t>
      </w:r>
      <w:r>
        <w:rPr>
          <w:rFonts w:ascii="Arial" w:cs="Arial" w:eastAsia="Arial" w:hAnsi="Arial"/>
          <w:sz w:val="18"/>
          <w:szCs w:val="18"/>
          <w:color w:val="auto"/>
        </w:rPr>
        <w:t xml:space="preserve"> O</w:t>
      </w:r>
      <w:r>
        <w:rPr>
          <w:rFonts w:ascii="Arial" w:cs="Arial" w:eastAsia="Arial" w:hAnsi="Arial"/>
          <w:sz w:val="14"/>
          <w:szCs w:val="14"/>
          <w:color w:val="auto"/>
        </w:rPr>
        <w:t>PERATIONS</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incurred a loss from discontinued operations of $2.8 million in the six months ended in December 31, 2014 compared to loss from discontinued operations of $0.2 million for the same period in fiscal 2014. The loss from discontinued operations during the six months ended December 31, 2014 included a $2.3 million impairment of goodwill in our MIS business. On January 23, 2015, we completed the sale of MIS for a price approximating the net book value of that business unit on the date of sale.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use adjusted EBITDA as the profitability measure for our segment reporting. Adjusted EBITDA for MCE increased $11.4 million during the six months ended December 31, 2014 to $17.8 million as compared to $6.4 million for the comparable period in fiscal 2014. The increase in adjusted EBITDA is primarily driven by higher revenues of $14.6 million primarily from the Patriot, SEWIP and F-35 programs, coupled with higher gross margins.</w:t>
      </w:r>
    </w:p>
    <w:p>
      <w:pPr>
        <w:spacing w:after="0" w:line="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EBITDA for MDS decreased $1.4 million during the six months ended December 31, 2014 to $0.8 million as compared to $2.2 million for the comparable period in fiscal 2014. The decrease in adjusted EBITDA was primarily due to lower revenues from the Gorgon Stare program and radar environment test and simulation sales.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L to our consolidated financial statements included in this report for more information regarding our 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primary source of liquidity comes from existing cash and cash generated from operations. Our near-term fixed commitments for cash expenditures consist primarily of payments under operating leases and inventory purchase commitments with our contract manufacturers. We currently do not have any material commitments for capital expenditures.</w:t>
      </w:r>
    </w:p>
    <w:p>
      <w:pPr>
        <w:spacing w:after="0" w:line="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Credit Facility</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2014, there was $101.4 million of borrowing capacity available under our credit agreement with a syndicate of commercial banks, with Key Bank National Association acting as the administrative agent. The Company can borrow up to $200.0 million based on the Company's consolidated EBITDA for the trailing four quarters. There were no borrowings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outstanding on the credit agreement; however, there were outstanding letters of credit of $3.9 million. We were in compliance with all covenants and conditions under the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August 15, 2014,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73" w:lineRule="exact"/>
        <w:rPr>
          <w:sz w:val="20"/>
          <w:szCs w:val="20"/>
          <w:color w:val="auto"/>
        </w:rPr>
      </w:pPr>
    </w:p>
    <w:p>
      <w:pPr>
        <w:ind w:left="980" w:hanging="56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2"/>
              </w:rPr>
              <w:t>As of and for the six</w:t>
            </w:r>
          </w:p>
        </w:tc>
        <w:tc>
          <w:tcPr>
            <w:tcW w:w="880" w:type="dxa"/>
            <w:vAlign w:val="bottom"/>
          </w:tcPr>
          <w:p>
            <w:pPr>
              <w:spacing w:after="0"/>
              <w:rPr>
                <w:sz w:val="24"/>
                <w:szCs w:val="24"/>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gridSpan w:val="3"/>
          </w:tcPr>
          <w:p>
            <w:pPr>
              <w:jc w:val="center"/>
              <w:ind w:left="458"/>
              <w:spacing w:after="0" w:line="149" w:lineRule="exact"/>
              <w:rPr>
                <w:sz w:val="20"/>
                <w:szCs w:val="20"/>
                <w:color w:val="auto"/>
              </w:rPr>
            </w:pPr>
            <w:r>
              <w:rPr>
                <w:rFonts w:ascii="Arial" w:cs="Arial" w:eastAsia="Arial" w:hAnsi="Arial"/>
                <w:sz w:val="14"/>
                <w:szCs w:val="14"/>
                <w:b w:val="1"/>
                <w:bCs w:val="1"/>
                <w:color w:val="auto"/>
                <w:w w:val="92"/>
              </w:rPr>
              <w:t>month period ended</w:t>
            </w:r>
          </w:p>
        </w:tc>
        <w:tc>
          <w:tcPr>
            <w:tcW w:w="88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513"/>
              <w:spacing w:after="0"/>
              <w:rPr>
                <w:sz w:val="20"/>
                <w:szCs w:val="20"/>
                <w:color w:val="auto"/>
              </w:rPr>
            </w:pPr>
            <w:r>
              <w:rPr>
                <w:rFonts w:ascii="Arial" w:cs="Arial" w:eastAsia="Arial" w:hAnsi="Arial"/>
                <w:sz w:val="14"/>
                <w:szCs w:val="14"/>
                <w:b w:val="1"/>
                <w:bCs w:val="1"/>
                <w:color w:val="auto"/>
                <w:w w:val="83"/>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10,406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9,531</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(4,234)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9,700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5,409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56,987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44,535</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cash and cash equivalents increased by $9.7 million from June 30, 2014 to December 31, 2014, primarily as a result of $10.4 million in cash generated from operating activities, partially offset by $2.1 million in purchases of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the six months ended December 31, 2014, we generated $10.4 million in cash from operating activities compared to $9.5 million in cash generated from operating activities during the same period in fiscal 2014. During the six months ended December 31, 2014, we generated $4.1 million in higher comparable net income, had a $10.6 million decrease in cash used for payables and accrued expenses, and $3.2 million more cash generated from deferred revenue and customer advances as compared to the same period in the prior year. These increases in cash generated from operations were partially offset by the timing of accounts receivable collections of $14.4 million, and $2.7 million in higher inventory purchases and $2.1 million lower provision related to deferred taxes.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During the six months ended December 31, 2014, we used $2.1 million in investing activities compared to a use of $4.2 million in investing activities during the same period in fiscal 2014. Both amounts represent purchases of property and equipment and changes in restricted cash.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six months ended December 31, 2014, we generated $1.5 million from financing activities compared to $0.2 million generated from financing activities during the same period in fiscal 2014. The $1.3 million change in cash from financing activities was primarily due to a $0.7 million increase in proceeds from employee stock plans and a $0.5 million increase in excess tax benefits from stock-based compensation during the six months ended December 31,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ONTINGENCIES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December 31, 2014: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6"/>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34,336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23,472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lease obligations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57,934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39,498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a liability at December 31, 2014 of $3.3 million for uncertain tax positions that have been taken or are expected to be taken in various income tax returns. We do not know the ultimate resolution on these uncertain tax positions and as such, do not know the ultimate timing of payments related to this liability. Accordingly, these amounts are not included in the above table.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purchase commitments covered by these agreements are for less than one year and aggregated approximately $34.3 million at December 31, 2014.</w:t>
      </w:r>
    </w:p>
    <w:p>
      <w:pPr>
        <w:spacing w:after="0" w:line="12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December 31, 2014, we had approximately $10.9 million in net deferred tax assets. Each quarter, we determine the probability of realizing these assets, using significant judgments and estimates with respect to historical operating results, expectations of future earnings, tax planning strategies and other matters. If we determine in the future that there is not sufficient positive evidence to support the valuation of these assets, we may be required to adjust the valuation allowance accordingly. The Company continues to conclude that it is more likely than not that most domestic deferred tax assets would be realizable based on the current financial performance, projected future taxable income and the reversal of existing deferred tax liabilities.</w:t>
      </w:r>
    </w:p>
    <w:p>
      <w:pPr>
        <w:spacing w:after="0" w:line="5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record a full valuation allowance on certain state research and development and investment tax credits, and stock basis differences as of December 31, 2014 as management continues to believe that it is not more likely than not that these deferred tax assets would be realized. Any future reversals of the valuation allowance will impact income tax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Adjusted EBITDA, the profitability measure for our segment reporting, is defined as income (loss) from continuing operations before interest income and expense, income taxes, depreciation, amortization of intangible assets, restructuring and other charges,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3"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because they allow investors to evaluate the effectiveness of the methodology and information used by management in our financial and operational decision-making.</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reconciles our income (loss) from continuing operations, the most directly comparable GAAP financial measure, to our adjusted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512"/>
              <w:spacing w:after="0"/>
              <w:rPr>
                <w:sz w:val="20"/>
                <w:szCs w:val="20"/>
                <w:color w:val="auto"/>
              </w:rPr>
            </w:pPr>
            <w:r>
              <w:rPr>
                <w:rFonts w:ascii="Arial" w:cs="Arial" w:eastAsia="Arial" w:hAnsi="Arial"/>
                <w:sz w:val="14"/>
                <w:szCs w:val="14"/>
                <w:b w:val="1"/>
                <w:bCs w:val="1"/>
                <w:color w:val="auto"/>
                <w:w w:val="96"/>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 provision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3,916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3,788</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 cost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2,256</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4,807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5,604</w:t>
            </w: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18,710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8,560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Free cash flow, a non-GAAP measure for reporting cash flow, is defined as cash provided by operating activities less capital expenditures for property and equipment.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7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514"/>
              <w:spacing w:after="0"/>
              <w:rPr>
                <w:sz w:val="20"/>
                <w:szCs w:val="20"/>
                <w:color w:val="auto"/>
              </w:rPr>
            </w:pPr>
            <w:r>
              <w:rPr>
                <w:rFonts w:ascii="Arial" w:cs="Arial" w:eastAsia="Arial" w:hAnsi="Arial"/>
                <w:sz w:val="14"/>
                <w:szCs w:val="14"/>
                <w:b w:val="1"/>
                <w:bCs w:val="1"/>
                <w:color w:val="auto"/>
                <w:w w:val="96"/>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8,229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9,531</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Capital expenditures for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(3,934)</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7,011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8,283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 (assessment date). The ASU is effective for annual reporting periods beginning after December 15, 2016, and interim periods thereafter, with early adoption permitted. We do not expect a going concern problem in the foreseeable future, and therefore this guidance is not expected to have a material impact to our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6" w:name="page27"/>
    <w:bookmarkEnd w:id="26"/>
    <w:p>
      <w:pPr>
        <w:jc w:val="both"/>
        <w:ind w:firstLine="432"/>
        <w:spacing w:after="0" w:line="255" w:lineRule="auto"/>
        <w:rPr>
          <w:sz w:val="20"/>
          <w:szCs w:val="20"/>
          <w:color w:val="auto"/>
        </w:rPr>
      </w:pPr>
      <w:r>
        <w:rPr>
          <w:rFonts w:ascii="Arial" w:cs="Arial" w:eastAsia="Arial" w:hAnsi="Arial"/>
          <w:sz w:val="18"/>
          <w:szCs w:val="18"/>
          <w:color w:val="auto"/>
        </w:rPr>
        <w:t xml:space="preserve">In November 2014, the FASB issued ASU No. 2014-14, </w:t>
      </w:r>
      <w:r>
        <w:rPr>
          <w:rFonts w:ascii="Arial" w:cs="Arial" w:eastAsia="Arial" w:hAnsi="Arial"/>
          <w:sz w:val="18"/>
          <w:szCs w:val="18"/>
          <w:i w:val="1"/>
          <w:iCs w:val="1"/>
          <w:color w:val="auto"/>
        </w:rPr>
        <w:t>Pushdown Accounting (a consensus of the FASB Emerging Issues Task Force),</w:t>
      </w:r>
      <w:r>
        <w:rPr>
          <w:rFonts w:ascii="Arial" w:cs="Arial" w:eastAsia="Arial" w:hAnsi="Arial"/>
          <w:sz w:val="18"/>
          <w:szCs w:val="18"/>
          <w:color w:val="auto"/>
        </w:rPr>
        <w:t xml:space="preserve"> an amendment of the FASB Accounting Standards Codification. This ASU allows an acquired entity to elect to apply pushdown accounting in its separate financial statements on a change-in-control event. The acquired entity elects whether to apply pushdown accounting individually for each change-in-control event, and may apply pushdown accounting during the reporting period in which the change-in-control event occurs. Effective November 18, 2014, an acquired entity may apply ASU 2014-17 to future change-in-control events. As this guidance is applicable to acquired entities, we do not expect this guidance to have a material impact to our consolidated financial statements.</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additional recently issued accounting pronouncements that have been issued, but are not yet effective, please refer to our Annual Report on Form 10-K filed with the Securities and Exchange Commission on August 14,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Effective July 1, 2014, we adopted FASB ASU No. 2013-11, </w:t>
      </w:r>
      <w:r>
        <w:rPr>
          <w:rFonts w:ascii="Arial" w:cs="Arial" w:eastAsia="Arial" w:hAnsi="Arial"/>
          <w:sz w:val="17"/>
          <w:szCs w:val="17"/>
          <w:i w:val="1"/>
          <w:iCs w:val="1"/>
          <w:color w:val="auto"/>
        </w:rPr>
        <w:t>Presentation of an Unrecognized Tax Benefit When a Net Operating Loss Carryforward, a</w:t>
      </w:r>
      <w:r>
        <w:rPr>
          <w:rFonts w:ascii="Arial" w:cs="Arial" w:eastAsia="Arial" w:hAnsi="Arial"/>
          <w:sz w:val="17"/>
          <w:szCs w:val="17"/>
          <w:color w:val="auto"/>
        </w:rPr>
        <w:t xml:space="preserve"> </w:t>
      </w:r>
      <w:r>
        <w:rPr>
          <w:rFonts w:ascii="Arial" w:cs="Arial" w:eastAsia="Arial" w:hAnsi="Arial"/>
          <w:sz w:val="17"/>
          <w:szCs w:val="17"/>
          <w:i w:val="1"/>
          <w:iCs w:val="1"/>
          <w:color w:val="auto"/>
        </w:rPr>
        <w:t>Similar Tax Loss, or a Tax Credit Carryforward Exists</w:t>
      </w:r>
      <w:r>
        <w:rPr>
          <w:rFonts w:ascii="Arial" w:cs="Arial" w:eastAsia="Arial" w:hAnsi="Arial"/>
          <w:sz w:val="17"/>
          <w:szCs w:val="17"/>
          <w:color w:val="auto"/>
        </w:rPr>
        <w:t>, an amendment of the FASB Accounting Standards Codification. The ASU requires an unrecognized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tax benefit to be presented as a decrease in a deferred tax asset when net operating loss carryforwards, similar tax losses, or tax credit carryforwards exist and certain criteria are met. Such adoption did not have a material impact to our consolidated financial statements.</w:t>
      </w:r>
    </w:p>
    <w:p>
      <w:pPr>
        <w:spacing w:after="0" w:line="3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Effective October 1, 2014, we adopted FASB ASU No. 2014-08, </w:t>
      </w:r>
      <w:r>
        <w:rPr>
          <w:rFonts w:ascii="Arial" w:cs="Arial" w:eastAsia="Arial" w:hAnsi="Arial"/>
          <w:sz w:val="16"/>
          <w:szCs w:val="16"/>
          <w:i w:val="1"/>
          <w:iCs w:val="1"/>
          <w:color w:val="auto"/>
        </w:rPr>
        <w:t>Presentation of Financial Statements (Topic 205) and Property, Plant, and Equipment</w:t>
      </w:r>
      <w:r>
        <w:rPr>
          <w:rFonts w:ascii="Arial" w:cs="Arial" w:eastAsia="Arial" w:hAnsi="Arial"/>
          <w:sz w:val="16"/>
          <w:szCs w:val="16"/>
          <w:color w:val="auto"/>
        </w:rPr>
        <w:t xml:space="preserve"> </w:t>
      </w:r>
      <w:r>
        <w:rPr>
          <w:rFonts w:ascii="Arial" w:cs="Arial" w:eastAsia="Arial" w:hAnsi="Arial"/>
          <w:sz w:val="16"/>
          <w:szCs w:val="16"/>
          <w:i w:val="1"/>
          <w:iCs w:val="1"/>
          <w:color w:val="auto"/>
        </w:rPr>
        <w:t>(Topic 360)</w:t>
      </w:r>
      <w:r>
        <w:rPr>
          <w:rFonts w:ascii="Arial" w:cs="Arial" w:eastAsia="Arial" w:hAnsi="Arial"/>
          <w:sz w:val="16"/>
          <w:szCs w:val="16"/>
          <w:color w:val="auto"/>
        </w:rPr>
        <w:t>, an amendment of the FASB Accounting Standards Codification. The ASU clarifies the definition of discontinued operations by limiting</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discontinued operations reporting to disposals of components of an entity that represent strategic shifts that have (or will have) a major effect on an entity's operations and financial results. Additionally, the amendments in this ASU require expanded disclosure for discontinued operations to provide users with more information about the assets, liabilities, revenues, and expenses. Such adoption did not have a material impact to our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2014 to December 31, 2014.</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December 31, 2014.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13c-15(f) and 15d-15(f) under the Exchange Act) that occurred during the quarter ended December 31, 2014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2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2014. There have been no material changes from the factors disclosed in our 2014 Annual Report on Form 10-K filed on August 14, 2014, although we may disclose changes to such factors or disclose additional factors from time to time in our future filings with the Securities and Exchange Commission.</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940"/>
              <w:spacing w:after="0"/>
              <w:rPr>
                <w:sz w:val="20"/>
                <w:szCs w:val="20"/>
                <w:color w:val="auto"/>
              </w:rPr>
            </w:pPr>
            <w:r>
              <w:rPr>
                <w:rFonts w:ascii="Arial" w:cs="Arial" w:eastAsia="Arial" w:hAnsi="Arial"/>
                <w:sz w:val="18"/>
                <w:szCs w:val="18"/>
                <w:color w:val="auto"/>
                <w:w w:val="99"/>
              </w:rPr>
              <w:t>Certification of the Company’s Chief Executive Officer pursuant to Section 302 of the Sarbanes-Oxley Act of 2002</w:t>
            </w:r>
          </w:p>
        </w:tc>
      </w:tr>
      <w:tr>
        <w:trPr>
          <w:trHeight w:val="594"/>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94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940"/>
              <w:spacing w:after="0"/>
              <w:rPr>
                <w:sz w:val="20"/>
                <w:szCs w:val="20"/>
                <w:color w:val="auto"/>
              </w:rPr>
            </w:pPr>
            <w:r>
              <w:rPr>
                <w:rFonts w:ascii="Arial" w:cs="Arial" w:eastAsia="Arial" w:hAnsi="Arial"/>
                <w:sz w:val="18"/>
                <w:szCs w:val="18"/>
                <w:color w:val="auto"/>
                <w:w w:val="91"/>
              </w:rPr>
              <w:t>Certification of the Company’s Chief Executive Officer and Chief Financial Officer pursuant to Section 906 of the Sarbanes-</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940"/>
              <w:spacing w:after="0"/>
              <w:rPr>
                <w:sz w:val="20"/>
                <w:szCs w:val="20"/>
                <w:color w:val="auto"/>
              </w:rPr>
            </w:pPr>
            <w:r>
              <w:rPr>
                <w:rFonts w:ascii="Arial" w:cs="Arial" w:eastAsia="Arial" w:hAnsi="Arial"/>
                <w:sz w:val="18"/>
                <w:szCs w:val="18"/>
                <w:color w:val="auto"/>
                <w:w w:val="92"/>
              </w:rPr>
              <w:t>The following materials from the Company’s Quarterly Report on the Form 10-Q for the quarter ended December 31, 2014</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bl>
    <w:p>
      <w:pPr>
        <w:ind w:left="2320" w:right="500"/>
        <w:spacing w:after="0" w:line="261" w:lineRule="auto"/>
        <w:rPr>
          <w:sz w:val="20"/>
          <w:szCs w:val="20"/>
          <w:color w:val="auto"/>
        </w:rPr>
      </w:pPr>
      <w:r>
        <w:rPr>
          <w:rFonts w:ascii="Arial" w:cs="Arial" w:eastAsia="Arial" w:hAnsi="Arial"/>
          <w:sz w:val="18"/>
          <w:szCs w:val="18"/>
          <w:color w:val="auto"/>
        </w:rPr>
        <w:t>Statements of Operations; (iii) the Consolidated Statements of Cash Flows; and (iv) notes to the Consolidated Financial Statements</w:t>
      </w:r>
    </w:p>
    <w:p>
      <w:pPr>
        <w:spacing w:after="0" w:line="103" w:lineRule="exact"/>
        <w:rPr>
          <w:sz w:val="20"/>
          <w:szCs w:val="20"/>
          <w:color w:val="auto"/>
        </w:rPr>
      </w:pPr>
    </w:p>
    <w:p>
      <w:pPr>
        <w:jc w:val="both"/>
        <w:ind w:left="660" w:hanging="607"/>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February 5, 2015.</w:t>
      </w:r>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6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507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Gerald M. Haines II</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Executive Vice President,</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20"/>
          </w:cols>
          <w:pgMar w:left="240" w:top="580" w:right="9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2015</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Gerald M. Haines II, certify that:</w:t>
      </w:r>
    </w:p>
    <w:p>
      <w:pPr>
        <w:spacing w:after="0" w:line="171" w:lineRule="exact"/>
        <w:rPr>
          <w:sz w:val="20"/>
          <w:szCs w:val="20"/>
          <w:color w:val="auto"/>
        </w:rPr>
      </w:pPr>
    </w:p>
    <w:p>
      <w:pPr>
        <w:ind w:left="1620" w:hanging="964"/>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2015</w:t>
      </w:r>
    </w:p>
    <w:p>
      <w:pPr>
        <w:spacing w:after="0" w:line="171"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December 31, 2014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2015</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upperLetter"/>
      <w:start w:val="1"/>
    </w:lvl>
  </w:abstractNum>
  <w:abstractNum w:abstractNumId="3">
    <w:nsid w:val="3352255A"/>
    <w:multiLevelType w:val="hybridMultilevel"/>
    <w:lvl w:ilvl="0">
      <w:lvlJc w:val="left"/>
      <w:lvlText w:val="%1."/>
      <w:numFmt w:val="upperLetter"/>
      <w:start w:val="2"/>
    </w:lvl>
  </w:abstractNum>
  <w:abstractNum w:abstractNumId="4">
    <w:nsid w:val="109CF92E"/>
    <w:multiLevelType w:val="hybridMultilevel"/>
    <w:lvl w:ilvl="0">
      <w:lvlJc w:val="left"/>
      <w:lvlText w:val="%1."/>
      <w:numFmt w:val="upperLetter"/>
      <w:start w:val="3"/>
    </w:lvl>
  </w:abstractNum>
  <w:abstractNum w:abstractNumId="5">
    <w:nsid w:val="DED7263"/>
    <w:multiLevelType w:val="hybridMultilevel"/>
    <w:lvl w:ilvl="0">
      <w:lvlJc w:val="left"/>
      <w:lvlText w:val="%1."/>
      <w:numFmt w:val="upperLetter"/>
      <w:start w:val="4"/>
    </w:lvl>
  </w:abstractNum>
  <w:abstractNum w:abstractNumId="6">
    <w:nsid w:val="7FDCC233"/>
    <w:multiLevelType w:val="hybridMultilevel"/>
    <w:lvl w:ilvl="0">
      <w:lvlJc w:val="left"/>
      <w:lvlText w:val="%1."/>
      <w:numFmt w:val="upperLetter"/>
      <w:start w:val="5"/>
    </w:lvl>
  </w:abstractNum>
  <w:abstractNum w:abstractNumId="7">
    <w:nsid w:val="1BEFD79F"/>
    <w:multiLevelType w:val="hybridMultilevel"/>
    <w:lvl w:ilvl="0">
      <w:lvlJc w:val="left"/>
      <w:lvlText w:val="%1."/>
      <w:numFmt w:val="upperLetter"/>
      <w:start w:val="6"/>
    </w:lvl>
  </w:abstractNum>
  <w:abstractNum w:abstractNumId="8">
    <w:nsid w:val="41A7C4C9"/>
    <w:multiLevelType w:val="hybridMultilevel"/>
    <w:lvl w:ilvl="0">
      <w:lvlJc w:val="left"/>
      <w:lvlText w:val="%1."/>
      <w:numFmt w:val="upperLetter"/>
      <w:start w:val="7"/>
    </w:lvl>
  </w:abstractNum>
  <w:abstractNum w:abstractNumId="9">
    <w:nsid w:val="6B68079A"/>
    <w:multiLevelType w:val="hybridMultilevel"/>
    <w:lvl w:ilvl="0">
      <w:lvlJc w:val="left"/>
      <w:lvlText w:val="%1."/>
      <w:numFmt w:val="upperLetter"/>
      <w:start w:val="8"/>
    </w:lvl>
  </w:abstractNum>
  <w:abstractNum w:abstractNumId="10">
    <w:nsid w:val="4E6AFB66"/>
    <w:multiLevelType w:val="hybridMultilevel"/>
    <w:lvl w:ilvl="0">
      <w:lvlJc w:val="left"/>
      <w:lvlText w:val="%1."/>
      <w:numFmt w:val="upperLetter"/>
      <w:start w:val="9"/>
    </w:lvl>
  </w:abstractNum>
  <w:abstractNum w:abstractNumId="11">
    <w:nsid w:val="25E45D32"/>
    <w:multiLevelType w:val="hybridMultilevel"/>
    <w:lvl w:ilvl="0">
      <w:lvlJc w:val="left"/>
      <w:lvlText w:val="%1."/>
      <w:numFmt w:val="upperLetter"/>
      <w:start w:val="10"/>
    </w:lvl>
  </w:abstractNum>
  <w:abstractNum w:abstractNumId="12">
    <w:nsid w:val="519B500D"/>
    <w:multiLevelType w:val="hybridMultilevel"/>
    <w:lvl w:ilvl="0">
      <w:lvlJc w:val="left"/>
      <w:lvlText w:val="%1."/>
      <w:numFmt w:val="upperLetter"/>
      <w:start w:val="11"/>
    </w:lvl>
  </w:abstractNum>
  <w:abstractNum w:abstractNumId="13">
    <w:nsid w:val="431BD7B7"/>
    <w:multiLevelType w:val="hybridMultilevel"/>
    <w:lvl w:ilvl="0">
      <w:lvlJc w:val="left"/>
      <w:lvlText w:val="%1."/>
      <w:numFmt w:val="upperLetter"/>
      <w:start w:val="12"/>
    </w:lvl>
  </w:abstractNum>
  <w:abstractNum w:abstractNumId="14">
    <w:nsid w:val="3F2DBA31"/>
    <w:multiLevelType w:val="hybridMultilevel"/>
    <w:lvl w:ilvl="0">
      <w:lvlJc w:val="left"/>
      <w:lvlText w:val="•"/>
      <w:numFmt w:val="bullet"/>
      <w:start w:val="1"/>
    </w:lvl>
    <w:lvl w:ilvl="1">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upperLetter"/>
      <w:start w:val="13"/>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2019-12-29T19:23:57Z</dcterms:created>
  <dcterms:modified xsi:type="dcterms:W3CDTF">2019-12-29T19:23:57Z</dcterms:modified>
</cp:coreProperties>
</file>