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142" w:lineRule="exact"/>
        <w:rPr>
          <w:sz w:val="24"/>
          <w:szCs w:val="24"/>
          <w:color w:val="auto"/>
        </w:rPr>
      </w:pPr>
    </w:p>
    <w:p>
      <w:pPr>
        <w:ind w:left="720" w:right="1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0-23599</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MERCURY SYSTEMS, INC.</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153"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7"/>
              </w:rPr>
              <w:t>MASSACHUSETTS</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04-2741391</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466"/>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50 MINUTEMAN ROAD</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ANDOVER, MA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01810</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420" w:type="dxa"/>
            <w:vAlign w:val="bottom"/>
          </w:tcPr>
          <w:p>
            <w:pPr>
              <w:spacing w:after="0"/>
              <w:rPr>
                <w:sz w:val="24"/>
                <w:szCs w:val="24"/>
                <w:color w:val="auto"/>
              </w:rPr>
            </w:pPr>
          </w:p>
        </w:tc>
        <w:tc>
          <w:tcPr>
            <w:tcW w:w="5260" w:type="dxa"/>
            <w:vAlign w:val="bottom"/>
          </w:tcPr>
          <w:p>
            <w:pPr>
              <w:jc w:val="right"/>
              <w:ind w:right="3000"/>
              <w:spacing w:after="0"/>
              <w:rPr>
                <w:sz w:val="20"/>
                <w:szCs w:val="20"/>
                <w:color w:val="auto"/>
              </w:rPr>
            </w:pPr>
            <w:r>
              <w:rPr>
                <w:rFonts w:ascii="Arial" w:cs="Arial" w:eastAsia="Arial" w:hAnsi="Arial"/>
                <w:sz w:val="18"/>
                <w:szCs w:val="18"/>
                <w:b w:val="1"/>
                <w:bCs w:val="1"/>
                <w:color w:val="auto"/>
              </w:rPr>
              <w:t>978-256-1300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74" w:lineRule="exact"/>
        <w:rPr>
          <w:sz w:val="24"/>
          <w:szCs w:val="24"/>
          <w:color w:val="auto"/>
        </w:rPr>
      </w:pPr>
    </w:p>
    <w:p>
      <w:pPr>
        <w:ind w:left="4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18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40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3120" w:type="dxa"/>
            <w:vAlign w:val="bottom"/>
            <w:vMerge w:val="restart"/>
          </w:tcPr>
          <w:p>
            <w:pPr>
              <w:ind w:left="460"/>
              <w:spacing w:after="0"/>
              <w:rPr>
                <w:sz w:val="20"/>
                <w:szCs w:val="20"/>
                <w:color w:val="auto"/>
              </w:rPr>
            </w:pPr>
            <w:r>
              <w:rPr>
                <w:rFonts w:ascii="Arial" w:cs="Arial" w:eastAsia="Arial" w:hAnsi="Arial"/>
                <w:sz w:val="18"/>
                <w:szCs w:val="18"/>
                <w:color w:val="auto"/>
              </w:rPr>
              <w:t>x</w:t>
            </w:r>
          </w:p>
        </w:tc>
        <w:tc>
          <w:tcPr>
            <w:tcW w:w="4940" w:type="dxa"/>
            <w:vAlign w:val="bottom"/>
            <w:vMerge w:val="restart"/>
          </w:tcPr>
          <w:p>
            <w:pPr>
              <w:ind w:left="248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120" w:type="dxa"/>
            <w:vAlign w:val="bottom"/>
            <w:vMerge w:val="continue"/>
          </w:tcPr>
          <w:p>
            <w:pPr>
              <w:spacing w:after="0"/>
              <w:rPr>
                <w:sz w:val="17"/>
                <w:szCs w:val="17"/>
                <w:color w:val="auto"/>
              </w:rPr>
            </w:pPr>
          </w:p>
        </w:tc>
        <w:tc>
          <w:tcPr>
            <w:tcW w:w="49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05"/>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 w:lineRule="exact"/>
        <w:rPr>
          <w:sz w:val="24"/>
          <w:szCs w:val="24"/>
          <w:color w:val="auto"/>
        </w:rPr>
      </w:pPr>
    </w:p>
    <w:p>
      <w:pPr>
        <w:ind w:left="440" w:right="146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Shares of Common Stock outstanding as of April 30, 2018: 48,190,006 shares</w:t>
      </w:r>
    </w:p>
    <w:p>
      <w:pPr>
        <w:sectPr>
          <w:pgSz w:w="11900" w:h="16838" w:orient="portrait"/>
          <w:cols w:equalWidth="0" w:num="1">
            <w:col w:w="11380"/>
          </w:cols>
          <w:pgMar w:left="240" w:top="215" w:right="27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b w:val="1"/>
                <w:bCs w:val="1"/>
                <w:color w:val="auto"/>
              </w:rPr>
              <w:t>PAGE</w:t>
            </w:r>
          </w:p>
        </w:tc>
      </w:tr>
      <w:tr>
        <w:trPr>
          <w:trHeight w:val="192"/>
        </w:trPr>
        <w:tc>
          <w:tcPr>
            <w:tcW w:w="1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NUMBER</w:t>
            </w:r>
          </w:p>
        </w:tc>
      </w:tr>
      <w:tr>
        <w:trPr>
          <w:trHeight w:val="230"/>
        </w:trPr>
        <w:tc>
          <w:tcPr>
            <w:tcW w:w="10360" w:type="dxa"/>
            <w:vAlign w:val="bottom"/>
            <w:gridSpan w:val="15"/>
          </w:tcPr>
          <w:p>
            <w:pPr>
              <w:spacing w:after="0"/>
              <w:rPr>
                <w:sz w:val="20"/>
                <w:szCs w:val="20"/>
                <w:color w:val="auto"/>
              </w:rPr>
            </w:pPr>
            <w:r>
              <w:rPr>
                <w:rFonts w:ascii="Arial" w:cs="Arial" w:eastAsia="Arial" w:hAnsi="Arial"/>
                <w:sz w:val="18"/>
                <w:szCs w:val="18"/>
                <w:color w:val="auto"/>
              </w:rPr>
              <w:t>PART I. FINANCIAL INFORMATION</w:t>
            </w:r>
          </w:p>
        </w:tc>
        <w:tc>
          <w:tcPr>
            <w:tcW w:w="1020" w:type="dxa"/>
            <w:vAlign w:val="bottom"/>
          </w:tcPr>
          <w:p>
            <w:pPr>
              <w:spacing w:after="0"/>
              <w:rPr>
                <w:sz w:val="19"/>
                <w:szCs w:val="19"/>
                <w:color w:val="auto"/>
              </w:rPr>
            </w:pPr>
          </w:p>
        </w:tc>
      </w:tr>
      <w:tr>
        <w:trPr>
          <w:trHeight w:val="567"/>
        </w:trPr>
        <w:tc>
          <w:tcPr>
            <w:tcW w:w="184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140" w:type="dxa"/>
            <w:vAlign w:val="bottom"/>
            <w:gridSpan w:val="7"/>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74"/>
        </w:trPr>
        <w:tc>
          <w:tcPr>
            <w:tcW w:w="1840" w:type="dxa"/>
            <w:vAlign w:val="bottom"/>
          </w:tcPr>
          <w:p>
            <w:pPr>
              <w:spacing w:after="0"/>
              <w:rPr>
                <w:sz w:val="24"/>
                <w:szCs w:val="24"/>
                <w:color w:val="auto"/>
              </w:rPr>
            </w:pPr>
          </w:p>
        </w:tc>
        <w:tc>
          <w:tcPr>
            <w:tcW w:w="50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March 31, 2018 and June 30, 2017</w:t>
              </w:r>
            </w:hyperlink>
          </w:p>
        </w:tc>
        <w:tc>
          <w:tcPr>
            <w:tcW w:w="3500" w:type="dxa"/>
            <w:vAlign w:val="bottom"/>
            <w:gridSpan w:val="4"/>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74"/>
        </w:trPr>
        <w:tc>
          <w:tcPr>
            <w:tcW w:w="1840" w:type="dxa"/>
            <w:vAlign w:val="bottom"/>
          </w:tcPr>
          <w:p>
            <w:pPr>
              <w:spacing w:after="0"/>
              <w:rPr>
                <w:sz w:val="24"/>
                <w:szCs w:val="24"/>
                <w:color w:val="auto"/>
              </w:rPr>
            </w:pPr>
          </w:p>
        </w:tc>
        <w:tc>
          <w:tcPr>
            <w:tcW w:w="8520" w:type="dxa"/>
            <w:vAlign w:val="bottom"/>
            <w:gridSpan w:val="14"/>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Consolidated Statements of Operations and Comprehensive Income for the three and nine months ended March 31,</w:t>
              </w:r>
            </w:hyperlink>
          </w:p>
        </w:tc>
        <w:tc>
          <w:tcPr>
            <w:tcW w:w="1020" w:type="dxa"/>
            <w:vAlign w:val="bottom"/>
          </w:tcPr>
          <w:p>
            <w:pPr>
              <w:spacing w:after="0"/>
              <w:rPr>
                <w:sz w:val="24"/>
                <w:szCs w:val="24"/>
                <w:color w:val="auto"/>
              </w:rPr>
            </w:pPr>
          </w:p>
        </w:tc>
      </w:tr>
      <w:tr>
        <w:trPr>
          <w:trHeight w:val="196"/>
        </w:trPr>
        <w:tc>
          <w:tcPr>
            <w:tcW w:w="1840" w:type="dxa"/>
            <w:vAlign w:val="bottom"/>
          </w:tcPr>
          <w:p>
            <w:pPr>
              <w:spacing w:after="0"/>
              <w:rPr>
                <w:sz w:val="17"/>
                <w:szCs w:val="17"/>
                <w:color w:val="auto"/>
              </w:rPr>
            </w:pPr>
          </w:p>
        </w:tc>
        <w:tc>
          <w:tcPr>
            <w:tcW w:w="82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2018 and 2017</w:t>
              </w:r>
            </w:hyperlink>
          </w:p>
        </w:tc>
        <w:tc>
          <w:tcPr>
            <w:tcW w:w="240" w:type="dxa"/>
            <w:vAlign w:val="bottom"/>
          </w:tcPr>
          <w:p>
            <w:pPr>
              <w:spacing w:after="0"/>
              <w:rPr>
                <w:sz w:val="17"/>
                <w:szCs w:val="17"/>
                <w:color w:val="auto"/>
              </w:rPr>
            </w:pPr>
          </w:p>
        </w:tc>
        <w:tc>
          <w:tcPr>
            <w:tcW w:w="1020" w:type="dxa"/>
            <w:vAlign w:val="bottom"/>
          </w:tcPr>
          <w:p>
            <w:pPr>
              <w:jc w:val="right"/>
              <w:spacing w:after="0" w:line="196" w:lineRule="exact"/>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840" w:type="dxa"/>
            <w:vAlign w:val="bottom"/>
          </w:tcPr>
          <w:p>
            <w:pPr>
              <w:spacing w:after="0"/>
              <w:rPr>
                <w:sz w:val="24"/>
                <w:szCs w:val="24"/>
                <w:color w:val="auto"/>
              </w:rPr>
            </w:pPr>
          </w:p>
        </w:tc>
        <w:tc>
          <w:tcPr>
            <w:tcW w:w="852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for the nine months ended March 31, 2018 and 2017</w:t>
              </w:r>
            </w:hyperlink>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574"/>
        </w:trPr>
        <w:tc>
          <w:tcPr>
            <w:tcW w:w="1840" w:type="dxa"/>
            <w:vAlign w:val="bottom"/>
          </w:tcPr>
          <w:p>
            <w:pPr>
              <w:spacing w:after="0"/>
              <w:rPr>
                <w:sz w:val="24"/>
                <w:szCs w:val="24"/>
                <w:color w:val="auto"/>
              </w:rPr>
            </w:pPr>
          </w:p>
        </w:tc>
        <w:tc>
          <w:tcPr>
            <w:tcW w:w="6680" w:type="dxa"/>
            <w:vAlign w:val="bottom"/>
            <w:tcBorders>
              <w:top w:val="single" w:sz="8" w:color="0000EE"/>
            </w:tcBorders>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1840" w:type="dxa"/>
            <w:vAlign w:val="bottom"/>
            <w:gridSpan w:val="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20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3.</w:t>
            </w:r>
          </w:p>
        </w:tc>
        <w:tc>
          <w:tcPr>
            <w:tcW w:w="852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102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4220" w:type="dxa"/>
            <w:vAlign w:val="bottom"/>
            <w:gridSpan w:val="5"/>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76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15"/>
        </w:trPr>
        <w:tc>
          <w:tcPr>
            <w:tcW w:w="10360" w:type="dxa"/>
            <w:vAlign w:val="bottom"/>
            <w:gridSpan w:val="15"/>
          </w:tcPr>
          <w:p>
            <w:pPr>
              <w:spacing w:after="0"/>
              <w:rPr>
                <w:sz w:val="20"/>
                <w:szCs w:val="20"/>
                <w:color w:val="auto"/>
              </w:rPr>
            </w:pPr>
            <w:r>
              <w:rPr>
                <w:rFonts w:ascii="Arial" w:cs="Arial" w:eastAsia="Arial" w:hAnsi="Arial"/>
                <w:sz w:val="18"/>
                <w:szCs w:val="18"/>
                <w:color w:val="auto"/>
              </w:rPr>
              <w:t>PART II. OTHER INFORMATION</w:t>
            </w:r>
          </w:p>
        </w:tc>
        <w:tc>
          <w:tcPr>
            <w:tcW w:w="1020" w:type="dxa"/>
            <w:vAlign w:val="bottom"/>
          </w:tcPr>
          <w:p>
            <w:pPr>
              <w:spacing w:after="0"/>
              <w:rPr>
                <w:sz w:val="24"/>
                <w:szCs w:val="24"/>
                <w:color w:val="auto"/>
              </w:rPr>
            </w:pPr>
          </w:p>
        </w:tc>
      </w:tr>
      <w:tr>
        <w:trPr>
          <w:trHeight w:val="554"/>
        </w:trPr>
        <w:tc>
          <w:tcPr>
            <w:tcW w:w="1840" w:type="dxa"/>
            <w:vAlign w:val="bottom"/>
          </w:tcPr>
          <w:p>
            <w:pPr>
              <w:spacing w:after="0"/>
              <w:rPr>
                <w:sz w:val="20"/>
                <w:szCs w:val="20"/>
                <w:color w:val="auto"/>
              </w:rPr>
            </w:pPr>
            <w:r>
              <w:rPr>
                <w:rFonts w:ascii="Arial" w:cs="Arial" w:eastAsia="Arial" w:hAnsi="Arial"/>
                <w:sz w:val="18"/>
                <w:szCs w:val="18"/>
                <w:color w:val="auto"/>
              </w:rPr>
              <w:t>Item 1.</w:t>
            </w:r>
          </w:p>
        </w:tc>
        <w:tc>
          <w:tcPr>
            <w:tcW w:w="852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10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200" w:type="dxa"/>
            <w:vAlign w:val="bottom"/>
            <w:gridSpan w:val="9"/>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Exhibits</w:t>
              </w:r>
            </w:hyperlink>
          </w:p>
        </w:tc>
        <w:tc>
          <w:tcPr>
            <w:tcW w:w="7920" w:type="dxa"/>
            <w:vAlign w:val="bottom"/>
            <w:gridSpan w:val="1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574"/>
        </w:trPr>
        <w:tc>
          <w:tcPr>
            <w:tcW w:w="18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Signatures</w:t>
              </w:r>
            </w:hyperlink>
          </w:p>
        </w:tc>
        <w:tc>
          <w:tcPr>
            <w:tcW w:w="7760" w:type="dxa"/>
            <w:vAlign w:val="bottom"/>
            <w:gridSpan w:val="1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669"/>
        </w:trPr>
        <w:tc>
          <w:tcPr>
            <w:tcW w:w="1840" w:type="dxa"/>
            <w:vAlign w:val="bottom"/>
          </w:tcPr>
          <w:p>
            <w:pPr>
              <w:spacing w:after="0"/>
              <w:rPr>
                <w:sz w:val="24"/>
                <w:szCs w:val="24"/>
                <w:color w:val="auto"/>
              </w:rPr>
            </w:pPr>
          </w:p>
        </w:tc>
        <w:tc>
          <w:tcPr>
            <w:tcW w:w="4300" w:type="dxa"/>
            <w:vAlign w:val="bottom"/>
            <w:gridSpan w:val="9"/>
          </w:tcPr>
          <w:p>
            <w:pPr>
              <w:ind w:left="3780"/>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6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SYSTEMS,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jc w:val="right"/>
        <w:ind w:right="440"/>
        <w:spacing w:after="0"/>
        <w:tabs>
          <w:tab w:leader="none" w:pos="48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June 30,</w:t>
      </w:r>
    </w:p>
    <w:p>
      <w:pPr>
        <w:spacing w:after="0" w:line="4" w:lineRule="exact"/>
        <w:rPr>
          <w:sz w:val="20"/>
          <w:szCs w:val="20"/>
          <w:color w:val="auto"/>
        </w:rPr>
      </w:pPr>
    </w:p>
    <w:p>
      <w:pPr>
        <w:jc w:val="both"/>
        <w:ind w:left="9120"/>
        <w:spacing w:after="0"/>
        <w:tabs>
          <w:tab w:leader="none" w:pos="105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w:t>
      </w:r>
    </w:p>
    <w:p>
      <w:pPr>
        <w:sectPr>
          <w:pgSz w:w="11900" w:h="16838" w:orient="portrait"/>
          <w:cols w:equalWidth="0" w:num="1">
            <w:col w:w="11420"/>
          </w:cols>
          <w:pgMar w:left="240" w:top="580" w:right="239" w:bottom="1440" w:gutter="0" w:footer="0" w:header="0"/>
        </w:sectPr>
      </w:pP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200" w:type="dxa"/>
            <w:vAlign w:val="bottom"/>
          </w:tcPr>
          <w:p>
            <w:pPr>
              <w:spacing w:after="0"/>
              <w:rPr>
                <w:sz w:val="20"/>
                <w:szCs w:val="20"/>
                <w:color w:val="auto"/>
              </w:rPr>
            </w:pPr>
            <w:r>
              <w:rPr>
                <w:rFonts w:ascii="Arial" w:cs="Arial" w:eastAsia="Arial" w:hAnsi="Arial"/>
                <w:sz w:val="14"/>
                <w:szCs w:val="14"/>
                <w:color w:val="auto"/>
              </w:rPr>
              <w:t>Current assets:</w:t>
            </w: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3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20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color w:val="auto"/>
        </w:rPr>
        <w:t>Accounts receivable, net of allowance for doubtful accounts of $52 and $83 at March 31, 2018 and June 30,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Unbilled receivables and costs in excess of billings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shd w:val="clear" w:color="auto" w:fill="CCEEFF"/>
        </w:rPr>
        <w:t>Prepaid income taxes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shd w:val="clear" w:color="auto" w:fill="CCEEFF"/>
        </w:rPr>
        <w:t>Total current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shd w:val="clear" w:color="auto" w:fill="CCEEFF"/>
        </w:rPr>
        <w:t>Goodwill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shd w:val="clear" w:color="auto" w:fill="CCEEFF"/>
        </w:rPr>
        <w:t>Other non-current assets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60" w:type="dxa"/>
            <w:vAlign w:val="bottom"/>
            <w:gridSpan w:val="3"/>
          </w:tcPr>
          <w:p>
            <w:pPr>
              <w:ind w:left="340"/>
              <w:spacing w:after="0"/>
              <w:rPr>
                <w:sz w:val="20"/>
                <w:szCs w:val="20"/>
                <w:color w:val="auto"/>
              </w:rPr>
            </w:pPr>
            <w:r>
              <w:rPr>
                <w:rFonts w:ascii="Arial" w:cs="Arial" w:eastAsia="Arial" w:hAnsi="Arial"/>
                <w:sz w:val="14"/>
                <w:szCs w:val="14"/>
                <w:color w:val="auto"/>
              </w:rPr>
              <w:t>Total assets</w:t>
            </w:r>
          </w:p>
        </w:tc>
        <w:tc>
          <w:tcPr>
            <w:tcW w:w="3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180" w:type="dxa"/>
            <w:vAlign w:val="bottom"/>
            <w:vMerge w:val="restart"/>
          </w:tcPr>
          <w:p>
            <w:pPr>
              <w:spacing w:after="0"/>
              <w:rPr>
                <w:sz w:val="4"/>
                <w:szCs w:val="4"/>
                <w:color w:val="auto"/>
              </w:rPr>
            </w:pPr>
          </w:p>
        </w:tc>
        <w:tc>
          <w:tcPr>
            <w:tcW w:w="3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1"/>
                <w:shd w:val="clear" w:color="auto" w:fill="CCEEFF"/>
              </w:rPr>
              <w:t>Liabilities and Shareholders’ Equity</w:t>
            </w:r>
          </w:p>
        </w:tc>
        <w:tc>
          <w:tcPr>
            <w:tcW w:w="3180" w:type="dxa"/>
            <w:vAlign w:val="bottom"/>
            <w:vMerge w:val="continue"/>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5400" w:type="dxa"/>
            <w:vAlign w:val="bottom"/>
            <w:gridSpan w:val="5"/>
          </w:tcPr>
          <w:p>
            <w:pPr>
              <w:spacing w:after="0"/>
              <w:rPr>
                <w:sz w:val="20"/>
                <w:szCs w:val="20"/>
                <w:color w:val="auto"/>
              </w:rPr>
            </w:pPr>
            <w:r>
              <w:rPr>
                <w:rFonts w:ascii="Arial" w:cs="Arial" w:eastAsia="Arial" w:hAnsi="Arial"/>
                <w:sz w:val="14"/>
                <w:szCs w:val="14"/>
                <w:color w:val="auto"/>
              </w:rPr>
              <w:t>Current liabilities:</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20" w:type="dxa"/>
            <w:vAlign w:val="bottom"/>
            <w:gridSpan w:val="2"/>
            <w:vMerge w:val="restart"/>
          </w:tcPr>
          <w:p>
            <w:pPr>
              <w:spacing w:after="0"/>
              <w:rPr>
                <w:sz w:val="9"/>
                <w:szCs w:val="9"/>
                <w:color w:val="auto"/>
              </w:rPr>
            </w:pPr>
          </w:p>
        </w:tc>
        <w:tc>
          <w:tcPr>
            <w:tcW w:w="3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shd w:val="clear" w:color="auto" w:fill="CCEEFF"/>
              </w:rPr>
              <w:t>Accounts payable</w:t>
            </w:r>
          </w:p>
        </w:tc>
        <w:tc>
          <w:tcPr>
            <w:tcW w:w="4020" w:type="dxa"/>
            <w:vAlign w:val="bottom"/>
            <w:gridSpan w:val="2"/>
            <w:vMerge w:val="continue"/>
          </w:tcPr>
          <w:p>
            <w:pPr>
              <w:spacing w:after="0"/>
              <w:rPr>
                <w:sz w:val="12"/>
                <w:szCs w:val="12"/>
                <w:color w:val="auto"/>
              </w:rPr>
            </w:pPr>
          </w:p>
        </w:tc>
        <w:tc>
          <w:tcPr>
            <w:tcW w:w="3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60" w:type="dxa"/>
            <w:vAlign w:val="bottom"/>
            <w:gridSpan w:val="3"/>
            <w:vMerge w:val="restart"/>
          </w:tcPr>
          <w:p>
            <w:pPr>
              <w:spacing w:after="0"/>
              <w:rPr>
                <w:sz w:val="20"/>
                <w:szCs w:val="20"/>
                <w:color w:val="auto"/>
              </w:rPr>
            </w:pPr>
            <w:r>
              <w:rPr>
                <w:rFonts w:ascii="Arial" w:cs="Arial" w:eastAsia="Arial" w:hAnsi="Arial"/>
                <w:sz w:val="14"/>
                <w:szCs w:val="14"/>
                <w:color w:val="auto"/>
              </w:rPr>
              <w:t>Accrued expenses</w:t>
            </w: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60" w:type="dxa"/>
            <w:vAlign w:val="bottom"/>
            <w:gridSpan w:val="3"/>
            <w:vMerge w:val="continue"/>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4"/>
          <w:szCs w:val="14"/>
          <w:color w:val="auto"/>
          <w:shd w:val="clear" w:color="auto" w:fill="CCEEFF"/>
        </w:rPr>
        <w:t>Accrued compensation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revenues and customer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shd w:val="clear" w:color="auto" w:fill="CCEEFF"/>
        </w:rPr>
        <w:t>Total current liabilities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shd w:val="clear" w:color="auto" w:fill="CCEEFF"/>
        </w:rPr>
        <w:t>Income taxes payable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shd w:val="clear" w:color="auto" w:fill="CCEEFF"/>
        </w:rPr>
        <w:t>Other non-current liabilities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shd w:val="clear" w:color="auto" w:fill="CCEEFF"/>
        </w:rPr>
        <w:t>Commitments and contingencies (Note M)</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shd w:val="clear" w:color="auto" w:fill="CCEEFF"/>
        </w:rPr>
        <w:t>Preferred stock, $0.01 par value; 1,000,000 shares authorized; no shares issued or outstanding</w:t>
      </w:r>
    </w:p>
    <w:p>
      <w:pPr>
        <w:spacing w:after="0" w:line="109" w:lineRule="exact"/>
        <w:rPr>
          <w:sz w:val="20"/>
          <w:szCs w:val="20"/>
          <w:color w:val="auto"/>
        </w:rPr>
      </w:pPr>
    </w:p>
    <w:p>
      <w:pPr>
        <w:ind w:left="380" w:right="180"/>
        <w:spacing w:after="0" w:line="253" w:lineRule="auto"/>
        <w:rPr>
          <w:sz w:val="20"/>
          <w:szCs w:val="20"/>
          <w:color w:val="auto"/>
        </w:rPr>
      </w:pPr>
      <w:r>
        <w:rPr>
          <w:rFonts w:ascii="Arial" w:cs="Arial" w:eastAsia="Arial" w:hAnsi="Arial"/>
          <w:sz w:val="14"/>
          <w:szCs w:val="14"/>
          <w:color w:val="auto"/>
        </w:rPr>
        <w:t>Common stock, $0.01 par value; 85,000,000 shares authorized; 46,840,575 and 46,303,075 shares issued and outstanding at March 31, 2018 and June 30,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color w:val="auto"/>
          <w:shd w:val="clear" w:color="auto" w:fill="CCEEFF"/>
        </w:rPr>
        <w:t>Additional paid-in capital</w:t>
      </w:r>
    </w:p>
    <w:p>
      <w:pPr>
        <w:spacing w:after="0" w:line="109"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5440" w:type="dxa"/>
            <w:vAlign w:val="bottom"/>
          </w:tcPr>
          <w:p>
            <w:pPr>
              <w:spacing w:after="0"/>
              <w:rPr>
                <w:sz w:val="20"/>
                <w:szCs w:val="20"/>
                <w:color w:val="auto"/>
              </w:rPr>
            </w:pPr>
            <w:r>
              <w:rPr>
                <w:rFonts w:ascii="Arial" w:cs="Arial" w:eastAsia="Arial" w:hAnsi="Arial"/>
                <w:sz w:val="14"/>
                <w:szCs w:val="14"/>
                <w:color w:val="auto"/>
              </w:rPr>
              <w:t>Retained earnings</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4"/>
                <w:szCs w:val="14"/>
                <w:color w:val="auto"/>
                <w:shd w:val="clear" w:color="auto" w:fill="CCEEFF"/>
              </w:rPr>
              <w:t>Accumulated other comprehensive income</w:t>
            </w: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340"/>
              <w:spacing w:after="0"/>
              <w:rPr>
                <w:sz w:val="20"/>
                <w:szCs w:val="20"/>
                <w:color w:val="auto"/>
              </w:rPr>
            </w:pPr>
            <w:r>
              <w:rPr>
                <w:rFonts w:ascii="Arial" w:cs="Arial" w:eastAsia="Arial" w:hAnsi="Arial"/>
                <w:sz w:val="14"/>
                <w:szCs w:val="14"/>
                <w:color w:val="auto"/>
              </w:rPr>
              <w:t>Total shareholders’ equity</w:t>
            </w: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340"/>
              <w:spacing w:after="0"/>
              <w:rPr>
                <w:sz w:val="20"/>
                <w:szCs w:val="20"/>
                <w:color w:val="auto"/>
              </w:rPr>
            </w:pPr>
            <w:r>
              <w:rPr>
                <w:rFonts w:ascii="Arial" w:cs="Arial" w:eastAsia="Arial" w:hAnsi="Arial"/>
                <w:sz w:val="14"/>
                <w:szCs w:val="14"/>
                <w:color w:val="auto"/>
                <w:shd w:val="clear" w:color="auto" w:fill="CCEEFF"/>
              </w:rPr>
              <w:t>Total liabilities and shareholders’ equity</w:t>
            </w:r>
          </w:p>
        </w:tc>
        <w:tc>
          <w:tcPr>
            <w:tcW w:w="2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2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44,217</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41,637</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101,400</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76,341</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40,177</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37,332</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117,075</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81,071</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2,487</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1,434</w:t>
            </w:r>
          </w:p>
        </w:tc>
      </w:tr>
      <w:tr>
        <w:trPr>
          <w:trHeight w:val="276"/>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7,802</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8,381</w:t>
            </w:r>
          </w:p>
        </w:tc>
      </w:tr>
      <w:tr>
        <w:trPr>
          <w:trHeight w:val="244"/>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313,158</w:t>
            </w:r>
          </w:p>
        </w:tc>
        <w:tc>
          <w:tcPr>
            <w:tcW w:w="4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246,196</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51,291</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51,643</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499,292</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380,846</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186,391</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129,037</w:t>
            </w:r>
          </w:p>
        </w:tc>
      </w:tr>
      <w:tr>
        <w:trPr>
          <w:trHeight w:val="276"/>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6,814</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8,023</w:t>
            </w:r>
          </w:p>
        </w:tc>
      </w:tr>
      <w:tr>
        <w:trPr>
          <w:trHeight w:val="237"/>
        </w:trPr>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1,056,946</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815,745</w:t>
            </w:r>
          </w:p>
        </w:tc>
      </w:tr>
      <w:tr>
        <w:trPr>
          <w:trHeight w:val="20"/>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85"/>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32,857</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27,485</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16,655</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20,594</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20,288</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18,406</w:t>
            </w:r>
          </w:p>
        </w:tc>
      </w:tr>
      <w:tr>
        <w:trPr>
          <w:trHeight w:val="276"/>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9,537</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6,360</w:t>
            </w:r>
          </w:p>
        </w:tc>
      </w:tr>
      <w:tr>
        <w:trPr>
          <w:trHeight w:val="244"/>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79,337</w:t>
            </w:r>
          </w:p>
        </w:tc>
        <w:tc>
          <w:tcPr>
            <w:tcW w:w="4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72,845</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14,161</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4,856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-1389380</wp:posOffset>
            </wp:positionV>
            <wp:extent cx="883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-1552575</wp:posOffset>
            </wp:positionV>
            <wp:extent cx="8832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68" w:lineRule="exact"/>
        <w:rPr>
          <w:sz w:val="20"/>
          <w:szCs w:val="20"/>
          <w:color w:val="auto"/>
        </w:rPr>
      </w:pPr>
    </w:p>
    <w:p>
      <w:pPr>
        <w:ind w:left="1840" w:hanging="1476"/>
        <w:spacing w:after="0"/>
        <w:tabs>
          <w:tab w:leader="none" w:pos="1840" w:val="left"/>
        </w:tabs>
        <w:numPr>
          <w:ilvl w:val="0"/>
          <w:numId w:val="3"/>
        </w:numPr>
        <w:rPr>
          <w:rFonts w:ascii="Arial" w:cs="Arial" w:eastAsia="Arial" w:hAnsi="Arial"/>
          <w:sz w:val="14"/>
          <w:szCs w:val="14"/>
          <w:color w:val="auto"/>
        </w:rPr>
      </w:pPr>
      <w:r>
        <w:rPr>
          <w:rFonts w:ascii="Arial" w:cs="Arial" w:eastAsia="Arial" w:hAnsi="Arial"/>
          <w:sz w:val="14"/>
          <w:szCs w:val="14"/>
          <w:color w:val="auto"/>
        </w:rPr>
        <w:t>855</w:t>
      </w:r>
    </w:p>
    <w:p>
      <w:pPr>
        <w:spacing w:after="0" w:line="109"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195,000—</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11,797</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11,772</w:t>
            </w:r>
          </w:p>
        </w:tc>
      </w:tr>
      <w:tr>
        <w:trPr>
          <w:trHeight w:val="244"/>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301,150</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90,328</w:t>
            </w:r>
          </w:p>
        </w:tc>
      </w:tr>
      <w:tr>
        <w:trPr>
          <w:trHeight w:val="81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468</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463</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584,855</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584,795</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169,867</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139,085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-1243965</wp:posOffset>
            </wp:positionV>
            <wp:extent cx="8832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68" w:lineRule="exact"/>
        <w:rPr>
          <w:sz w:val="20"/>
          <w:szCs w:val="20"/>
          <w:color w:val="auto"/>
        </w:rPr>
      </w:pPr>
    </w:p>
    <w:p>
      <w:pPr>
        <w:ind w:left="1720" w:hanging="1356"/>
        <w:spacing w:after="0"/>
        <w:tabs>
          <w:tab w:leader="none" w:pos="1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1,074</w:t>
      </w:r>
    </w:p>
    <w:p>
      <w:pPr>
        <w:spacing w:after="0" w:line="109"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755,796</w:t>
      </w:r>
      <w:r>
        <w:rPr>
          <w:rFonts w:ascii="Arial" w:cs="Arial" w:eastAsia="Arial" w:hAnsi="Arial"/>
          <w:sz w:val="13"/>
          <w:szCs w:val="13"/>
          <w:color w:val="auto"/>
        </w:rPr>
        <w:t>725,417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-149860</wp:posOffset>
            </wp:positionV>
            <wp:extent cx="1809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6" w:lineRule="exact"/>
        <w:rPr>
          <w:sz w:val="20"/>
          <w:szCs w:val="20"/>
          <w:color w:val="auto"/>
        </w:rPr>
      </w:pPr>
    </w:p>
    <w:p>
      <w:pPr>
        <w:spacing w:after="0"/>
        <w:tabs>
          <w:tab w:leader="none" w:pos="820" w:val="left"/>
          <w:tab w:leader="none" w:pos="1560" w:val="left"/>
        </w:tabs>
        <w:rPr>
          <w:sz w:val="20"/>
          <w:szCs w:val="20"/>
          <w:color w:val="auto"/>
        </w:rPr>
      </w:pPr>
      <w:r>
        <w:rPr>
          <w:rFonts w:ascii="Arial" w:cs="Arial" w:eastAsia="Arial" w:hAnsi="Arial"/>
          <w:sz w:val="14"/>
          <w:szCs w:val="14"/>
          <w:color w:val="auto"/>
        </w:rPr>
        <w:t>1,056,946</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815,745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38100</wp:posOffset>
            </wp:positionV>
            <wp:extent cx="1809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660" w:space="600"/>
            <w:col w:w="2160"/>
          </w:cols>
          <w:pgMar w:left="240" w:top="580" w:right="239" w:bottom="1440" w:gutter="0" w:footer="0" w:header="0"/>
          <w:type w:val="continuous"/>
        </w:sectPr>
      </w:pP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116,336</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107,317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340,317</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292,980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63,570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182,717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155,364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720"/>
              <w:spacing w:after="0"/>
              <w:rPr>
                <w:sz w:val="20"/>
                <w:szCs w:val="20"/>
                <w:color w:val="auto"/>
              </w:rPr>
            </w:pPr>
            <w:r>
              <w:rPr>
                <w:rFonts w:ascii="Arial" w:cs="Arial" w:eastAsia="Arial" w:hAnsi="Arial"/>
                <w:sz w:val="18"/>
                <w:szCs w:val="18"/>
                <w:color w:val="auto"/>
              </w:rPr>
              <w:t>Gross margin</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52,766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50,783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157,600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137,616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21,138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19,229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62,928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56,093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40,192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7,104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4,732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18,568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14,222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 charges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45,928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129,503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113,221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6,838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11,695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28,097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5,905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10,218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25,945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(benefit)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3,690</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7,048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30,782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16,071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7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net earnings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net earnings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57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Weighted-average shares outstanding:</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46,844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46,685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40,573</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47,532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44,814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47,473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41,530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57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16,071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benefit plan,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Total other comprehensive income, net of tax</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30,314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15,871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88" w:right="239" w:bottom="1440" w:gutter="0" w:footer="0" w:header="0"/>
        </w:sectPr>
      </w:pPr>
    </w:p>
    <w:bookmarkStart w:id="4" w:name="page5"/>
    <w:bookmarkEnd w:id="4"/>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64"/>
        </w:trPr>
        <w:tc>
          <w:tcPr>
            <w:tcW w:w="83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16,071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23,139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13,045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11,440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Benefit for 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Non-cash interest expense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1,362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non-cash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net of effects of businesses acquired: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unbilled receivables, and costs in excess of billings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(6,615)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accrued expenses, and accrued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revenues and customer advances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4,443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17,680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49,410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Acquisition of business, net of cash acquired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(185,396)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(36,911)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(196,838)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(64,186)</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employee stock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for retirement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(7,682)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Payments under credit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Borrowings under credit facilities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210,000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equity offering, net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215,732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181,931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203,453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188,547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41,637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81,691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44,217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270,238</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paid during the period for:</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4,251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Income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2,731</w:t>
            </w:r>
          </w:p>
        </w:tc>
      </w:tr>
      <w:tr>
        <w:trPr>
          <w:trHeight w:val="41"/>
        </w:trPr>
        <w:tc>
          <w:tcPr>
            <w:tcW w:w="83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Mercury Systems, Inc. (the “Company” or “Mercury”) is a leading commercial provider of secure sensor and safety critical mission processing subsystems. Optimized for customer and mission success, its solutions power a wide variety of critical defense and intelligence programs. Headquartered in Andover, Massachusetts, it is pioneering a next-generation defense electronics business model specifically designed to meet the industry's current and emerging technology and business needs. The Company delivers affordable innovative solutions, rapid time-to-value and service and support primarily to defense prime contractor customers. The Company's products and solutions have been deployed in more than 300 programs with over 25 different defense prime contractors. Key programs include Aegis, Patriot, Surface Electronic Warfare Improvement Program ("SEWIP"), Gorgon Stare, Predator, F-16 SABR, F-35, E2D Hawkeye, Reaper and Paveway. The Company's organizational structure allows it to deliver capabilities that combine technology building blocks and deep domain expertise in the aerospace and defense sector.</w:t>
      </w:r>
    </w:p>
    <w:p>
      <w:pPr>
        <w:spacing w:after="0" w:line="20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13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accompanying consolidated financial statements have been prepared by the Company in accordance with Generally Accepted Accounting Principles ("GAAP") in the United States of America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2017 which are contained in the Company’s Annual Report on Form 10-K filed with the Securities and Exchange Commission (“SEC”) on August 18, 2017. The results for the three and nine months ended March 31, 2018 are not necessarily indicative of the results to be expected for the full fiscal year.</w:t>
      </w:r>
    </w:p>
    <w:p>
      <w:pPr>
        <w:spacing w:after="0" w:line="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USINESS</w:t>
      </w:r>
      <w:r>
        <w:rPr>
          <w:rFonts w:ascii="Arial" w:cs="Arial" w:eastAsia="Arial" w:hAnsi="Arial"/>
          <w:sz w:val="18"/>
          <w:szCs w:val="18"/>
          <w:color w:val="auto"/>
        </w:rPr>
        <w:t xml:space="preserve"> C</w:t>
      </w:r>
      <w:r>
        <w:rPr>
          <w:rFonts w:ascii="Arial" w:cs="Arial" w:eastAsia="Arial" w:hAnsi="Arial"/>
          <w:sz w:val="14"/>
          <w:szCs w:val="14"/>
          <w:color w:val="auto"/>
        </w:rPr>
        <w:t>OMBINATIONS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utilizes the acquisition method of accounting under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the measurement date for all assets and liabilities assumed. The Company also utilizes FASB ASC 805 for the initial recognition and measurement, subsequent measurement and accounting, and disclosure of assets and liabilities arising from contingencies in business combinations.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OREIGN</w:t>
      </w:r>
      <w:r>
        <w:rPr>
          <w:rFonts w:ascii="Arial" w:cs="Arial" w:eastAsia="Arial" w:hAnsi="Arial"/>
          <w:sz w:val="18"/>
          <w:szCs w:val="18"/>
          <w:color w:val="auto"/>
        </w:rPr>
        <w:t xml:space="preserve"> C</w:t>
      </w:r>
      <w:r>
        <w:rPr>
          <w:rFonts w:ascii="Arial" w:cs="Arial" w:eastAsia="Arial" w:hAnsi="Arial"/>
          <w:sz w:val="14"/>
          <w:szCs w:val="14"/>
          <w:color w:val="auto"/>
        </w:rPr>
        <w:t>URRENCY</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Local currencies are the functional currency for the Company’s subsidiaries in Switzerland, United Kingdom, France, Japan and Canada. The accounts of foreign subsidiaries are translated using exchange rates in effect at period-end for assets and liabilities and at average exchange rates during the period for results of operations. The related translation adjustments are reported in accumulated other comprehensive income in shareholders’ equity. Gains (losses) resulting from non-U.S. currency transactions are included in other income (expense), net in the Consolidated Statements of Operations and Comprehensive Income and were immaterial for all periods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CCOUNTS</w:t>
      </w:r>
      <w:r>
        <w:rPr>
          <w:rFonts w:ascii="Arial" w:cs="Arial" w:eastAsia="Arial" w:hAnsi="Arial"/>
          <w:sz w:val="18"/>
          <w:szCs w:val="18"/>
          <w:color w:val="auto"/>
        </w:rPr>
        <w:t xml:space="preserve"> R</w:t>
      </w:r>
      <w:r>
        <w:rPr>
          <w:rFonts w:ascii="Arial" w:cs="Arial" w:eastAsia="Arial" w:hAnsi="Arial"/>
          <w:sz w:val="14"/>
          <w:szCs w:val="14"/>
          <w:color w:val="auto"/>
        </w:rPr>
        <w:t>ECEIVABLE</w:t>
      </w:r>
      <w:r>
        <w:rPr>
          <w:rFonts w:ascii="Arial" w:cs="Arial" w:eastAsia="Arial" w:hAnsi="Arial"/>
          <w:sz w:val="18"/>
          <w:szCs w:val="18"/>
          <w:color w:val="auto"/>
        </w:rPr>
        <w:t xml:space="preserve"> F</w:t>
      </w:r>
      <w:r>
        <w:rPr>
          <w:rFonts w:ascii="Arial" w:cs="Arial" w:eastAsia="Arial" w:hAnsi="Arial"/>
          <w:sz w:val="14"/>
          <w:szCs w:val="14"/>
          <w:color w:val="auto"/>
        </w:rPr>
        <w:t>ACTORING</w:t>
      </w:r>
    </w:p>
    <w:p>
      <w:pPr>
        <w:spacing w:after="0" w:line="13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December 21, 2017, the Company executed a Master Receivables Purchase Agreement (the “Purchase Agreement”) with Bank of America, N.A. (the “Bank”) for the sale of certain eligible accounts receivable balances of the Company, up to a maximum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both"/>
        <w:ind w:right="20"/>
        <w:spacing w:after="0" w:line="308" w:lineRule="auto"/>
        <w:rPr>
          <w:sz w:val="20"/>
          <w:szCs w:val="20"/>
          <w:color w:val="auto"/>
        </w:rPr>
      </w:pPr>
      <w:r>
        <w:rPr>
          <w:rFonts w:ascii="Arial" w:cs="Arial" w:eastAsia="Arial" w:hAnsi="Arial"/>
          <w:sz w:val="17"/>
          <w:szCs w:val="17"/>
          <w:color w:val="auto"/>
        </w:rPr>
        <w:t>of $30,000. Factoring under the Purchase Agreement is treated as a true sale of accounts receivable by the Company. The Company has a continued involvement in servicing accounts receivable under the Purchase Agreement, but has no retained interests related to the factored accounts receivable.</w:t>
      </w:r>
    </w:p>
    <w:p>
      <w:pPr>
        <w:spacing w:after="0" w:line="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Proceeds from amounts factored by the Company are recorded as an increase to cash and a reduction to accounts receivable outstanding in the consolidated balance sheets. Cash flows attributable to factoring are reflected as cash flows from operating activities in the Company’s consolidated statements of cash flows. Factoring fees are included as selling, general, and administrative expenses in the Company’s consolidated statements of operations and comprehensive income.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factored accounts receivable and incurred factoring fees of $18,821 and $69, respectively, for the nine months ended March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factor any accounts receivable or incur any factoring fees for the three months ended March 31,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The Company recognizes revenue using three different types of accounting methods: ship and bill, multiple-deliverable arrangements and contract accounting which encompass the percentage of completion, completed contract and time and materials methods. The Company relies upon FASB ASC 605, </w:t>
      </w: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to account for its revenue transactions. Revenue is recognized upon shipment provided that title and risk of loss have passed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there is persuasive evidence of an arrangement, the sales price is fixed or determinable, collection of the related receivable is reasonably assured, and customer acceptance criteria, if any, have been successfully demonstrated. Out-of-pocket expenses that are reimbursable by the customer are included in revenue and cost of revenue.</w:t>
      </w:r>
    </w:p>
    <w:p>
      <w:pPr>
        <w:spacing w:after="0" w:line="8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Total revenue recognized under ship and bill revenue arrangements was 47% and 43% of total revenue in the three and nine months ended March 31, 2018, respectively. Total revenue recognized under ship and bill revenue arrangements was 43% and 45% of total revenues in the three and nine months ended March 31, 2017, respectively.</w:t>
      </w:r>
    </w:p>
    <w:p>
      <w:pPr>
        <w:spacing w:after="0" w:line="7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w:t>
      </w:r>
    </w:p>
    <w:p>
      <w:pPr>
        <w:spacing w:after="0" w:line="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30% and 35% of total revenue in the three and nine months ended March 31, 2018, respectively. Total revenue recognized under multiple-deliverable revenue arrangements was 37% and 32% of total revenues in the three and nine months ended March 31, 2017, respectively.</w:t>
      </w:r>
    </w:p>
    <w:p>
      <w:pPr>
        <w:spacing w:after="0" w:line="8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 The objective of BESP is to determine the price at which the Company would transact if the product or service were sold by the Company on a standalone basis.</w:t>
      </w:r>
    </w:p>
    <w:p>
      <w:pPr>
        <w:spacing w:after="0" w:line="4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92" w:right="239" w:bottom="1440" w:gutter="0" w:footer="0" w:header="0"/>
        </w:sectPr>
      </w:pPr>
    </w:p>
    <w:bookmarkStart w:id="7" w:name="page8"/>
    <w:bookmarkEnd w:id="7"/>
    <w:p>
      <w:pPr>
        <w:jc w:val="both"/>
        <w:spacing w:after="0" w:line="286" w:lineRule="auto"/>
        <w:rPr>
          <w:sz w:val="20"/>
          <w:szCs w:val="20"/>
          <w:color w:val="auto"/>
        </w:rPr>
      </w:pPr>
      <w:r>
        <w:rPr>
          <w:rFonts w:ascii="Arial" w:cs="Arial" w:eastAsia="Arial" w:hAnsi="Arial"/>
          <w:sz w:val="17"/>
          <w:szCs w:val="17"/>
          <w:color w:val="auto"/>
        </w:rPr>
        <w:t>item(s), delivery or performance of the undelivered item(s) is considered probable and substantially in the control of the Company. The Company's revenue arrangements generally do not include a general right of return relative to delivered products. The Company considers a deliverable to have standalone value if the item is sold separately by the Company or another vendor or if the item could be resold by the customer.</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62"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 xml:space="preserve">The Company also engages in long-term contracts for development, production and services activities which it accounts for consistent with FASB ASC 605-35, </w:t>
      </w:r>
      <w:r>
        <w:rPr>
          <w:rFonts w:ascii="Arial" w:cs="Arial" w:eastAsia="Arial" w:hAnsi="Arial"/>
          <w:sz w:val="16"/>
          <w:szCs w:val="16"/>
          <w:i w:val="1"/>
          <w:iCs w:val="1"/>
          <w:color w:val="auto"/>
        </w:rPr>
        <w:t>Accounting for Performance of Construction-Type and Certain Production-Type Contracts</w:t>
      </w:r>
      <w:r>
        <w:rPr>
          <w:rFonts w:ascii="Arial" w:cs="Arial" w:eastAsia="Arial" w:hAnsi="Arial"/>
          <w:sz w:val="16"/>
          <w:szCs w:val="16"/>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The risk to the Company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6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also considers whether contracts should be combined or segmented in accordance with the applicable criteria under GAAP, and combines closely related contracts when all the applicable criteria under GAAP are met. The combination of two or more contracts requires judgment in determining whether the intent of entering into the contracts was effectively to enter into a single project, which should be combined to reflect an overall profit rate. Similarly, the Company may separate a project, which may consist of a single contract or group of contracts, with varying rates of profitability, only if the applicable criteria under GAAP are met. Judgment also is involved in determining whether a single contract or group of contracts may be segmented based on how the arrangement was negotiated and the performance criteria. The decision to combine a group of contracts or segment a contract could change the amount of revenue and gross profit recorded in a given period.</w:t>
      </w:r>
    </w:p>
    <w:p>
      <w:pPr>
        <w:spacing w:after="0" w:line="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in the ordinary course of business, such revisions may result in current period adjustments to earnings applicable to performance in prior periods.</w:t>
      </w:r>
    </w:p>
    <w:p>
      <w:pPr>
        <w:spacing w:after="0" w:line="8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Contract costs also may include estimated contract recoveries for matters such as contract changes and claims for unanticipated contract costs. The Company records revenue associated with these matters only when the amount of recovery can be estimated reliably and realization is probable.</w:t>
      </w:r>
    </w:p>
    <w:p>
      <w:pPr>
        <w:spacing w:after="0" w:line="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Total revenue recognized under contract accounting revenue arrangements was 23% and 22% of total revenue in the three and nine months ended March 31, 2018, respectively. Total revenue recognized under contract accounting revenue arrangements was 20% and 23% of total revenues in the three and nine months ended March 31, 2017, respectively.</w:t>
      </w:r>
    </w:p>
    <w:p>
      <w:pPr>
        <w:spacing w:after="0" w:line="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defines service revenues as revenue from activities that are not associated with the design, development, production, or delivery of tangible assets, software or specific capabilities sold. Examples of the Company's service revenues include: analyst services and systems engineering support, consulting, maintenance and other support, testing and installation. The Company combines its product and service revenues into a single class as service revenues are less than 10 percent of total revenues.</w:t>
      </w:r>
    </w:p>
    <w:p>
      <w:pPr>
        <w:spacing w:after="0" w:line="7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Weighted-average shares were calculated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0" w:type="dxa"/>
            <w:vAlign w:val="bottom"/>
            <w:gridSpan w:val="4"/>
          </w:tcPr>
          <w:p>
            <w:pPr>
              <w:ind w:left="460"/>
              <w:spacing w:after="0"/>
              <w:rPr>
                <w:sz w:val="20"/>
                <w:szCs w:val="20"/>
                <w:color w:val="auto"/>
              </w:rPr>
            </w:pPr>
            <w:r>
              <w:rPr>
                <w:rFonts w:ascii="Arial" w:cs="Arial" w:eastAsia="Arial" w:hAnsi="Arial"/>
                <w:sz w:val="14"/>
                <w:szCs w:val="14"/>
                <w:b w:val="1"/>
                <w:bCs w:val="1"/>
                <w:color w:val="auto"/>
              </w:rPr>
              <w:t>Three Months Ended March 31,</w:t>
            </w:r>
          </w:p>
        </w:tc>
        <w:tc>
          <w:tcPr>
            <w:tcW w:w="280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Nine Months Ended March 31,</w:t>
            </w:r>
          </w:p>
        </w:tc>
      </w:tr>
      <w:tr>
        <w:trPr>
          <w:trHeight w:val="270"/>
        </w:trPr>
        <w:tc>
          <w:tcPr>
            <w:tcW w:w="56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bottom w:val="single" w:sz="8" w:color="auto"/>
            </w:tcBorders>
            <w:shd w:val="clear" w:color="auto" w:fill="CCEEFF"/>
          </w:tcPr>
          <w:p>
            <w:pPr>
              <w:jc w:val="right"/>
              <w:ind w:right="4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46,844</w:t>
            </w:r>
          </w:p>
        </w:tc>
        <w:tc>
          <w:tcPr>
            <w:tcW w:w="12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43,773</w:t>
            </w:r>
          </w:p>
        </w:tc>
        <w:tc>
          <w:tcPr>
            <w:tcW w:w="140" w:type="dxa"/>
            <w:vAlign w:val="bottom"/>
          </w:tcPr>
          <w:p>
            <w:pPr>
              <w:spacing w:after="0"/>
              <w:rPr>
                <w:sz w:val="20"/>
                <w:szCs w:val="20"/>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46,685</w:t>
            </w:r>
          </w:p>
        </w:tc>
        <w:tc>
          <w:tcPr>
            <w:tcW w:w="10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40,573</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Effect of dilutive equity instruments</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1,041</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138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47,532</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44,814</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47,473</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41,530</w:t>
            </w:r>
          </w:p>
        </w:tc>
      </w:tr>
      <w:tr>
        <w:trPr>
          <w:trHeight w:val="27"/>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Equity instruments to purchase 33 and 302 shares of common stock were not included in the calculation of diluted net earnings per share for the three and nine months ended March 31, 2018, respectively, because the equity instruments were anti-dilutive. Equity instruments to purchase 9 and 13 shares of common stock were not included in the calculation of diluted net earnings per share for the three and nine months ended March 31, 2017, respectively, because the equity instruments were anti-dilutive.</w:t>
      </w:r>
    </w:p>
    <w:p>
      <w:pPr>
        <w:spacing w:after="0" w:line="156" w:lineRule="exact"/>
        <w:rPr>
          <w:sz w:val="20"/>
          <w:szCs w:val="20"/>
          <w:color w:val="auto"/>
        </w:rPr>
      </w:pPr>
    </w:p>
    <w:p>
      <w:pPr>
        <w:ind w:left="880" w:hanging="872"/>
        <w:spacing w:after="0"/>
        <w:tabs>
          <w:tab w:leader="none" w:pos="8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w:t>
      </w:r>
      <w:r>
        <w:rPr>
          <w:rFonts w:ascii="Arial" w:cs="Arial" w:eastAsia="Arial" w:hAnsi="Arial"/>
          <w:sz w:val="14"/>
          <w:szCs w:val="14"/>
          <w:color w:val="auto"/>
        </w:rPr>
        <w:t>HEMIS</w:t>
      </w:r>
      <w:r>
        <w:rPr>
          <w:rFonts w:ascii="Arial" w:cs="Arial" w:eastAsia="Arial" w:hAnsi="Arial"/>
          <w:sz w:val="20"/>
          <w:szCs w:val="20"/>
          <w:color w:val="auto"/>
        </w:rPr>
        <w:t xml:space="preserve"> C</w:t>
      </w:r>
      <w:r>
        <w:rPr>
          <w:rFonts w:ascii="Arial" w:cs="Arial" w:eastAsia="Arial" w:hAnsi="Arial"/>
          <w:sz w:val="14"/>
          <w:szCs w:val="14"/>
          <w:color w:val="auto"/>
        </w:rPr>
        <w:t>OMPUTER</w:t>
      </w:r>
      <w:r>
        <w:rPr>
          <w:rFonts w:ascii="Arial" w:cs="Arial" w:eastAsia="Arial" w:hAnsi="Arial"/>
          <w:sz w:val="20"/>
          <w:szCs w:val="20"/>
          <w:color w:val="auto"/>
        </w:rPr>
        <w:t xml:space="preserve"> A</w:t>
      </w:r>
      <w:r>
        <w:rPr>
          <w:rFonts w:ascii="Arial" w:cs="Arial" w:eastAsia="Arial" w:hAnsi="Arial"/>
          <w:sz w:val="14"/>
          <w:szCs w:val="14"/>
          <w:color w:val="auto"/>
        </w:rPr>
        <w:t>QUISITION</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December 21, 2017, the Company and Thunderbird Merger Sub, Inc., a newly formed, wholly-owned subsidiary of the Company (the “Merger Sub”), entered into a Merger Agreement (the “Merger Agreement”) with Ceres Systems (“Ceres”), the holding company that owned Themis Computer (“Themis”, and together with Ceres, collectively the “Acquired Company”). On February 1, 2018, the Company closed the transaction and the Merger Sub merged with and into Ceres with Ceres continuing as the surviving company and a wholly-owned subsidiary of Mercury (the “Merger”). By operation of the Merger, the Company acquired both Ceres and its wholly-owned subsidiary, Themis.</w:t>
      </w:r>
    </w:p>
    <w:p>
      <w:pPr>
        <w:spacing w:after="0" w:line="16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Based in Fremont, California, Themis is a leading designer, manufacturer and integrator of commercial, SWaP-optimized rugged servers, computers and storage systems for U.S. and international markets. Under the terms of the Merger Agreement, the merger consideration (including payments with respect to outstanding stock options) consisted of an all cash purchase price of approximately $180,000. The merger consideration is subject to post-closing adjustments based on a determination of closing net working capital, transaction expenses and net debt (all as defined in the Merger Agreement). The Company funded the acquisition with borrowings obtained under its existing revolving credit facility.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9" w:name="page10"/>
    <w:bookmarkEnd w:id="9"/>
    <w:p>
      <w:pPr>
        <w:ind w:left="440"/>
        <w:spacing w:after="0"/>
        <w:rPr>
          <w:sz w:val="20"/>
          <w:szCs w:val="20"/>
          <w:color w:val="auto"/>
        </w:rPr>
      </w:pPr>
      <w:r>
        <w:rPr>
          <w:rFonts w:ascii="Arial" w:cs="Arial" w:eastAsia="Arial" w:hAnsi="Arial"/>
          <w:sz w:val="16"/>
          <w:szCs w:val="16"/>
          <w:color w:val="auto"/>
        </w:rPr>
        <w:t>The following table presents the net purchase price and the fair values of the assets and liabilities of the Acquired Company on a preliminary basis:</w:t>
      </w:r>
    </w:p>
    <w:p>
      <w:pPr>
        <w:spacing w:after="0" w:line="25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9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Amounts</w:t>
            </w: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Consideration transferred</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120" w:type="dxa"/>
            <w:vAlign w:val="bottom"/>
          </w:tcPr>
          <w:p>
            <w:pPr>
              <w:ind w:left="380"/>
              <w:spacing w:after="0"/>
              <w:rPr>
                <w:sz w:val="20"/>
                <w:szCs w:val="20"/>
                <w:color w:val="auto"/>
              </w:rPr>
            </w:pPr>
            <w:r>
              <w:rPr>
                <w:rFonts w:ascii="Arial" w:cs="Arial" w:eastAsia="Arial" w:hAnsi="Arial"/>
                <w:sz w:val="18"/>
                <w:szCs w:val="18"/>
                <w:color w:val="auto"/>
              </w:rPr>
              <w:t>Cash paid at closing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187,089</w:t>
            </w:r>
          </w:p>
        </w:tc>
      </w:tr>
      <w:tr>
        <w:trPr>
          <w:trHeight w:val="27"/>
        </w:trPr>
        <w:tc>
          <w:tcPr>
            <w:tcW w:w="9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Working capital and net debt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43"/>
        </w:trPr>
        <w:tc>
          <w:tcPr>
            <w:tcW w:w="9120" w:type="dxa"/>
            <w:vAlign w:val="bottom"/>
          </w:tcPr>
          <w:p>
            <w:pPr>
              <w:ind w:left="380"/>
              <w:spacing w:after="0"/>
              <w:rPr>
                <w:sz w:val="20"/>
                <w:szCs w:val="20"/>
                <w:color w:val="auto"/>
              </w:rPr>
            </w:pPr>
            <w:r>
              <w:rPr>
                <w:rFonts w:ascii="Arial" w:cs="Arial" w:eastAsia="Arial" w:hAnsi="Arial"/>
                <w:sz w:val="18"/>
                <w:szCs w:val="18"/>
                <w:color w:val="auto"/>
              </w:rPr>
              <w:t>Less cash acquired</w:t>
            </w: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(6,810)</w:t>
            </w:r>
          </w:p>
        </w:tc>
      </w:tr>
      <w:tr>
        <w:trPr>
          <w:trHeight w:val="27"/>
        </w:trPr>
        <w:tc>
          <w:tcPr>
            <w:tcW w:w="9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Net purchase price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179,705</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9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Estimated fair value of tangible assets acquired and liabilities assumed</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120" w:type="dxa"/>
            <w:vAlign w:val="bottom"/>
          </w:tcPr>
          <w:p>
            <w:pPr>
              <w:ind w:left="340"/>
              <w:spacing w:after="0"/>
              <w:rPr>
                <w:sz w:val="20"/>
                <w:szCs w:val="20"/>
                <w:color w:val="auto"/>
              </w:rPr>
            </w:pPr>
            <w:r>
              <w:rPr>
                <w:rFonts w:ascii="Arial" w:cs="Arial" w:eastAsia="Arial" w:hAnsi="Arial"/>
                <w:sz w:val="18"/>
                <w:szCs w:val="18"/>
                <w:color w:val="auto"/>
              </w:rPr>
              <w:t>Cash</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6,810</w:t>
            </w:r>
          </w:p>
        </w:tc>
      </w:tr>
      <w:tr>
        <w:trPr>
          <w:trHeight w:val="27"/>
        </w:trPr>
        <w:tc>
          <w:tcPr>
            <w:tcW w:w="9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7,713</w:t>
            </w:r>
          </w:p>
        </w:tc>
      </w:tr>
      <w:tr>
        <w:trPr>
          <w:trHeight w:val="243"/>
        </w:trPr>
        <w:tc>
          <w:tcPr>
            <w:tcW w:w="912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6,742</w:t>
            </w:r>
          </w:p>
        </w:tc>
      </w:tr>
      <w:tr>
        <w:trPr>
          <w:trHeight w:val="27"/>
        </w:trPr>
        <w:tc>
          <w:tcPr>
            <w:tcW w:w="9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r>
      <w:tr>
        <w:trPr>
          <w:trHeight w:val="243"/>
        </w:trPr>
        <w:tc>
          <w:tcPr>
            <w:tcW w:w="9120" w:type="dxa"/>
            <w:vAlign w:val="bottom"/>
          </w:tcPr>
          <w:p>
            <w:pPr>
              <w:ind w:left="340"/>
              <w:spacing w:after="0"/>
              <w:rPr>
                <w:sz w:val="20"/>
                <w:szCs w:val="20"/>
                <w:color w:val="auto"/>
              </w:rPr>
            </w:pPr>
            <w:r>
              <w:rPr>
                <w:rFonts w:ascii="Arial" w:cs="Arial" w:eastAsia="Arial" w:hAnsi="Arial"/>
                <w:sz w:val="18"/>
                <w:szCs w:val="18"/>
                <w:color w:val="auto"/>
              </w:rPr>
              <w:t>Other current and non-current assets</w:t>
            </w:r>
          </w:p>
        </w:tc>
        <w:tc>
          <w:tcPr>
            <w:tcW w:w="3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2,896</w:t>
            </w:r>
          </w:p>
        </w:tc>
      </w:tr>
      <w:tr>
        <w:trPr>
          <w:trHeight w:val="27"/>
        </w:trPr>
        <w:tc>
          <w:tcPr>
            <w:tcW w:w="9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r>
      <w:tr>
        <w:trPr>
          <w:trHeight w:val="243"/>
        </w:trPr>
        <w:tc>
          <w:tcPr>
            <w:tcW w:w="91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(6,267)</w:t>
            </w:r>
          </w:p>
        </w:tc>
      </w:tr>
      <w:tr>
        <w:trPr>
          <w:trHeight w:val="27"/>
        </w:trPr>
        <w:tc>
          <w:tcPr>
            <w:tcW w:w="9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current and non-current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43"/>
        </w:trPr>
        <w:tc>
          <w:tcPr>
            <w:tcW w:w="9120" w:type="dxa"/>
            <w:vAlign w:val="bottom"/>
          </w:tcPr>
          <w:p>
            <w:pPr>
              <w:ind w:left="340"/>
              <w:spacing w:after="0"/>
              <w:rPr>
                <w:sz w:val="20"/>
                <w:szCs w:val="20"/>
                <w:color w:val="auto"/>
              </w:rPr>
            </w:pPr>
            <w:r>
              <w:rPr>
                <w:rFonts w:ascii="Arial" w:cs="Arial" w:eastAsia="Arial" w:hAnsi="Arial"/>
                <w:sz w:val="18"/>
                <w:szCs w:val="18"/>
                <w:color w:val="auto"/>
              </w:rPr>
              <w:t>Deferred tax liability</w:t>
            </w: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(14,778)</w:t>
            </w:r>
          </w:p>
        </w:tc>
      </w:tr>
      <w:tr>
        <w:trPr>
          <w:trHeight w:val="27"/>
        </w:trPr>
        <w:tc>
          <w:tcPr>
            <w:tcW w:w="9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Estimated fair value of net tangible assets acquired</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Estimated fair value of identifiable intangible assets</w:t>
            </w:r>
          </w:p>
        </w:tc>
        <w:tc>
          <w:tcPr>
            <w:tcW w:w="3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72,870</w:t>
            </w:r>
          </w:p>
        </w:tc>
      </w:tr>
      <w:tr>
        <w:trPr>
          <w:trHeight w:val="27"/>
        </w:trPr>
        <w:tc>
          <w:tcPr>
            <w:tcW w:w="9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Estimated goodwill</w:t>
            </w: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114,517</w:t>
            </w:r>
          </w:p>
        </w:tc>
      </w:tr>
      <w:tr>
        <w:trPr>
          <w:trHeight w:val="237"/>
        </w:trPr>
        <w:tc>
          <w:tcPr>
            <w:tcW w:w="9120" w:type="dxa"/>
            <w:vAlign w:val="bottom"/>
          </w:tcPr>
          <w:p>
            <w:pPr>
              <w:ind w:left="20"/>
              <w:spacing w:after="0"/>
              <w:rPr>
                <w:sz w:val="20"/>
                <w:szCs w:val="20"/>
                <w:color w:val="auto"/>
              </w:rPr>
            </w:pPr>
            <w:r>
              <w:rPr>
                <w:rFonts w:ascii="Arial" w:cs="Arial" w:eastAsia="Arial" w:hAnsi="Arial"/>
                <w:sz w:val="18"/>
                <w:szCs w:val="18"/>
                <w:color w:val="auto"/>
              </w:rPr>
              <w:t>Estimated fair value of net assets acquired</w:t>
            </w:r>
          </w:p>
        </w:tc>
        <w:tc>
          <w:tcPr>
            <w:tcW w:w="3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186,515</w:t>
            </w:r>
          </w:p>
        </w:tc>
      </w:tr>
      <w:tr>
        <w:trPr>
          <w:trHeight w:val="27"/>
        </w:trPr>
        <w:tc>
          <w:tcPr>
            <w:tcW w:w="9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Less cash acquired</w:t>
            </w: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(6,810)</w:t>
            </w:r>
          </w:p>
        </w:tc>
      </w:tr>
      <w:tr>
        <w:trPr>
          <w:trHeight w:val="257"/>
        </w:trPr>
        <w:tc>
          <w:tcPr>
            <w:tcW w:w="9120" w:type="dxa"/>
            <w:vAlign w:val="bottom"/>
          </w:tcPr>
          <w:p>
            <w:pPr>
              <w:ind w:left="20"/>
              <w:spacing w:after="0"/>
              <w:rPr>
                <w:sz w:val="20"/>
                <w:szCs w:val="20"/>
                <w:color w:val="auto"/>
              </w:rPr>
            </w:pPr>
            <w:r>
              <w:rPr>
                <w:rFonts w:ascii="Arial" w:cs="Arial" w:eastAsia="Arial" w:hAnsi="Arial"/>
                <w:sz w:val="18"/>
                <w:szCs w:val="18"/>
                <w:color w:val="auto"/>
              </w:rPr>
              <w:t>Net purchase price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179,705</w:t>
            </w:r>
          </w:p>
        </w:tc>
      </w:tr>
      <w:tr>
        <w:trPr>
          <w:trHeight w:val="20"/>
        </w:trPr>
        <w:tc>
          <w:tcPr>
            <w:tcW w:w="9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amounts above represent the preliminary fair value estimates as of March 31, 2018 and are subject to subsequent adjustment as the Company obtains additional information during the measurement period and finalizes its fair value estimates. The preliminary identifiable intangible asset estimates include customer relationships of $53,420 with a useful life of 12.5 years, developed technology of $17,150 with a useful life of 9.5 years and backlog of $2,300 with a useful life of 1 year. Any subsequent adjustments to these fair value estimates occurring during the measurement period will result in an adjustment to goodwill.</w:t>
      </w:r>
    </w:p>
    <w:p>
      <w:pPr>
        <w:spacing w:after="0" w:line="8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goodwill of $114,517 largely reflects the potential synergies and expansion of the Company's offerings across product lines and markets complementary to the Company's existing products and markets. The goodwill from this acquisition is reported under the Mercury Defense Systems ("MDS") reporting unit and is not tax deductible.</w:t>
      </w:r>
    </w:p>
    <w:p>
      <w:pPr>
        <w:spacing w:after="0" w:line="7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revenues and income before income taxes from Themis included in the Company's consolidated results for the three months ended March 31, 2018 were $9,501 and $267,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summarizes the supplemental statements of operations information on an unaudited pro forma basis, excluding the pro forma impact of the Richland ("RTL"), Delta Microwave, LLC ("Delta") and CES Creative Electronic Systems, S.A. (“CES”), as if the Merger had occurred on July 1, 2016. The Company has not furnished pro forma financial information relating to RTL, Delta and CES because such information is not material to the Company's financial results.</w:t>
      </w:r>
    </w:p>
    <w:p>
      <w:pPr>
        <w:spacing w:after="0" w:line="300"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238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Nine months Ended March 31,</w:t>
            </w:r>
          </w:p>
        </w:tc>
      </w:tr>
      <w:tr>
        <w:trPr>
          <w:trHeight w:val="264"/>
        </w:trPr>
        <w:tc>
          <w:tcPr>
            <w:tcW w:w="53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 forma net 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122,176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118,826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377,473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325,367</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Pro forma 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6,573</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26,811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3,069</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Basic pro forma net earnings per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Diluted pro forma net earnings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0.07</w:t>
            </w: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4"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ICHLAND</w:t>
      </w:r>
      <w:r>
        <w:rPr>
          <w:rFonts w:ascii="Arial" w:cs="Arial" w:eastAsia="Arial" w:hAnsi="Arial"/>
          <w:sz w:val="18"/>
          <w:szCs w:val="18"/>
          <w:color w:val="auto"/>
        </w:rPr>
        <w:t xml:space="preserve"> T</w:t>
      </w:r>
      <w:r>
        <w:rPr>
          <w:rFonts w:ascii="Arial" w:cs="Arial" w:eastAsia="Arial" w:hAnsi="Arial"/>
          <w:sz w:val="14"/>
          <w:szCs w:val="14"/>
          <w:color w:val="auto"/>
        </w:rPr>
        <w:t>ECHNOLOGIES</w:t>
      </w:r>
      <w:r>
        <w:rPr>
          <w:rFonts w:ascii="Arial" w:cs="Arial" w:eastAsia="Arial" w:hAnsi="Arial"/>
          <w:sz w:val="18"/>
          <w:szCs w:val="18"/>
          <w:color w:val="auto"/>
        </w:rPr>
        <w:t xml:space="preserve"> A</w:t>
      </w:r>
      <w:r>
        <w:rPr>
          <w:rFonts w:ascii="Arial" w:cs="Arial" w:eastAsia="Arial" w:hAnsi="Arial"/>
          <w:sz w:val="14"/>
          <w:szCs w:val="14"/>
          <w:color w:val="auto"/>
        </w:rPr>
        <w:t>CQUISITION</w:t>
      </w:r>
    </w:p>
    <w:p>
      <w:pPr>
        <w:spacing w:after="0" w:line="13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July 3, 2017, the Company entered into a membership interest purchase agreement with RTL, pursuant to which, the Company acquired RTL on a cash-free, debt-free basis for a total purchase price of $5,798. RTL specializes in safety-critical and high integrity systems, software and hardware development as well as safety-certification services for mission-critical applications. The acquisition had an immaterial impact to the Company’s results of operations (contributed less than one percent of net revenue for the three and nine months ended March 31, 2018), and accordingly the disclosures required per FASB ASC 805 have been excluded from this Form 10-Q filing. The Company recognized primarily intangible assets including customer relationships, developed technology and goodwill based on its preliminary purchase price allocation.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ELTA</w:t>
      </w:r>
      <w:r>
        <w:rPr>
          <w:rFonts w:ascii="Arial" w:cs="Arial" w:eastAsia="Arial" w:hAnsi="Arial"/>
          <w:sz w:val="18"/>
          <w:szCs w:val="18"/>
          <w:color w:val="auto"/>
        </w:rPr>
        <w:t xml:space="preserve"> A</w:t>
      </w:r>
      <w:r>
        <w:rPr>
          <w:rFonts w:ascii="Arial" w:cs="Arial" w:eastAsia="Arial" w:hAnsi="Arial"/>
          <w:sz w:val="14"/>
          <w:szCs w:val="14"/>
          <w:color w:val="auto"/>
        </w:rPr>
        <w:t>CQUISITION</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April 3, 2017, the Company entered into a membership interest purchase agreement with Delta, pursuant to which the Company acquired Delta on a cash-free, debt-free basis for a total purchase price of $40,500, subject to net working capital and net debt adjustments. Delta is a designer and manufacturer of high-value RF, microwave and millimeter wave sub-assemblies and components for the military, aerospace and space markets. The acquisition and transaction related expenses were funded with cash on hand.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net purchase price and the fair values of the assets and liabilities of Delta: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Amounts</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Consideration transferred</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tcPr>
          <w:p>
            <w:pPr>
              <w:ind w:left="360"/>
              <w:spacing w:after="0"/>
              <w:rPr>
                <w:sz w:val="20"/>
                <w:szCs w:val="20"/>
                <w:color w:val="auto"/>
              </w:rPr>
            </w:pPr>
            <w:r>
              <w:rPr>
                <w:rFonts w:ascii="Arial" w:cs="Arial" w:eastAsia="Arial" w:hAnsi="Arial"/>
                <w:sz w:val="18"/>
                <w:szCs w:val="18"/>
                <w:color w:val="auto"/>
              </w:rPr>
              <w:t>Cash paid at closing</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40,500</w:t>
            </w:r>
          </w:p>
        </w:tc>
      </w:tr>
      <w:tr>
        <w:trPr>
          <w:trHeight w:val="27"/>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purchase price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40,500</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9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Fair value of tangible assets acquired and liabilities assumed</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tcPr>
          <w:p>
            <w:pPr>
              <w:ind w:left="360"/>
              <w:spacing w:after="0"/>
              <w:rPr>
                <w:sz w:val="20"/>
                <w:szCs w:val="20"/>
                <w:color w:val="auto"/>
              </w:rPr>
            </w:pPr>
            <w:r>
              <w:rPr>
                <w:rFonts w:ascii="Arial" w:cs="Arial" w:eastAsia="Arial" w:hAnsi="Arial"/>
                <w:sz w:val="18"/>
                <w:szCs w:val="18"/>
                <w:color w:val="auto"/>
              </w:rPr>
              <w:t>Accounts receivable and cost in excess of billings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957</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Inventory</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4,452</w:t>
            </w:r>
          </w:p>
        </w:tc>
      </w:tr>
      <w:tr>
        <w:trPr>
          <w:trHeight w:val="243"/>
        </w:trPr>
        <w:tc>
          <w:tcPr>
            <w:tcW w:w="936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1,918</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Other current and non-current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43"/>
        </w:trPr>
        <w:tc>
          <w:tcPr>
            <w:tcW w:w="936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(2,055)</w:t>
            </w:r>
          </w:p>
        </w:tc>
      </w:tr>
      <w:tr>
        <w:trPr>
          <w:trHeight w:val="27"/>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Fair value of net tangible 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Fair value of identifiable intangible assets</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17,000</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Goodwill</w:t>
            </w: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18,151</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Fair value of net assets acquired</w:t>
            </w:r>
          </w:p>
        </w:tc>
        <w:tc>
          <w:tcPr>
            <w:tcW w:w="4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40,500</w:t>
            </w:r>
          </w:p>
        </w:tc>
      </w:tr>
      <w:tr>
        <w:trPr>
          <w:trHeight w:val="27"/>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purchase price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40,500</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April 2, 2018, the measurement period for Delta expired. The identifiable intangible assets include customer relationships of $8,000 with a useful life of 9 years, developed technology of $5,900 with a useful life of 7 years and backlog of $3,100 with a useful life of 2 years.</w:t>
      </w:r>
    </w:p>
    <w:p>
      <w:pPr>
        <w:spacing w:after="0" w:line="6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goodwill of $18,151 largely reflects the potential synergies and expansion of the Company's offerings across product lines and markets complementary to the Company's existing products and markets. The Delta acquisition expands the scale and breadth of the Company’s RF, microwave and millimeter wave capabilities, provides a highly complementary program portfolio in missiles and munitions, deepens market penetration in core radar, electronic warfare ("EW"), and precision-guided munitions markets, and opens new growth opportunities in space launch, GPS, satellite communications and datalinks. The goodwill from this acquisition is reported under the Advanced Microelectronic Solutions (“AMS”) reporting unit.</w:t>
      </w:r>
    </w:p>
    <w:p>
      <w:pPr>
        <w:spacing w:after="0" w:line="6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Since Delta was a limited liability company, the acquisition is treated as an asset purchase for tax purposes. As of March 31, 2018, the Company had $17,298 of goodwill deductible for tax purposes. The Company has not furnished pro forma financial information relating to Delta because such information is not material to the Company's financial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ES</w:t>
      </w:r>
      <w:r>
        <w:rPr>
          <w:rFonts w:ascii="Arial" w:cs="Arial" w:eastAsia="Arial" w:hAnsi="Arial"/>
          <w:sz w:val="18"/>
          <w:szCs w:val="18"/>
          <w:color w:val="auto"/>
        </w:rPr>
        <w:t xml:space="preserve"> A</w:t>
      </w:r>
      <w:r>
        <w:rPr>
          <w:rFonts w:ascii="Arial" w:cs="Arial" w:eastAsia="Arial" w:hAnsi="Arial"/>
          <w:sz w:val="14"/>
          <w:szCs w:val="14"/>
          <w:color w:val="auto"/>
        </w:rPr>
        <w:t>QUISITION</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November 4, 2016, the Company and the shareholders of CES entered into a Stock Purchase Agreement pursuant to which Mercury acquired CES for a total purchase price of $39,123, subject to net working capital and net debt adjustments. The acquisition and associated transaction expenses were funded with cash on hand. Based in Geneva, Switzerland, CES is a leading provider of embedded solutions for military and aerospace mission-critical computing applications. CES specializes in the design,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7"/>
          <w:szCs w:val="17"/>
          <w:color w:val="auto"/>
        </w:rPr>
        <w:t>development and manufacture of safety-certifiable product and subsystems solutions including: primary flight control units, flight test computers, mission computers, command and control processors, graphics and video processing and avionics-certified Ethernet and IO. CES has decades of experience designing subsystems deployed in applications certified up to the highest levels of design assurance. CES products and solutions are used on platforms such as aerial refueling tankers and multi-mission aircraft, as well as the several types of unmanned platforms.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net purchase price and the fair values of the assets and liabilities of CES: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Amounts</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Consideration transferred</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Cash paid at closing</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39,123</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Working capital adjustment</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97"/>
        </w:trPr>
        <w:tc>
          <w:tcPr>
            <w:tcW w:w="9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purchase price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38,793</w:t>
            </w:r>
          </w:p>
        </w:tc>
      </w:tr>
      <w:tr>
        <w:trPr>
          <w:trHeight w:val="257"/>
        </w:trPr>
        <w:tc>
          <w:tcPr>
            <w:tcW w:w="91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tangible assets acquired and liabilities assumed</w:t>
            </w:r>
          </w:p>
        </w:tc>
        <w:tc>
          <w:tcPr>
            <w:tcW w:w="4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Accounts receivable and cost in excess of billings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2,698</w:t>
            </w: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8,950</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Fixed assets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w:t>
            </w: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Other current and non-current assets</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748</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Current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Non-current liabilities</w:t>
            </w:r>
          </w:p>
        </w:tc>
        <w:tc>
          <w:tcPr>
            <w:tcW w:w="4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(6,140)</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Deferred tax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net tangible assets acquired</w:t>
            </w:r>
          </w:p>
        </w:tc>
        <w:tc>
          <w:tcPr>
            <w:tcW w:w="4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3,434</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Fair value of identifiable intangible assets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20,637</w:t>
            </w:r>
          </w:p>
        </w:tc>
      </w:tr>
      <w:tr>
        <w:trPr>
          <w:trHeight w:val="27"/>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Fair value of net assets acquired</w:t>
            </w:r>
          </w:p>
        </w:tc>
        <w:tc>
          <w:tcPr>
            <w:tcW w:w="4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38,793</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Net purchase price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38,793</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November 3, 2017, the measurement period for CES expired. The identifiable intangible assets include customer relationships of $9,060 with a useful life of 9 years and developed technology of $5,662 with a useful life of 7 years.</w:t>
      </w:r>
    </w:p>
    <w:p>
      <w:pPr>
        <w:spacing w:after="0" w:line="6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goodwill of $20,637 largely reflects the potential synergies and expansion of the Company's offerings across product lines and markets complementary to the Company's existing products and markets. CES provides the Company with capabilities in mission computing, safety-critical avionics and platform management that are in demand from its customers. These new capabilities will also substantially expand Mercury’s addressable market into commercial aerospace, defense platform management, command, control, communications, computers, and intelligence ("C4I") and mission computing markets that are aligned to Mercury’s existing market focus. The acquisition is directly aligned with the Company's strategy of expanding its capabilities, services and offerings along the sensor processing chain. The goodwill from this acquisition is reported under the Sensor and Mission Processing (“SMP”) reporting unit. The Company has not furnished pro forma financial information relating to CES because such information is not material to the Company's financial results.</w:t>
      </w:r>
    </w:p>
    <w:p>
      <w:pPr>
        <w:spacing w:after="0" w:line="242" w:lineRule="exact"/>
        <w:rPr>
          <w:sz w:val="20"/>
          <w:szCs w:val="20"/>
          <w:color w:val="auto"/>
        </w:rPr>
      </w:pPr>
    </w:p>
    <w:p>
      <w:pPr>
        <w:ind w:left="840" w:hanging="751"/>
        <w:spacing w:after="0"/>
        <w:tabs>
          <w:tab w:leader="none" w:pos="8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March 31, 2018:</w:t>
      </w:r>
    </w:p>
    <w:p>
      <w:pPr>
        <w:spacing w:after="0" w:line="338"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6220"/>
        <w:spacing w:after="0"/>
        <w:tabs>
          <w:tab w:leader="none" w:pos="7820" w:val="left"/>
          <w:tab w:leader="none" w:pos="9180" w:val="left"/>
          <w:tab w:leader="none" w:pos="10560" w:val="left"/>
        </w:tabs>
        <w:rPr>
          <w:sz w:val="20"/>
          <w:szCs w:val="20"/>
          <w:color w:val="auto"/>
        </w:rPr>
      </w:pPr>
      <w:r>
        <w:rPr>
          <w:rFonts w:ascii="Arial" w:cs="Arial" w:eastAsia="Arial" w:hAnsi="Arial"/>
          <w:sz w:val="14"/>
          <w:szCs w:val="14"/>
          <w:b w:val="1"/>
          <w:bCs w:val="1"/>
          <w:color w:val="auto"/>
        </w:rPr>
        <w:t>March 31, 2018</w:t>
      </w:r>
      <w:r>
        <w:rPr>
          <w:sz w:val="20"/>
          <w:szCs w:val="20"/>
          <w:color w:val="auto"/>
        </w:rPr>
        <w:tab/>
      </w:r>
      <w:r>
        <w:rPr>
          <w:rFonts w:ascii="Arial" w:cs="Arial" w:eastAsia="Arial" w:hAnsi="Arial"/>
          <w:sz w:val="14"/>
          <w:szCs w:val="14"/>
          <w:b w:val="1"/>
          <w:bCs w:val="1"/>
          <w:color w:val="auto"/>
          <w:shd w:val="clear" w:color="auto" w:fill="CCEEFF"/>
        </w:rPr>
        <w:t>Level 1</w:t>
      </w:r>
      <w:r>
        <w:rPr>
          <w:sz w:val="20"/>
          <w:szCs w:val="20"/>
          <w:color w:val="auto"/>
        </w:rPr>
        <w:tab/>
      </w:r>
      <w:r>
        <w:rPr>
          <w:rFonts w:ascii="Arial" w:cs="Arial" w:eastAsia="Arial" w:hAnsi="Arial"/>
          <w:sz w:val="14"/>
          <w:szCs w:val="14"/>
          <w:b w:val="1"/>
          <w:bCs w:val="1"/>
          <w:color w:val="auto"/>
          <w:shd w:val="clear" w:color="auto" w:fill="CCEEFF"/>
        </w:rPr>
        <w:t>Level 2</w:t>
      </w:r>
      <w:r>
        <w:rPr>
          <w:sz w:val="20"/>
          <w:szCs w:val="20"/>
          <w:color w:val="auto"/>
        </w:rPr>
        <w:tab/>
      </w:r>
      <w:r>
        <w:rPr>
          <w:rFonts w:ascii="Arial" w:cs="Arial" w:eastAsia="Arial" w:hAnsi="Arial"/>
          <w:sz w:val="12"/>
          <w:szCs w:val="12"/>
          <w:b w:val="1"/>
          <w:bCs w:val="1"/>
          <w:color w:val="auto"/>
          <w:shd w:val="clear" w:color="auto" w:fill="CCEEFF"/>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shd w:val="clear" w:color="auto" w:fill="CCEEFF"/>
              </w:rPr>
              <w:t>Certificates of deposit</w:t>
            </w:r>
          </w:p>
        </w:tc>
        <w:tc>
          <w:tcPr>
            <w:tcW w:w="4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980" w:type="dxa"/>
            <w:vAlign w:val="bottom"/>
          </w:tcPr>
          <w:p>
            <w:pPr>
              <w:ind w:left="380"/>
              <w:spacing w:after="0"/>
              <w:rPr>
                <w:sz w:val="20"/>
                <w:szCs w:val="20"/>
                <w:color w:val="auto"/>
              </w:rPr>
            </w:pPr>
            <w:r>
              <w:rPr>
                <w:rFonts w:ascii="Arial" w:cs="Arial" w:eastAsia="Arial" w:hAnsi="Arial"/>
                <w:sz w:val="18"/>
                <w:szCs w:val="18"/>
                <w:color w:val="auto"/>
              </w:rPr>
              <w:t>Total</w:t>
            </w:r>
          </w:p>
        </w:tc>
        <w:tc>
          <w:tcPr>
            <w:tcW w:w="410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4100" w:type="dxa"/>
            <w:vAlign w:val="bottom"/>
            <w:vMerge w:val="restart"/>
          </w:tcPr>
          <w:p>
            <w:pPr>
              <w:jc w:val="right"/>
              <w:ind w:right="190"/>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10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9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2" w:name="page13"/>
    <w:bookmarkEnd w:id="12"/>
    <w:p>
      <w:pPr>
        <w:jc w:val="both"/>
        <w:ind w:firstLine="432"/>
        <w:spacing w:after="0" w:line="297" w:lineRule="auto"/>
        <w:rPr>
          <w:sz w:val="20"/>
          <w:szCs w:val="20"/>
          <w:color w:val="auto"/>
        </w:rPr>
      </w:pPr>
      <w:r>
        <w:rPr>
          <w:rFonts w:ascii="Arial" w:cs="Arial" w:eastAsia="Arial" w:hAnsi="Arial"/>
          <w:sz w:val="16"/>
          <w:szCs w:val="16"/>
          <w:color w:val="auto"/>
        </w:rPr>
        <w:t>The carrying values of cash and cash equivalents, including money market funds, restricted cash, accounts receivable and payable, and accrued liabilities approximate fair value due to the short-term maturities of these assets and liabilities. The fair value of the Company’s certificates of deposit are determined through quoted prices for identical or similar instruments in markets that are not active or are directly or indirectly observable. The cost-method investment, which is presented within other non-current assets in the accompanying consolidated balance sheets, does not have a readily determinable fair value, as such the Company recorded the investment at cost and will continue to evaluate the asset for impairment on a quarterly basis.</w:t>
      </w:r>
    </w:p>
    <w:p>
      <w:pPr>
        <w:spacing w:after="0" w:line="18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Inventory is stated at the lower of cost (first-in, first-out) or net realizable value, and consists of materials, labor and overhead. On a quarterly basis, the Company uses consistent methodologies to evaluate inventory for net realizable value. Once an item is written down, the value becomes the new inventory cost basis. The Company reduces the value of inventory for excess and obsolete inventory, consisting of on-hand inventory in excess of estimated usage. The excess and obsolete inventory evaluation is based upon assumptions about future demand, history, product mix and possible alternative uses. Inventory was comprised of the following: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Pr>
          <w:p>
            <w:pPr>
              <w:spacing w:after="0"/>
              <w:rPr>
                <w:sz w:val="16"/>
                <w:szCs w:val="16"/>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Raw materials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48,645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29,910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22,567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9,859</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117,075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81,071</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p>
      <w:pPr>
        <w:spacing w:after="0" w:line="24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changes in the carrying amount of goodwill by reporting unit for the nine months ended March 31,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SMP</w:t>
            </w: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AMS</w:t>
            </w:r>
          </w:p>
        </w:tc>
        <w:tc>
          <w:tcPr>
            <w:tcW w:w="26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MDS</w:t>
            </w:r>
          </w:p>
        </w:tc>
        <w:tc>
          <w:tcPr>
            <w:tcW w:w="260" w:type="dxa"/>
            <w:vAlign w:val="bottom"/>
          </w:tcPr>
          <w:p>
            <w:pPr>
              <w:spacing w:after="0"/>
              <w:rPr>
                <w:sz w:val="16"/>
                <w:szCs w:val="16"/>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June 30, 2017</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380,846</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Goodwill adjustment for the CES acquisition</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291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Goodwill adjustment for the Delta 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Goodwill arising from the RTL acquisition</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3,447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Goodwill arising from the Themis acquisition</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114,517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114,517</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Balance at March 31, 2018</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119,741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218,147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161,404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499,292</w:t>
            </w:r>
          </w:p>
        </w:tc>
      </w:tr>
      <w:tr>
        <w:trPr>
          <w:trHeight w:val="27"/>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 xml:space="preserve">In the nine months ended March 31, 2018, there were no triggering events, as defined by FASB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which required an interim goodwill impairment test. The Company performs its annual goodwill impairment test in the fourth quarter of each fiscal year.</w:t>
      </w:r>
    </w:p>
    <w:p>
      <w:pPr>
        <w:spacing w:after="0" w:line="17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 of activity for the Company’s restructuring plans: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Severance &amp;</w:t>
            </w: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Related</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&amp; Other</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Restructuring liability at June 30,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2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Cash paid</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Restructuring liability at March 31, 2018</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During the nine months ended March 31, 2018, the Company incurred net restructuring and other charges of $1,792. Restructuring and other charges are typically related to acquisitions and organizational redesign programs initiated as part of discrete post-acquisition integration activities.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3" w:name="page14"/>
    <w:bookmarkEnd w:id="13"/>
    <w:p>
      <w:pPr>
        <w:jc w:val="both"/>
        <w:ind w:firstLine="432"/>
        <w:spacing w:after="0" w:line="264" w:lineRule="auto"/>
        <w:rPr>
          <w:sz w:val="20"/>
          <w:szCs w:val="20"/>
          <w:color w:val="auto"/>
        </w:rPr>
      </w:pPr>
      <w:r>
        <w:rPr>
          <w:rFonts w:ascii="Arial" w:cs="Arial" w:eastAsia="Arial" w:hAnsi="Arial"/>
          <w:sz w:val="18"/>
          <w:szCs w:val="18"/>
          <w:color w:val="auto"/>
        </w:rPr>
        <w:t>All of the restructuring and other charges are classified as operating expenses in the consolidated statements of operations and any remaining severance obligations are expected to be paid within the next twelve months. The restructuring liability is classified as accrued expenses in the consolidated balance sheets.</w:t>
      </w:r>
    </w:p>
    <w:p>
      <w:pPr>
        <w:spacing w:after="0" w:line="20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December 22, 2017, the Tax Cuts and Jobs Act of 2017 (the “Tax Act”) was enacted by the U.S. government. The Tax Act has impacted the U.S. statutory Federal tax rate that the Company will use going forward, which has been reduced to 21% from 35%. As the Company has a June 30 fiscal year-end, the lower corporate income tax rate will be phased in, resulting in a U.S. statutory Federal rate of approximately 28% for the Company's fiscal year ending June 30, 2018, and 21% for subsequent fiscal years.</w:t>
      </w:r>
    </w:p>
    <w:p>
      <w:pPr>
        <w:spacing w:after="0" w:line="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Tax Act also includes items that the Company expects will increase its tax expense including, but not limited to, the elimination of the domestic manufacturing deduction and increased limitations on executive compensation. In addition, the actual effective tax rate may be materially different than the statutory Federal tax rate (including being higher) based on the availability and impact of various other adjustments including but not limited to state taxes, Federal research and development credits, discrete tax benefits related to stock compensation, and the inclusion or exclusion of various items in taxable income which may differ from GAAP income.</w:t>
      </w:r>
    </w:p>
    <w:p>
      <w:pPr>
        <w:spacing w:after="0" w:line="80"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To transition to the reduced U.S. corporate tax rate, an adjustment is required to be made to our U.S. deferred tax assets and liabilities. For the nine months ended March 31, 2018, the adjustment to the U.S. deferred tax assets and liabilities resulted in a tax benefit of $905. The Tax Act includes a transition tax, which is a one-time tax charge on accumulated, undistributed foreign earnings. The calculation of accumulated foreign earnings requires an analysis of each foreign entity’s financial results going back to 1986, including historical tax information that is not yet available to management. The Company has not recorded any transition tax associated with its accumulated, undistributed foreign earnings given its current U.S. tax attributes, including the availability of foreign tax credits. The Company recorded a provisional tax expense of $415 in the second quarter of fiscal 2018, as it no longer expects to utilize certain foreign tax credits. The Company continues to evaluate its transition tax obligation and expects to finalize its conclusions by the end of fiscal 2018. The Company does not expect the final amounts to be materially different than those previously recorded. As of March 31, 2018, the Company has recorded all known and estimable impacts of the Tax Act that are effective for fiscal year 2018. In accordance with SEC Staff Accounting Bulletin 118 (“SAB 118”), future adjustments to the provisional numbers will be recorded as discrete adjustments to income tax expense in the period in which those adjustments become estimable and finalized.</w:t>
      </w:r>
    </w:p>
    <w:p>
      <w:pPr>
        <w:spacing w:after="0" w:line="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recorded an income tax provision of $2,209 and $3,170 on income from operations before income taxes of $5,905 and $10,218 for the three months ended March 31, 2018 and 2017, respectively. The Company recorded an income tax benefit of $4,837 and an income tax provision of $3,690 on income from operations before income taxes of $25,945 and $19,761 for the nine months ended March 31, 2018 and 2017, respectively.</w:t>
      </w:r>
    </w:p>
    <w:p>
      <w:pPr>
        <w:spacing w:after="0" w:line="5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effective tax rate for the three months ended March 31, 2018 and 2017 differed from the Federal statutory rate primarily due to Federal research and development credits, domestic manufacturing deduction, excess tax benefits related to stock compensation, and state taxes. During the three months ended March 31, 2018 and 2017, the Company recognized a discrete benefit of $96 and $184, respectively, related to excess tax benefits on stock-based compensation. The excess tax benefit related to stock-based compensation is the result of an increase in value from the stock award between the grant date and the vest date.</w:t>
      </w:r>
    </w:p>
    <w:p>
      <w:pPr>
        <w:spacing w:after="0" w:line="8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effective tax rate for the nine months ended March 31, 2018 and 2017 differed from the Federal statutory rate primarily due to Federal research and development credits, domestic manufacturing deduction, excess tax benefits related to stock compensation, state taxes and the impact of discrete items. During the nine months ended March 31, 2018 and 2017, the Company recognized a discrete tax benefit of $7,675 and $3,001, respectively, related to excess tax benefits on stock-based compensation. The discrete tax benefit for the nine months ended March 31, 2018 included the enactment of the Tax Act which revalued the excess tax benefit previously recorded in the three months ended September 30, 2017. The benefit is the result of the increase in value from the stock award between the grant date and the vest date. The nine months ended March 31, 2018 also included discrete tax benefits of $3,716, derived from new information obtained about net operating loss carry-forwards of the entities acquired from Microsemi Corporation in May 2016. The discrete items disclosed above for the nine months ended March 31, 2018 included the effect of the Tax Act.</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material changes in the Company’s unrecognized tax positions occurred during the nine months ended March 31, 2018.</w:t>
      </w:r>
    </w:p>
    <w:p>
      <w:pPr>
        <w:spacing w:after="0" w:line="24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F</w:t>
      </w:r>
      <w:r>
        <w:rPr>
          <w:rFonts w:ascii="Arial" w:cs="Arial" w:eastAsia="Arial" w:hAnsi="Arial"/>
          <w:sz w:val="14"/>
          <w:szCs w:val="14"/>
          <w:color w:val="auto"/>
        </w:rPr>
        <w:t>ACILITY</w:t>
      </w:r>
    </w:p>
    <w:p>
      <w:pPr>
        <w:spacing w:after="0" w:line="13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June 27, 2017, the Company amended its revolving credit facility to increase and extend the borrowing capacity of its existing revolving credit facility into a $400,000, 5-year revolving credit line expiring in June 2022 (“the Revolver”). As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March 31, 2018, the Company's outstanding balance of unamortized deferred financing costs was $5,659, which is being amortized to other income (expense), net on a straight line basis over the new term of the Revolver. The Company drew $195,000 from the Revolver to facilitate the completion of the Merger Agreement for the acquisition of both Ceres and its wholly-owned subsidiary, Themis.</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March 31, 2018, the Company was in compliance with all covenants and conditions under the Revolver and there was outstanding borrowings of $195,000 against the Revolver, resulting in interest expense of $999 and $1,101 for the three and nine months ended March 31, 2018, respectively. There were outstanding letters of credit of $2,771 as of March 31, 2018.</w:t>
      </w:r>
    </w:p>
    <w:p>
      <w:pPr>
        <w:spacing w:after="0" w:line="20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aggregate number of shares authorized for issuance under the Company’s 2005 Stock Incentive Plan, as amended and restated (the “2005 Plan”), is 15,252 shares at March 31, 2018.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1,610 shares available for future grant under the 2005 Plan at March 31, 2018.</w:t>
      </w:r>
    </w:p>
    <w:p>
      <w:pPr>
        <w:spacing w:after="0" w:line="8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part of the Company's ongoing annual equity grant program for employees, the Company grants performance-based restricted stock awards to certain executives and employees pursuant to the 2005 Plan. Performance awards vest based on the requisite service period subject to the achievement of specific financial performance targets. Based on the performance targets, some of these awards require graded vesting which results in more rapid expense recognition compared to traditional time-based vesting over the same vesting period. The Company monitors the probability of achieving the performance targets on a quarterly basis and may adjust periodic stock compensation expense accordingly based on its determination of the likelihood for reaching targets. The performance targets include: (i) the achievement of internal performance targets only, and (ii) the achievement of internal performance targets in relation to a peer group of companies.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aggregate number of shares authorized for issuance under the Company’s 1997 Employee Stock Purchase Plan, as amended and restated (“ESPP”), is 1,800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39 and 50 shares issued under the ESPP during the nine months ended March 31, 2018 and 2017, respectively. Shares available for future purchase under the ESPP totaled 263 at March 31, 2018.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of the Company’s stock option plans since June 30,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Options Outstanding</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8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Outstanding at June 30, 2017</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43"/>
        </w:trPr>
        <w:tc>
          <w:tcPr>
            <w:tcW w:w="73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Exercised</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60" w:type="dxa"/>
            <w:vAlign w:val="bottom"/>
            <w:gridSpan w:val="2"/>
          </w:tcPr>
          <w:p>
            <w:pPr>
              <w:ind w:left="40"/>
              <w:spacing w:after="0"/>
              <w:rPr>
                <w:sz w:val="20"/>
                <w:szCs w:val="20"/>
                <w:color w:val="auto"/>
              </w:rPr>
            </w:pPr>
            <w:r>
              <w:rPr>
                <w:rFonts w:ascii="Arial" w:cs="Arial" w:eastAsia="Arial" w:hAnsi="Arial"/>
                <w:sz w:val="18"/>
                <w:szCs w:val="18"/>
                <w:color w:val="auto"/>
              </w:rPr>
              <w:t>Canceled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Outstanding at March 31, 2018</w:t>
            </w:r>
          </w:p>
        </w:tc>
        <w:tc>
          <w:tcPr>
            <w:tcW w:w="12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15</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52"/>
        </w:trPr>
        <w:tc>
          <w:tcPr>
            <w:tcW w:w="8360" w:type="dxa"/>
            <w:vAlign w:val="bottom"/>
          </w:tcPr>
          <w:p>
            <w:pPr>
              <w:spacing w:after="0"/>
              <w:rPr>
                <w:sz w:val="13"/>
                <w:szCs w:val="13"/>
                <w:color w:val="auto"/>
              </w:rPr>
            </w:pPr>
          </w:p>
        </w:tc>
        <w:tc>
          <w:tcPr>
            <w:tcW w:w="148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Outstanding at June 30, 2017</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Outstanding at March 31, 2018</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1,190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The Company recognizes expense for its share-based payment plans in the consolidated statements of operations for the nine months ended March 31, 2018 and 2017 in accordance with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("FASB ASC 718"). The Company had $265 and $177 of capitalized stock-based compensation expense on the consolidated balance sheets as of March 31, 2018 and 2017, respectively. Under the fair value recognition provisions of FASB ASC 718, stock-based compensation cost is measured at the grant date based on the value of the award and is recognized as expense over the service period, net of estimated forfeitures. The following table presents share-based compensation expenses included in the Company’s consolidated statements of operations: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20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27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264"/>
        </w:trPr>
        <w:tc>
          <w:tcPr>
            <w:tcW w:w="420" w:type="dxa"/>
            <w:vAlign w:val="bottom"/>
            <w:tcBorders>
              <w:bottom w:val="single" w:sz="8" w:color="CCEEFF"/>
            </w:tcBorders>
          </w:tcPr>
          <w:p>
            <w:pPr>
              <w:spacing w:after="0"/>
              <w:rPr>
                <w:sz w:val="22"/>
                <w:szCs w:val="22"/>
                <w:color w:val="auto"/>
              </w:rPr>
            </w:pPr>
          </w:p>
        </w:tc>
        <w:tc>
          <w:tcPr>
            <w:tcW w:w="474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2,929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9,848</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Research and development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Stock-based compensation expense before tax</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13,045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11,440</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taxes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(1,187)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Stock-based compensation expense, net of income taxes</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8,740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b w:val="1"/>
                <w:bCs w:val="1"/>
                <w:color w:val="auto"/>
              </w:rPr>
              <w:t>K.</w:t>
            </w:r>
          </w:p>
        </w:tc>
        <w:tc>
          <w:tcPr>
            <w:tcW w:w="47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Employee Benefit Plan</w:t>
            </w: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0" w:type="dxa"/>
            <w:vAlign w:val="bottom"/>
            <w:vMerge w:val="continue"/>
          </w:tcPr>
          <w:p>
            <w:pPr>
              <w:spacing w:after="0"/>
              <w:rPr>
                <w:sz w:val="24"/>
                <w:szCs w:val="24"/>
                <w:color w:val="auto"/>
              </w:rPr>
            </w:pPr>
          </w:p>
        </w:tc>
        <w:tc>
          <w:tcPr>
            <w:tcW w:w="47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ENSION</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With the acquisition of CES on November 4, 2016, the Company assumed a defined benefit pension plan (the "Plan") for its Swiss employees, which is administered by an independent pension fund. The Plan is mandated by Swiss law and meets the criteria for a defined benefit plan under FASB ASC 715, </w:t>
      </w:r>
      <w:r>
        <w:rPr>
          <w:rFonts w:ascii="Arial" w:cs="Arial" w:eastAsia="Arial" w:hAnsi="Arial"/>
          <w:sz w:val="17"/>
          <w:szCs w:val="17"/>
          <w:i w:val="1"/>
          <w:iCs w:val="1"/>
          <w:color w:val="auto"/>
        </w:rPr>
        <w:t>Compensation—Retirement Benefits</w:t>
      </w:r>
      <w:r>
        <w:rPr>
          <w:rFonts w:ascii="Arial" w:cs="Arial" w:eastAsia="Arial" w:hAnsi="Arial"/>
          <w:sz w:val="17"/>
          <w:szCs w:val="17"/>
          <w:color w:val="auto"/>
        </w:rPr>
        <w:t xml:space="preserve"> (“FASB ASC 715”), because participants of the Plan are entitled to a defined rate of return on contributions made. The independent pension fund is a multi-employer plan with unrestricted joint liability for all participating companies for which the Plan’s overfunding or underfunding is allocated to each participating company based on an allocation key determined by the Plan.</w:t>
      </w:r>
    </w:p>
    <w:p>
      <w:pPr>
        <w:spacing w:after="0" w:line="6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recognizes a net asset or liability for the Plan equal to the difference between the projected benefit obligation of the Plan and the fair value of the Plan’s assets as required by FASB ASC 715. The funded status may vary from year to year due to changes in the fair value of the Plan’s assets and variations on the underlying assumptions of the projected benefit obligation of the Plan. The Plan's funded status at March 31, 2018 was a net liability of $6,991, which is recorded in other non-current liabilities on the consolidated balance sheet. The Company recorded a net gain of $5 and $45 in accumulated other comprehensive income during the three and nine months ended March 31, 2018, respectively. The Company did not record any gains or losses related to the Plan in accumulated other comprehensive income during the three and nine months ended March 31, 2017. The Company recognized net periodic benefit costs of $213 and $620 associated with the Plan for the three and nine months ended March 31, 2018, respectively. The Company recognized net periodic benefit costs of $130 and $199 associated with the Plan for the three and nine months ended March 31, 2017, respectively. The Company's total expected employer contributions to the Plan during fiscal 2018 are $516.</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Geographic Information and Significant Customers</w:t>
      </w:r>
    </w:p>
    <w:p>
      <w:pPr>
        <w:spacing w:after="0" w:line="1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Operating segments are defined as components of an enterprise evaluated regularly by the Company's chief operating decision maker (“CODM”) in deciding how to allocate resources and assess performance. The Company is comprised of one operating and reportable segment. The Company utilized the management approach for determining its operating segment in accordance with FASB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w:t>
      </w:r>
    </w:p>
    <w:p>
      <w:pPr>
        <w:spacing w:after="0" w:line="30"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The geographic distribution of the Company’s revenues as determined by order origination based on the country in which the Company's legal subsidiary is domiciled is summarized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6"/>
                <w:shd w:val="clear" w:color="auto" w:fill="CCEEFF"/>
              </w:rPr>
              <w:t>THREE MONTHS ENDED MARCH 31, 2018</w:t>
            </w:r>
          </w:p>
        </w:tc>
        <w:tc>
          <w:tcPr>
            <w:tcW w:w="15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105,989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8,611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116,336</w:t>
            </w: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Inter-geographic revenues</w:t>
            </w:r>
          </w:p>
        </w:tc>
        <w:tc>
          <w:tcPr>
            <w:tcW w:w="1720" w:type="dxa"/>
            <w:vAlign w:val="bottom"/>
            <w:tcBorders>
              <w:bottom w:val="single" w:sz="8" w:color="CCEEFF"/>
            </w:tcBorders>
            <w:gridSpan w:val="2"/>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107,610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8,846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116,336</w:t>
            </w:r>
          </w:p>
        </w:tc>
      </w:tr>
      <w:tr>
        <w:trPr>
          <w:trHeight w:val="67"/>
        </w:trPr>
        <w:tc>
          <w:tcPr>
            <w:tcW w:w="40" w:type="dxa"/>
            <w:vAlign w:val="bottom"/>
            <w:tcBorders>
              <w:bottom w:val="single" w:sz="8" w:color="CCEEFF"/>
            </w:tcBorders>
          </w:tcPr>
          <w:p>
            <w:pPr>
              <w:spacing w:after="0"/>
              <w:rPr>
                <w:sz w:val="5"/>
                <w:szCs w:val="5"/>
                <w:color w:val="auto"/>
              </w:rPr>
            </w:pPr>
          </w:p>
        </w:tc>
        <w:tc>
          <w:tcPr>
            <w:tcW w:w="29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6"/>
                <w:shd w:val="clear" w:color="auto" w:fill="CCEEFF"/>
              </w:rPr>
              <w:t>THREE MONTHS ENDED MARCH 31, 2017</w:t>
            </w:r>
          </w:p>
        </w:tc>
        <w:tc>
          <w:tcPr>
            <w:tcW w:w="15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98,599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8,085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107,317</w:t>
            </w: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Inter-geographic revenues</w:t>
            </w:r>
          </w:p>
        </w:tc>
        <w:tc>
          <w:tcPr>
            <w:tcW w:w="1720" w:type="dxa"/>
            <w:vAlign w:val="bottom"/>
            <w:tcBorders>
              <w:bottom w:val="single" w:sz="8" w:color="CCEEFF"/>
            </w:tcBorders>
            <w:gridSpan w:val="2"/>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100,344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8,106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107,317</w:t>
            </w:r>
          </w:p>
        </w:tc>
      </w:tr>
      <w:tr>
        <w:trPr>
          <w:trHeight w:val="67"/>
        </w:trPr>
        <w:tc>
          <w:tcPr>
            <w:tcW w:w="40" w:type="dxa"/>
            <w:vAlign w:val="bottom"/>
            <w:tcBorders>
              <w:bottom w:val="single" w:sz="8" w:color="CCEEFF"/>
            </w:tcBorders>
          </w:tcPr>
          <w:p>
            <w:pPr>
              <w:spacing w:after="0"/>
              <w:rPr>
                <w:sz w:val="5"/>
                <w:szCs w:val="5"/>
                <w:color w:val="auto"/>
              </w:rPr>
            </w:pPr>
          </w:p>
        </w:tc>
        <w:tc>
          <w:tcPr>
            <w:tcW w:w="29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shd w:val="clear" w:color="auto" w:fill="CCEEFF"/>
              </w:rPr>
              <w:t>NINE MONTHS ENDED MARCH 31, 2018</w:t>
            </w:r>
          </w:p>
        </w:tc>
        <w:tc>
          <w:tcPr>
            <w:tcW w:w="1720" w:type="dxa"/>
            <w:vAlign w:val="bottom"/>
            <w:tcBorders>
              <w:bottom w:val="single" w:sz="8" w:color="CCEEFF"/>
            </w:tcBorders>
            <w:gridSpan w:val="2"/>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309,391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25,506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340,317</w:t>
            </w: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Inter-geographic revenues</w:t>
            </w:r>
          </w:p>
        </w:tc>
        <w:tc>
          <w:tcPr>
            <w:tcW w:w="1720" w:type="dxa"/>
            <w:vAlign w:val="bottom"/>
            <w:tcBorders>
              <w:bottom w:val="single" w:sz="8" w:color="CCEEFF"/>
            </w:tcBorders>
            <w:gridSpan w:val="2"/>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315,928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25,806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340,317</w:t>
            </w:r>
          </w:p>
        </w:tc>
      </w:tr>
      <w:tr>
        <w:trPr>
          <w:trHeight w:val="67"/>
        </w:trPr>
        <w:tc>
          <w:tcPr>
            <w:tcW w:w="40" w:type="dxa"/>
            <w:vAlign w:val="bottom"/>
            <w:tcBorders>
              <w:bottom w:val="single" w:sz="8" w:color="CCEEFF"/>
            </w:tcBorders>
          </w:tcPr>
          <w:p>
            <w:pPr>
              <w:spacing w:after="0"/>
              <w:rPr>
                <w:sz w:val="5"/>
                <w:szCs w:val="5"/>
                <w:color w:val="auto"/>
              </w:rPr>
            </w:pPr>
          </w:p>
        </w:tc>
        <w:tc>
          <w:tcPr>
            <w:tcW w:w="29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shd w:val="clear" w:color="auto" w:fill="CCEEFF"/>
              </w:rPr>
              <w:t>NINE MONTHS ENDED MARCH 31, 2017</w:t>
            </w:r>
          </w:p>
        </w:tc>
        <w:tc>
          <w:tcPr>
            <w:tcW w:w="1720" w:type="dxa"/>
            <w:vAlign w:val="bottom"/>
            <w:tcBorders>
              <w:bottom w:val="single" w:sz="8" w:color="CCEEFF"/>
            </w:tcBorders>
            <w:gridSpan w:val="2"/>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273,054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14,747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5,179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292,980</w:t>
            </w: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Inter-geographic revenues</w:t>
            </w:r>
          </w:p>
        </w:tc>
        <w:tc>
          <w:tcPr>
            <w:tcW w:w="1720" w:type="dxa"/>
            <w:vAlign w:val="bottom"/>
            <w:tcBorders>
              <w:bottom w:val="single" w:sz="8" w:color="CCEEFF"/>
            </w:tcBorders>
            <w:gridSpan w:val="2"/>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279,979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14,783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292,980</w:t>
            </w: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recent years, the Company completed a series of acquisitions that changed its technological capabilities, applications and end markets. As these acquisitions and changes occurred, the Company increased the proportion of its revenue derived from the sale of components in different technological areas, and also increased the amount of revenue associated with combining technologies into more complex and diverse products including modules, sub-assemblies and integrated subsystems. The following tables present revenue consistent with the Company's strategy of expanding its technological capabilities and program content. As additional information related to the Company’s products by end user, application and/or product grouping is attained, the categorization of these products can vary over time. When this occurs, the Company reclassifies revenue by end user, application and/or product grouping for prior periods. Such reclassifications typically do not materially change the sizing of, or the underlying trends of results within, each revenue category.</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below presents the Company's net revenue by end user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6"/>
                <w:szCs w:val="16"/>
                <w:color w:val="auto"/>
              </w:rPr>
            </w:pPr>
          </w:p>
        </w:tc>
        <w:tc>
          <w:tcPr>
            <w:tcW w:w="202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4"/>
              </w:rPr>
              <w:t>Nine Months Ended March 31,</w:t>
            </w:r>
          </w:p>
        </w:tc>
      </w:tr>
      <w:tr>
        <w:trPr>
          <w:trHeight w:val="264"/>
        </w:trPr>
        <w:tc>
          <w:tcPr>
            <w:tcW w:w="70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Domestic (1)</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87,765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274,016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244,343</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International/Foreign Military Sales (2)</w:t>
            </w: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21,967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19,552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66,301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48,637</w:t>
            </w: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Net Revenue</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116,336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107,317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340,317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292,980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Domestic revenues consist of sales where the end user is within the U.S., as well as sales to prime defense contractor customers where the ultimate end user location is not defined.</w:t>
      </w:r>
    </w:p>
    <w:p>
      <w:pPr>
        <w:spacing w:after="0" w:line="13" w:lineRule="exact"/>
        <w:rPr>
          <w:rFonts w:ascii="Arial" w:cs="Arial" w:eastAsia="Arial" w:hAnsi="Arial"/>
          <w:sz w:val="14"/>
          <w:szCs w:val="14"/>
          <w:color w:val="auto"/>
        </w:rPr>
      </w:pPr>
    </w:p>
    <w:p>
      <w:pPr>
        <w:ind w:firstLine="8"/>
        <w:spacing w:after="0" w:line="255" w:lineRule="auto"/>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International/Foreign Military Sales consist of sales to U.S. prime defense contractor customers where the end user is known to be outside the U.S., foreign military sales through the U.S. government, and direct sales to non-U.S. based customers intended for end use outside of the U.S.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23" w:right="23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t>The following table below presents the Company's net revenue by end application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6"/>
                <w:szCs w:val="16"/>
                <w:color w:val="auto"/>
              </w:rPr>
            </w:pPr>
          </w:p>
        </w:tc>
        <w:tc>
          <w:tcPr>
            <w:tcW w:w="202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4"/>
              </w:rPr>
              <w:t>Nine Months Ended March 31,</w:t>
            </w:r>
          </w:p>
        </w:tc>
      </w:tr>
      <w:tr>
        <w:trPr>
          <w:trHeight w:val="264"/>
        </w:trPr>
        <w:tc>
          <w:tcPr>
            <w:tcW w:w="70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Radar (1)</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118,480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115,308</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Electronic Warfare (2)</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19,531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35,920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76,950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78,204</w:t>
            </w: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Sensor &amp; Effector (3)</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17,004</w:t>
            </w: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rPr>
              <w:t>Total Sensor &amp; Effector</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71,196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76,634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230,574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210,516</w:t>
            </w: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C4I (4)</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21,194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 (5)</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18,547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20,441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56,762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61,270</w:t>
            </w: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Net Revenue</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116,336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107,317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340,317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292,980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Radar includes end-use applications where radio frequency signals are utilized to detect, track, and identify objects.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Electronic Warfare includes end-use applications comprising the offensive and defensive use of the electromagnetic spectrum.</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Sensor &amp; Effector products include all Sensor &amp; Effector end markets other than Radar and Electronic Warfare.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C4I includes rugged secure rackmount servers that are designed to drive the most powerful military processing applications.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products include all component and other sales where the end use is not specified.</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below presents the Company's net revenue by product grouping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6"/>
                <w:szCs w:val="16"/>
                <w:color w:val="auto"/>
              </w:rPr>
            </w:pPr>
          </w:p>
        </w:tc>
        <w:tc>
          <w:tcPr>
            <w:tcW w:w="202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4"/>
              </w:rPr>
              <w:t>Nine Months Ended March 31,</w:t>
            </w:r>
          </w:p>
        </w:tc>
      </w:tr>
      <w:tr>
        <w:trPr>
          <w:trHeight w:val="263"/>
        </w:trPr>
        <w:tc>
          <w:tcPr>
            <w:tcW w:w="70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Components (1)</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30,022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26,920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102,742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74,126</w:t>
            </w: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Modules and Sub-assemblies (2)</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131,581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115,744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Integrated Subsystems (3)</w:t>
            </w: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44,193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37,067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105,994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103,110</w:t>
            </w: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Net Revenue</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116,336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107,317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340,317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292,980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firstLine="8"/>
        <w:spacing w:after="0" w:line="247" w:lineRule="auto"/>
        <w:tabs>
          <w:tab w:leader="none" w:pos="205"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Components include technology elements typically performing a single, discrete technological function, which when physically combined with other components may be used to create a module or sub-assembly. Examples include but are not limited to power amplifiers and limiters, switches, oscillators, filters, equalizers, digital and analog converters, chips, MMICs (monolithic microwave integrated circuits), and memory and storage devices.</w:t>
      </w:r>
    </w:p>
    <w:p>
      <w:pPr>
        <w:spacing w:after="0" w:line="1" w:lineRule="exact"/>
        <w:rPr>
          <w:rFonts w:ascii="Arial" w:cs="Arial" w:eastAsia="Arial" w:hAnsi="Arial"/>
          <w:sz w:val="14"/>
          <w:szCs w:val="14"/>
          <w:color w:val="auto"/>
        </w:rPr>
      </w:pPr>
    </w:p>
    <w:p>
      <w:pPr>
        <w:jc w:val="both"/>
        <w:ind w:firstLine="8"/>
        <w:spacing w:after="0" w:line="241" w:lineRule="auto"/>
        <w:tabs>
          <w:tab w:leader="none" w:pos="209" w:val="left"/>
        </w:tabs>
        <w:numPr>
          <w:ilvl w:val="0"/>
          <w:numId w:val="18"/>
        </w:numPr>
        <w:rPr>
          <w:rFonts w:ascii="Arial" w:cs="Arial" w:eastAsia="Arial" w:hAnsi="Arial"/>
          <w:sz w:val="14"/>
          <w:szCs w:val="14"/>
          <w:color w:val="auto"/>
        </w:rPr>
      </w:pPr>
      <w:r>
        <w:rPr>
          <w:rFonts w:ascii="Arial" w:cs="Arial" w:eastAsia="Arial" w:hAnsi="Arial"/>
          <w:sz w:val="14"/>
          <w:szCs w:val="14"/>
          <w:color w:val="auto"/>
        </w:rPr>
        <w:t>Modules and Sub-assemblies include combinations of multiple functional technology elements and/or components that work together to perform multiple functions but are typically resident on or within a single board or housing. Modules and sub-assemblies may in turn be combined to form an integrated subsystem. Examples of modules and sub-assemblies include but are not limited to embedded processing modules, embedded processing boards, switch fabric boards, high speed input/output boards, digital receiver boards, graphics and video processing and Ethernet and IO (input-output) boards, multi-chip modules, integrated radio frequency and microwave multi-function assemblies, tuners, and transceivers.</w:t>
      </w:r>
    </w:p>
    <w:p>
      <w:pPr>
        <w:spacing w:after="0" w:line="1" w:lineRule="exact"/>
        <w:rPr>
          <w:rFonts w:ascii="Arial" w:cs="Arial" w:eastAsia="Arial" w:hAnsi="Arial"/>
          <w:sz w:val="14"/>
          <w:szCs w:val="14"/>
          <w:color w:val="auto"/>
        </w:rPr>
      </w:pPr>
    </w:p>
    <w:p>
      <w:pPr>
        <w:jc w:val="both"/>
        <w:ind w:firstLine="8"/>
        <w:spacing w:after="0" w:line="246" w:lineRule="auto"/>
        <w:tabs>
          <w:tab w:leader="none" w:pos="213"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Integrated Subsystems include multiple modules and/or sub-assemblies combined with a backplane or similar functional element and software to enable a solution. These are typically but not always integrated within a chassis and with cooling, power and other elements to address various requirements and are also often combined with additional technologies for interaction with other parts of a complete system or platform. Integrated subsystems also include spare and replacement modules and sub-assemblies sold as part of the same program for use in or with integrated subsystems sold by the Company.</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geographic distribution of the Company’s long-lived assets is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Europe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Asia Pacific</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March 31,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51,291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50,340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51,643</w:t>
            </w:r>
          </w:p>
        </w:tc>
      </w:tr>
      <w:tr>
        <w:trPr>
          <w:trHeight w:val="351"/>
        </w:trPr>
        <w:tc>
          <w:tcPr>
            <w:tcW w:w="6080" w:type="dxa"/>
            <w:vAlign w:val="bottom"/>
            <w:gridSpan w:val="4"/>
          </w:tcPr>
          <w:p>
            <w:pPr>
              <w:ind w:left="440"/>
              <w:spacing w:after="0"/>
              <w:rPr>
                <w:sz w:val="20"/>
                <w:szCs w:val="20"/>
                <w:color w:val="auto"/>
              </w:rPr>
            </w:pPr>
            <w:r>
              <w:rPr>
                <w:rFonts w:ascii="Arial" w:cs="Arial" w:eastAsia="Arial" w:hAnsi="Arial"/>
                <w:sz w:val="18"/>
                <w:szCs w:val="18"/>
                <w:color w:val="auto"/>
              </w:rPr>
              <w:t>Identifiable long-lived assets exclude goodwill and intangible assets.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9"/>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238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26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rPr>
              <w:t>Nine Months Ended March 31,</w:t>
            </w:r>
          </w:p>
        </w:tc>
      </w:tr>
      <w:tr>
        <w:trPr>
          <w:trHeight w:val="264"/>
        </w:trPr>
        <w:tc>
          <w:tcPr>
            <w:tcW w:w="678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Raytheon Company</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Lockheed Martin Corporation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Northrop Grumman Corporation</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37"/>
        </w:trPr>
        <w:tc>
          <w:tcPr>
            <w:tcW w:w="678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6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w:t>
      </w:r>
    </w:p>
    <w:p>
      <w:pPr>
        <w:spacing w:after="0" w:line="117"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While the Company typically has customers from which it derives 10% or more of its revenue, the sales to each of these customers are spread across multiple programs and platforms. Programs comprising 10% or more of the Company’s revenues for the periods shown below are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238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26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Nine Months Ended March 31,</w:t>
            </w:r>
          </w:p>
        </w:tc>
      </w:tr>
      <w:tr>
        <w:trPr>
          <w:trHeight w:val="264"/>
        </w:trPr>
        <w:tc>
          <w:tcPr>
            <w:tcW w:w="678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SEWIP (1)</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r>
      <w:tr>
        <w:trPr>
          <w:trHeight w:val="237"/>
        </w:trPr>
        <w:tc>
          <w:tcPr>
            <w:tcW w:w="678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SEWIP includes 16% and 2% of revenues during the three months ended March 31, 2017 related to the SEWIP Block II and SEWIP Block III, respectively.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subject to litigation, claims, investigations and audits arising from time to time in the ordinary course of its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13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As of March 31, 2018, the Company has entered into non-cancelable purchase commitments for certain inventory components and services used in its normal operations. The purchase commitments covered by these agreements are for less than one year and aggregate to $57,067.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part of the Company's strategy for growth, the Company continues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may elect from time to time to purchase and subsequently retire shares of common stock in order to settle employees’ tax liabilities associated with vesting of a restricted stock award or exercise of stock options. These transactions would be treated as a use of cash in financing activities in the Company's statement of cash flows.</w:t>
      </w:r>
    </w:p>
    <w:p>
      <w:pPr>
        <w:spacing w:after="0" w:line="204"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23" w:right="239" w:bottom="1440" w:gutter="0" w:footer="0" w:header="0"/>
        </w:sectPr>
      </w:pPr>
    </w:p>
    <w:bookmarkStart w:id="20" w:name="page21"/>
    <w:bookmarkEnd w:id="20"/>
    <w:p>
      <w:pPr>
        <w:ind w:right="11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jc w:val="both"/>
        <w:ind w:firstLine="405"/>
        <w:spacing w:after="0" w:line="285"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("SEC") may contain statements that are not historical facts but that are “forward-looking statements,” which involve risks and uncertainties. You can identify these statements by the use of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any U.S. Federal government shutdown or extended continuing resolution,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market acceptance of the Company's products, shortages in components, production delays or unanticipated expenses due to performance quality issues with outsourced components, inability to fully realize the expected benefits from acquisitions and restructurings, or delays in realizing such benefits, challenges in integrating acquired businesses and achieving anticipated synergies, increases in interest rates, changes to cyber-security regulations and requirements, changes in tax rates or tax regulations,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2017. We caution readers not to place undue reliance upon any such forward-looking statements, which speak only as of the date made.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Mercury Systems, Inc. is a leading commercial provider of secure sensor and safety critical mission processing subsystems. Optimized for customer and mission success, our solutions power a wide variety of critical defense and intelligence programs. Headquartered in Andover, Massachusetts, we are pioneering a next-generation defense electronics business model designed to meet the industry’s current and emerging business needs. We deliver affordable innovative solutions, rapid time-to-value and service and support primarily to defense prime contractor customers. Our products and solutions have been deployed in more than 300 programs with over 25 different defense prime contractors. Key programs include Aegis, Patriot, Surface Electronic Warfare Improvement Program (“SEWIP”), Gorgon Stare, Predator, F-35, F-16 SABR, E2D Hawkeye, Reaper, and Paveway. Our organizational structure allows us to deliver capabilities that combine technology building blocks and deep domain expertise in the defense sector.</w:t>
      </w:r>
    </w:p>
    <w:p>
      <w:pPr>
        <w:spacing w:after="0" w:line="5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technologies and capabilities include secure embedded processing modules and subsystems, mission computers, safety-critical avionics, radio frequency (“RF”) components, multi-function assemblies and subsystems. We utilize leading edge, high performance computing technologies architected by leveraging open standards and open architectures to address highly data-intensive applications that include data signal, sensor and image processing while addressing the packaging challenges, often referred to as “SWaP” (size, weight, and power), that are common in military applications. We have design, development, and manufacturing capabilities in mission computing, safety-critical avionics and platform management. In addition, we design and manufacture RF, microwave and millimeter wave components and subsystems to meet the needs of the radar, electronic warfare (“EW”), signals intelligence (“SIGINT”) and other high bandwidth communications requirements and applications.</w:t>
      </w:r>
    </w:p>
    <w:p>
      <w:pPr>
        <w:spacing w:after="0" w:line="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also provide significant capabilities relating to pre-integrated electronic warfare, electronic attack (“EA”) and electronic counter measure (“ECM”) subsystems, SIGINT and electro-optical/infrared (“EO/IR”) processing technologies, and radar environment test and simulation systems. We deploy these solutions on behalf of defense prime contractors and the Department of Defense (“DoD”), leveraging commercially available technologies and solutions (or “building blocks”) from our business and other commercial suppliers. We leverage this technology to design and build integrated sensor processing subsystems, often including classified application-specific software and intellectual property (“IP”) for the C4ISR (command, control, communications, computers, intelligence, surveillance and reconnaissance), EW, and ECM markets. We bring significant domain expertise to customers, drawing on over 25 years of experience in EW, SIGINT, and radar environment test and simulation.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jc w:val="both"/>
        <w:ind w:firstLine="432"/>
        <w:spacing w:after="0" w:line="257" w:lineRule="auto"/>
        <w:rPr>
          <w:sz w:val="20"/>
          <w:szCs w:val="20"/>
          <w:color w:val="auto"/>
        </w:rPr>
      </w:pPr>
      <w:r>
        <w:rPr>
          <w:rFonts w:ascii="Arial" w:cs="Arial" w:eastAsia="Arial" w:hAnsi="Arial"/>
          <w:sz w:val="18"/>
          <w:szCs w:val="18"/>
          <w:color w:val="auto"/>
        </w:rPr>
        <w:t>Since we conduct much of our business with our defense customers via commercial item sales,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w:t>
      </w:r>
    </w:p>
    <w:p>
      <w:pPr>
        <w:spacing w:after="0" w:line="8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2018, we had 1,304 employees. During the three months ended March 31, 2018, the growth in our headcount resulted in us exceeding the threshold for qualifying as a "small business" for government contract purposes. The revenues received as a result of small business set aside funding are not considered material.</w:t>
      </w:r>
    </w:p>
    <w:p>
      <w:pPr>
        <w:spacing w:after="0" w:line="7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consolidated revenues, net income, net earnings per share, adjusted earnings per share ("adjusted EPS"), and adjusted EBITDA for the three months ended March 31, 2018 were $116.3 million, $3.7 million, $0.08, $0.30, and $25.8 million, respectively. Our consolidated revenues, net income, net earnings per share, adjusted earnings per share ("adjusted EPS"), and adjusted EBITDA for the nine months ended March 31, 2018 were $340.3 million, $30.8 million, $0.65, $0.95, and $77.7 million, respectively. See the Non-GAAP Financial Measures section for a reconciliation to our most directly comparable GAAP financial measures.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Results of operations for the three and nine month period ended March 31, 2017 do not include results for Delta Microwave, LLC ("Delta"), Richland Technologies, L.L.C. ("RTL"), or Themis Computer (“Themis”) since these businesses were acquired subsequent to March 31, 2017. The results of operations for the nine month period ended March 31, 2017 includes approximately five months of results for CES Creative Electronic Systems, S.A. ("CES"), which was acquired on November 4, 2016. Accordingly, the periods presented below are not directly comparable.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 compared to the three months ended March 31, 2017</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three month periods indicated, financial data from the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As a % of</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8"/>
              </w:rPr>
              <w:t>As a % of</w:t>
            </w:r>
          </w:p>
        </w:tc>
        <w:tc>
          <w:tcPr>
            <w:tcW w:w="0" w:type="dxa"/>
            <w:vAlign w:val="bottom"/>
          </w:tcPr>
          <w:p>
            <w:pPr>
              <w:spacing w:after="0"/>
              <w:rPr>
                <w:sz w:val="1"/>
                <w:szCs w:val="1"/>
                <w:color w:val="auto"/>
              </w:rPr>
            </w:pPr>
          </w:p>
        </w:tc>
      </w:tr>
      <w:tr>
        <w:trPr>
          <w:trHeight w:val="149"/>
        </w:trPr>
        <w:tc>
          <w:tcPr>
            <w:tcW w:w="54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2018</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Total Net</w:t>
            </w:r>
          </w:p>
        </w:tc>
        <w:tc>
          <w:tcPr>
            <w:tcW w:w="16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2017</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58"/>
        </w:trPr>
        <w:tc>
          <w:tcPr>
            <w:tcW w:w="548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5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Net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116,336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107,317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63,570</w:t>
            </w:r>
          </w:p>
        </w:tc>
        <w:tc>
          <w:tcPr>
            <w:tcW w:w="12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56,534</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Gross margin</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52,766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50,783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21,138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19,229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15,021</w:t>
            </w:r>
          </w:p>
        </w:tc>
        <w:tc>
          <w:tcPr>
            <w:tcW w:w="12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14,198</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Amortization of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Restructuring and other charges</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Acquisition costs and other related expenses</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45,928</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39,088</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11,695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5480" w:type="dxa"/>
            <w:vAlign w:val="bottom"/>
            <w:gridSpan w:val="4"/>
          </w:tcPr>
          <w:p>
            <w:pPr>
              <w:ind w:left="40"/>
              <w:spacing w:after="0"/>
              <w:rPr>
                <w:sz w:val="20"/>
                <w:szCs w:val="20"/>
                <w:color w:val="auto"/>
              </w:rPr>
            </w:pPr>
            <w:r>
              <w:rPr>
                <w:rFonts w:ascii="Arial" w:cs="Arial" w:eastAsia="Arial" w:hAnsi="Arial"/>
                <w:sz w:val="18"/>
                <w:szCs w:val="18"/>
                <w:color w:val="auto"/>
              </w:rPr>
              <w:t>Tax provision</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2,209</w:t>
            </w:r>
          </w:p>
        </w:tc>
        <w:tc>
          <w:tcPr>
            <w:tcW w:w="12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Net income</w:t>
            </w:r>
          </w:p>
        </w:tc>
        <w:tc>
          <w:tcPr>
            <w:tcW w:w="4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3,696</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7,048</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931"/>
              <w:spacing w:after="0"/>
              <w:rPr>
                <w:sz w:val="20"/>
                <w:szCs w:val="20"/>
                <w:color w:val="auto"/>
              </w:rPr>
            </w:pPr>
            <w:r>
              <w:rPr>
                <w:rFonts w:ascii="Arial" w:cs="Arial" w:eastAsia="Arial" w:hAnsi="Arial"/>
                <w:sz w:val="18"/>
                <w:szCs w:val="18"/>
                <w:color w:val="auto"/>
                <w:w w:val="89"/>
              </w:rPr>
              <w:t>22</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As a % of</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As a % of</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1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March 31, 2018</w:t>
            </w:r>
          </w:p>
        </w:tc>
        <w:tc>
          <w:tcPr>
            <w:tcW w:w="100" w:type="dxa"/>
            <w:vAlign w:val="bottom"/>
            <w:vMerge w:val="restart"/>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Total Net</w:t>
            </w:r>
          </w:p>
        </w:tc>
        <w:tc>
          <w:tcPr>
            <w:tcW w:w="120" w:type="dxa"/>
            <w:vAlign w:val="bottom"/>
          </w:tcPr>
          <w:p>
            <w:pPr>
              <w:spacing w:after="0"/>
              <w:rPr>
                <w:sz w:val="12"/>
                <w:szCs w:val="12"/>
                <w:color w:val="auto"/>
              </w:rPr>
            </w:pPr>
          </w:p>
        </w:tc>
        <w:tc>
          <w:tcPr>
            <w:tcW w:w="11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March 31, 2017</w:t>
            </w:r>
          </w:p>
        </w:tc>
        <w:tc>
          <w:tcPr>
            <w:tcW w:w="100" w:type="dxa"/>
            <w:vAlign w:val="bottom"/>
            <w:vMerge w:val="restart"/>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Total Net</w:t>
            </w:r>
          </w:p>
        </w:tc>
        <w:tc>
          <w:tcPr>
            <w:tcW w:w="220" w:type="dxa"/>
            <w:vAlign w:val="bottom"/>
          </w:tcPr>
          <w:p>
            <w:pPr>
              <w:spacing w:after="0"/>
              <w:rPr>
                <w:sz w:val="12"/>
                <w:szCs w:val="12"/>
                <w:color w:val="auto"/>
              </w:rPr>
            </w:pPr>
          </w:p>
        </w:tc>
        <w:tc>
          <w:tcPr>
            <w:tcW w:w="10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3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Organic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100,625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107,317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Acquired revenue</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15,711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15,711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116,336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107,317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9,019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Total revenues increased $9.0 million, or 8%, to $116.3 million during the three months ended March 31, 2018 as compared to the same period in fiscal 2017 including "Acquired revenue" which represents net revenue from acquired businesses that have been part of Mercury for completion of four full quarters or less (and excludes any intercompany transactions). After the completion of four fiscal quarters, acquired businesses will be treated as organic for current and comparable historical periods. The increase in total revenues is primarily attributed to the Aegis, F-35 and E2D Hawkeye programs and the increase of $15.7 million of Acquired revenue. These increases were partially offset by lower revenues from the SEWIP Block II and Patriot programs and a large ground based radar program.</w:t>
      </w:r>
    </w:p>
    <w:p>
      <w:pPr>
        <w:spacing w:after="0" w:line="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International revenues, which consist of foreign military sales through the U.S. government, sales to prime defense contractor customers where the end user is known to be outside of the U.S., and direct sales to non-U.S. based customers, increased $2.4 million to $22.0 million during the three months ended March 31, 2018, compared to $19.6 million in the same period in the prior fiscal year. International revenues represented 19% and 18% of total revenues during the three months ended March 31, 2018 and 2017, respectively.</w:t>
      </w:r>
    </w:p>
    <w:p>
      <w:pPr>
        <w:spacing w:after="0" w:line="7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Revenues from C4I, Other Sensor and Effector, and Radar increased by $16.4 million, $6.7 million and $4.2 million, respectively, during the three months ended March 31, 2018 as compared to the same period in fiscal 2017. The C4I increase was driven primarily by the acquired revenue from the Themis acquisition as well as the F-35 program, partially offset by lower revenue from the ProVision program. The increase in Other Sensor and Effector was primarily driven by the AMRAAM, Paveway and Precision Guidance Kit ("PGK") programs. The increase in Radar was primarily due to higher revenue from the Aegis and E2D Hawkeye programs, partially offset by lower revenue from a large ground based radar program and the Patriot program. Revenues from EW decreased by $16.4 million during the three months ended March 31, 2018 as compared to the same period in fiscal 2017. The EW decrease was driven primarily by the SEWIP Block II program.</w:t>
      </w:r>
    </w:p>
    <w:p>
      <w:pPr>
        <w:spacing w:after="0" w:line="8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Revenues from integrated subsystems and components increased by $7.1 million and $3.1 million, respectively, during the three months ended March 31, 2018 as compared to the same period in fiscal 2017. The integrated subsystems increase was driven primarily by acquired revenue from the Themis acquisition as well as significant increases in the Aegis and E2D Hawkeye programs. The increase in components was driven primarily by the F-35 and PGK programs. Revenues from modules and sub-assemblies decreased by $1.2 million during the three months ended March 31, 2018 as compared to the same period in fiscal 2017. The decrease in modules and sub-assemblies was primarily due to lower revenue from the SEWIP Block II program.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Gross margin was 45.4% for the three months ended March 31, 2018, a decrease of 190 basis points from the 47.3% gross margin achieved during the same period in fiscal 2017. The lower gross margin between years was primarily driven by a shift in program mix compared to the same period in fiscal 2017 and the increased impact of the inventory step-up related to the Themis acquisition. Lower gross margins for the three months ended March 31, 2018 were partially offset by increased revenue in higher margin programs compared to the same period in fiscal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Selling, general and administrative expenses increased $1.9 million, or 10%, to $21.1 million during the three months ended March 31, 2018, compared to $19.2 million in the same period in fiscal 2017. The increase was primarily related to higher compensation related costs due to added headcount from the acquisitions of Delta, RTL, and Themis. Selling, general and administrative expenses as a percentage of revenues was consistent for the three months ended March 31, 2018 as compared to the same period in fiscal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Research and development expenses increased approximately $0.8 million, or 6%, to $15.0 million during the three months ended March 31, 2018, compared to $14.2 million during the same period in fiscal 2017. The increase was primarily due to increased headcount from our recent acquisitions driving higher compensation related costs, offset by increased customer funded development. Research and development expenses as a percentage of revenues were consistent for the three months ended March 31, 2018 as compared to the same period in fiscal 2017.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2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3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Restructuring and other charges increased $0.9 million to $1.4 million during the three months ended March 31, 2018, compared to $0.5 million during the same period in fiscal 2017. The increase was primarily driven by higher severance costs compared to the same period in fiscal 2017. Restructuring and other charges are typically related to acquisitions and organizational redesign programs initiated as part of discrete post-acquisition integration activities.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incurred $1.3 million of acquisition costs and other related expenses during the three months ended March 31, 2018, compared to $0.5 million during the same period in fiscal 2017. The increase was primarily due to acquisition costs of $1.0 million incurred during the three months ended March 31, 2018 related to the acquisition of Themis, while $0.3 million of acquisition costs were related to the acquisition of Delta during the same period in fiscal 2017. We expect to incur acquisition costs and other related expenses periodically in the future as we continue to seek acquisition opportunities to expand our capabilities and new end markets within the sensor processing chain. Transaction costs incurred by the acquiree prior to the consummation of an acquisition would not be reflected in our historical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Interest expense decreased $0.9 million, or 47%, to $1.0 million during the three months ended March 31, 2018 compared to $1.9 million during the same period in fiscal 2017. The three months ended March 31, 2017 included $1.5 million cash interest expense and $0.4 million of non-cash interest expense from the amortization of debt issuance costs related to our former term loan, which was repaid in the fourth quarter of fiscal 2017. During the three months ended March 31, 2018, we incurred $1.0 million in cash interest expense on the revolving credit facility ("the Revolver") in order to facilitate the acquisition of Themis.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Other income, net decreased $0.2 million to $0.1 million during the three months ended March 31, 2018, as compared to $0.3 million in the same period in fiscal 2017. The decrease was primarily due to $0.6 million in financing and registration fees during the three months ended March 31, 2018 compared to $0.1 million for the same period in fiscal 2017. The decrease was also driven by a $0.3 million gain related to the amortization of the gain on the sale leaseback of our former headquarters in fiscal 2017, which was fully amortized in fiscal 2017. These decreases were partially offset by a $0.7 million foreign exchange gain during the three months ended March 31, 2018, as compared to $0.1 million foreign exchange gain during the same period in fiscal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On December 22, 2017, the Tax Cuts and Jobs Act of 2017 (the “Tax Act”) was enacted by the U.S. government. The Tax Act has impacted the statutory Federal tax rate that we will use going forward, which has been reduced to 21% from 35%. As we have a June 30 fiscal year-end, the lower corporate income tax rate will be phased in, resulting in a U.S. statutory Federal rate of approximately 28% for our fiscal year ending June 30, 2018, and 21% for subsequent fiscal years. In addition to the reduced corporate rate we also expect to benefit from the immediate deduction for certain new investments. The Tax Act also includes items that we expect will increase our tax expense including, but not limited to, the elimination of the domestic manufacturing deduction and increased limitations on executive compensation. In addition, the actual effective tax rate may be materially different than the statutory Federal tax rate (including being higher) based on the availability and impact of various other adjustments including but not limited to state taxes, Federal research and development credits, discrete tax benefits related to stock compensation, and the inclusion or exclusion of various items in taxable income which may differ from GAAP income.</w:t>
      </w:r>
    </w:p>
    <w:p>
      <w:pPr>
        <w:spacing w:after="0" w:line="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March 31, 2018 and 2017, we recognized a discrete tax expense and benefit of $0.1 million and $0.2 million, respectively, related to excess tax benefits on stock-based compensation. The excess tax benefit related to stock-based compensation is the result of an increase in value from the stock award between the grant date and the vest date.</w:t>
      </w:r>
    </w:p>
    <w:p>
      <w:pPr>
        <w:spacing w:after="0" w:line="7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effective tax rate for the three months ended March 31, 2018 differed from the Federal statutory tax rate of 28% primarily due to the one-time impact of the Tax Act, Federal research and development credits, domestic manufacturing deduction, excess tax benefits related to stock compensation, and state taxes. Our effective tax rate for the three months ended March 31, 2017 differed from the Federal statutory tax rate of 35% primarily due to Federal research and development credits, domestic manufacturing deduction, excess tax benefits related to stock compensation, and state taxes.</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Within the calculation of our annual effective tax rate we have used assumptions and estimates that may change as a result of future guidance and interpretation from the Internal Revenue Service, the SEC, and the FASB. The Tax Act contains many significant changes to the U.S. tax laws, the consequences of which have not yet been fully determined. Changes in corporate tax rates, the net deferred tax assets and/or liabilities relating to our U.S. operations, the taxation of foreign earnings, and the deductibility of expenses contained in the Tax Act could have a material impact on the Company’s future U.S. tax expense.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Nine months ended March 31, 2018 compared to the nine months ended March 31, 2017</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nine month periods indicated, financial data from the consolidated statements of operations: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5"/>
              </w:rPr>
              <w:t>As a % of</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60" w:type="dxa"/>
            <w:vAlign w:val="bottom"/>
            <w:gridSpan w:val="7"/>
            <w:vMerge w:val="restart"/>
          </w:tcPr>
          <w:p>
            <w:pPr>
              <w:jc w:val="right"/>
              <w:ind w:right="610"/>
              <w:spacing w:after="0"/>
              <w:rPr>
                <w:sz w:val="20"/>
                <w:szCs w:val="20"/>
                <w:color w:val="auto"/>
              </w:rPr>
            </w:pPr>
            <w:r>
              <w:rPr>
                <w:rFonts w:ascii="Arial" w:cs="Arial" w:eastAsia="Arial" w:hAnsi="Arial"/>
                <w:sz w:val="14"/>
                <w:szCs w:val="14"/>
                <w:b w:val="1"/>
                <w:bCs w:val="1"/>
                <w:color w:val="auto"/>
              </w:rPr>
              <w:t>March 31, 2018</w:t>
            </w:r>
          </w:p>
        </w:tc>
        <w:tc>
          <w:tcPr>
            <w:tcW w:w="116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Total Net</w:t>
            </w:r>
          </w:p>
        </w:tc>
        <w:tc>
          <w:tcPr>
            <w:tcW w:w="200" w:type="dxa"/>
            <w:vAlign w:val="bottom"/>
          </w:tcPr>
          <w:p>
            <w:pPr>
              <w:spacing w:after="0"/>
              <w:rPr>
                <w:sz w:val="12"/>
                <w:szCs w:val="12"/>
                <w:color w:val="auto"/>
              </w:rPr>
            </w:pPr>
          </w:p>
        </w:tc>
        <w:tc>
          <w:tcPr>
            <w:tcW w:w="12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6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60" w:type="dxa"/>
            <w:vAlign w:val="bottom"/>
            <w:gridSpan w:val="7"/>
            <w:vMerge w:val="continue"/>
          </w:tcPr>
          <w:p>
            <w:pPr>
              <w:spacing w:after="0"/>
              <w:rPr>
                <w:sz w:val="13"/>
                <w:szCs w:val="13"/>
                <w:color w:val="auto"/>
              </w:rPr>
            </w:pPr>
          </w:p>
        </w:tc>
        <w:tc>
          <w:tcPr>
            <w:tcW w:w="1160" w:type="dxa"/>
            <w:vAlign w:val="bottom"/>
            <w:gridSpan w:val="4"/>
          </w:tcPr>
          <w:p>
            <w:pPr>
              <w:jc w:val="center"/>
              <w:ind w:right="500"/>
              <w:spacing w:after="0" w:line="158" w:lineRule="exact"/>
              <w:rPr>
                <w:sz w:val="20"/>
                <w:szCs w:val="20"/>
                <w:color w:val="auto"/>
              </w:rPr>
            </w:pPr>
            <w:r>
              <w:rPr>
                <w:rFonts w:ascii="Arial" w:cs="Arial" w:eastAsia="Arial" w:hAnsi="Arial"/>
                <w:sz w:val="14"/>
                <w:szCs w:val="14"/>
                <w:b w:val="1"/>
                <w:bCs w:val="1"/>
                <w:color w:val="auto"/>
                <w:w w:val="92"/>
              </w:rPr>
              <w:t>Revenue</w:t>
            </w:r>
          </w:p>
        </w:tc>
        <w:tc>
          <w:tcPr>
            <w:tcW w:w="200" w:type="dxa"/>
            <w:vAlign w:val="bottom"/>
          </w:tcPr>
          <w:p>
            <w:pPr>
              <w:spacing w:after="0"/>
              <w:rPr>
                <w:sz w:val="13"/>
                <w:szCs w:val="13"/>
                <w:color w:val="auto"/>
              </w:rPr>
            </w:pPr>
          </w:p>
        </w:tc>
        <w:tc>
          <w:tcPr>
            <w:tcW w:w="126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w w:val="86"/>
              </w:rPr>
              <w:t>340,317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4"/>
            <w:shd w:val="clear" w:color="auto" w:fill="CCEEFF"/>
          </w:tcPr>
          <w:p>
            <w:pPr>
              <w:jc w:val="right"/>
              <w:ind w:right="11"/>
              <w:spacing w:after="0"/>
              <w:rPr>
                <w:sz w:val="20"/>
                <w:szCs w:val="20"/>
                <w:color w:val="auto"/>
              </w:rPr>
            </w:pPr>
            <w:r>
              <w:rPr>
                <w:rFonts w:ascii="Arial" w:cs="Arial" w:eastAsia="Arial" w:hAnsi="Arial"/>
                <w:sz w:val="18"/>
                <w:szCs w:val="18"/>
                <w:color w:val="auto"/>
              </w:rPr>
              <w:t>292,980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4"/>
          </w:tcPr>
          <w:p>
            <w:pPr>
              <w:jc w:val="right"/>
              <w:ind w:right="30"/>
              <w:spacing w:after="0"/>
              <w:rPr>
                <w:sz w:val="20"/>
                <w:szCs w:val="20"/>
                <w:color w:val="auto"/>
              </w:rPr>
            </w:pPr>
            <w:r>
              <w:rPr>
                <w:rFonts w:ascii="Arial" w:cs="Arial" w:eastAsia="Arial" w:hAnsi="Arial"/>
                <w:sz w:val="18"/>
                <w:szCs w:val="18"/>
                <w:color w:val="auto"/>
                <w:w w:val="86"/>
              </w:rPr>
              <w:t>182,717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3"/>
          </w:tcPr>
          <w:p>
            <w:pPr>
              <w:jc w:val="right"/>
              <w:ind w:right="141"/>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4"/>
          </w:tcPr>
          <w:p>
            <w:pPr>
              <w:jc w:val="right"/>
              <w:ind w:right="11"/>
              <w:spacing w:after="0"/>
              <w:rPr>
                <w:sz w:val="20"/>
                <w:szCs w:val="20"/>
                <w:color w:val="auto"/>
              </w:rPr>
            </w:pPr>
            <w:r>
              <w:rPr>
                <w:rFonts w:ascii="Arial" w:cs="Arial" w:eastAsia="Arial" w:hAnsi="Arial"/>
                <w:sz w:val="18"/>
                <w:szCs w:val="18"/>
                <w:color w:val="auto"/>
              </w:rPr>
              <w:t>155,364</w:t>
            </w:r>
          </w:p>
        </w:tc>
        <w:tc>
          <w:tcPr>
            <w:tcW w:w="100" w:type="dxa"/>
            <w:vAlign w:val="bottom"/>
          </w:tcPr>
          <w:p>
            <w:pPr>
              <w:spacing w:after="0"/>
              <w:rPr>
                <w:sz w:val="21"/>
                <w:szCs w:val="21"/>
                <w:color w:val="auto"/>
              </w:rPr>
            </w:pP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53.0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w w:val="86"/>
              </w:rPr>
              <w:t>157,600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11"/>
              <w:spacing w:after="0"/>
              <w:rPr>
                <w:sz w:val="20"/>
                <w:szCs w:val="20"/>
                <w:color w:val="auto"/>
              </w:rPr>
            </w:pPr>
            <w:r>
              <w:rPr>
                <w:rFonts w:ascii="Arial" w:cs="Arial" w:eastAsia="Arial" w:hAnsi="Arial"/>
                <w:sz w:val="18"/>
                <w:szCs w:val="18"/>
                <w:color w:val="auto"/>
              </w:rPr>
              <w:t>137,616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47.0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62,928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56,093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19.2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8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4"/>
          </w:tcPr>
          <w:p>
            <w:pPr>
              <w:jc w:val="right"/>
              <w:ind w:right="30"/>
              <w:spacing w:after="0"/>
              <w:rPr>
                <w:sz w:val="20"/>
                <w:szCs w:val="20"/>
                <w:color w:val="auto"/>
              </w:rPr>
            </w:pPr>
            <w:r>
              <w:rPr>
                <w:rFonts w:ascii="Arial" w:cs="Arial" w:eastAsia="Arial" w:hAnsi="Arial"/>
                <w:sz w:val="18"/>
                <w:szCs w:val="18"/>
                <w:color w:val="auto"/>
              </w:rPr>
              <w:t>43,950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3"/>
          </w:tcPr>
          <w:p>
            <w:pPr>
              <w:jc w:val="right"/>
              <w:ind w:right="14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40,192</w:t>
            </w:r>
          </w:p>
        </w:tc>
        <w:tc>
          <w:tcPr>
            <w:tcW w:w="100" w:type="dxa"/>
            <w:vAlign w:val="bottom"/>
          </w:tcPr>
          <w:p>
            <w:pPr>
              <w:spacing w:after="0"/>
              <w:rPr>
                <w:sz w:val="21"/>
                <w:szCs w:val="21"/>
                <w:color w:val="auto"/>
              </w:rPr>
            </w:pP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18,568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80" w:type="dxa"/>
            <w:vAlign w:val="bottom"/>
            <w:gridSpan w:val="2"/>
          </w:tcPr>
          <w:p>
            <w:pPr>
              <w:ind w:left="360"/>
              <w:spacing w:after="0"/>
              <w:rPr>
                <w:sz w:val="20"/>
                <w:szCs w:val="20"/>
                <w:color w:val="auto"/>
              </w:rPr>
            </w:pPr>
            <w:r>
              <w:rPr>
                <w:rFonts w:ascii="Arial" w:cs="Arial" w:eastAsia="Arial" w:hAnsi="Arial"/>
                <w:sz w:val="18"/>
                <w:szCs w:val="18"/>
                <w:color w:val="auto"/>
              </w:rPr>
              <w:t>Restructuring and other charges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4"/>
          </w:tcPr>
          <w:p>
            <w:pPr>
              <w:jc w:val="right"/>
              <w:ind w:right="30"/>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3"/>
          </w:tcPr>
          <w:p>
            <w:pPr>
              <w:jc w:val="right"/>
              <w:ind w:right="14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36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92"/>
                <w:shd w:val="clear" w:color="auto" w:fill="CCEEFF"/>
              </w:rPr>
              <w:t>Acquisition costs and other related expenses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1,889</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0.6</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80" w:type="dxa"/>
            <w:vAlign w:val="bottom"/>
            <w:gridSpan w:val="2"/>
          </w:tcPr>
          <w:p>
            <w:pPr>
              <w:ind w:left="68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w w:val="86"/>
              </w:rPr>
              <w:t>129,503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3"/>
          </w:tcPr>
          <w:p>
            <w:pPr>
              <w:jc w:val="right"/>
              <w:ind w:right="14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6"/>
              </w:rPr>
              <w:t>113,221</w:t>
            </w:r>
          </w:p>
        </w:tc>
        <w:tc>
          <w:tcPr>
            <w:tcW w:w="100" w:type="dxa"/>
            <w:vAlign w:val="bottom"/>
          </w:tcPr>
          <w:p>
            <w:pPr>
              <w:spacing w:after="0"/>
              <w:rPr>
                <w:sz w:val="20"/>
                <w:szCs w:val="20"/>
                <w:color w:val="auto"/>
              </w:rPr>
            </w:pPr>
          </w:p>
        </w:tc>
        <w:tc>
          <w:tcPr>
            <w:tcW w:w="1420" w:type="dxa"/>
            <w:vAlign w:val="bottom"/>
            <w:tcBorders>
              <w:top w:val="single" w:sz="8" w:color="auto"/>
            </w:tcBorders>
            <w:gridSpan w:val="2"/>
          </w:tcPr>
          <w:p>
            <w:pPr>
              <w:jc w:val="right"/>
              <w:ind w:right="108"/>
              <w:spacing w:after="0"/>
              <w:rPr>
                <w:sz w:val="20"/>
                <w:szCs w:val="20"/>
                <w:color w:val="auto"/>
              </w:rPr>
            </w:pPr>
            <w:r>
              <w:rPr>
                <w:rFonts w:ascii="Arial" w:cs="Arial" w:eastAsia="Arial" w:hAnsi="Arial"/>
                <w:sz w:val="18"/>
                <w:szCs w:val="18"/>
                <w:color w:val="auto"/>
              </w:rPr>
              <w:t>38.7</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28,097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24,395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3"/>
          </w:tcPr>
          <w:p>
            <w:pPr>
              <w:jc w:val="right"/>
              <w:ind w:right="8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25,945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Tax (benefit) provision</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3"/>
          </w:tcPr>
          <w:p>
            <w:pPr>
              <w:jc w:val="right"/>
              <w:ind w:right="8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3,690</w:t>
            </w:r>
          </w:p>
        </w:tc>
        <w:tc>
          <w:tcPr>
            <w:tcW w:w="100" w:type="dxa"/>
            <w:vAlign w:val="bottom"/>
          </w:tcPr>
          <w:p>
            <w:pPr>
              <w:spacing w:after="0"/>
              <w:rPr>
                <w:sz w:val="21"/>
                <w:szCs w:val="21"/>
                <w:color w:val="auto"/>
              </w:rPr>
            </w:pP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shd w:val="clear" w:color="auto" w:fill="CCEEFF"/>
              </w:rPr>
              <w:t>Net income</w:t>
            </w:r>
          </w:p>
        </w:tc>
        <w:tc>
          <w:tcPr>
            <w:tcW w:w="2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30,782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16,071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20" w:type="dxa"/>
            <w:vAlign w:val="bottom"/>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7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left="141"/>
              <w:spacing w:after="0"/>
              <w:rPr>
                <w:sz w:val="20"/>
                <w:szCs w:val="20"/>
                <w:color w:val="auto"/>
              </w:rPr>
            </w:pPr>
            <w:r>
              <w:rPr>
                <w:rFonts w:ascii="Arial" w:cs="Arial" w:eastAsia="Arial" w:hAnsi="Arial"/>
                <w:sz w:val="14"/>
                <w:szCs w:val="14"/>
                <w:b w:val="1"/>
                <w:bCs w:val="1"/>
                <w:color w:val="auto"/>
                <w:w w:val="95"/>
              </w:rPr>
              <w:t>As a % of</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vMerge w:val="restart"/>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Total 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March 31, 2017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left="141"/>
              <w:spacing w:after="0" w:line="149" w:lineRule="exact"/>
              <w:rPr>
                <w:sz w:val="20"/>
                <w:szCs w:val="20"/>
                <w:color w:val="auto"/>
              </w:rPr>
            </w:pPr>
            <w:r>
              <w:rPr>
                <w:rFonts w:ascii="Arial" w:cs="Arial" w:eastAsia="Arial" w:hAnsi="Arial"/>
                <w:sz w:val="14"/>
                <w:szCs w:val="14"/>
                <w:b w:val="1"/>
                <w:bCs w:val="1"/>
                <w:color w:val="auto"/>
                <w:w w:val="93"/>
              </w:rPr>
              <w:t>Total Net</w:t>
            </w:r>
          </w:p>
        </w:tc>
        <w:tc>
          <w:tcPr>
            <w:tcW w:w="2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gridSpan w:val="2"/>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jc w:val="center"/>
              <w:ind w:left="141"/>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Organic revenue</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312,400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292,980</w:t>
            </w:r>
          </w:p>
        </w:tc>
        <w:tc>
          <w:tcPr>
            <w:tcW w:w="13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Acquired revenue</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27,917</w:t>
            </w: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27,917</w:t>
            </w:r>
          </w:p>
        </w:tc>
        <w:tc>
          <w:tcPr>
            <w:tcW w:w="10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right w:val="single" w:sz="8" w:color="CCEEFF"/>
            </w:tcBorders>
            <w:shd w:val="clear" w:color="auto" w:fill="CCEEFF"/>
          </w:tcPr>
          <w:p>
            <w:pPr>
              <w:spacing w:after="0"/>
              <w:rPr>
                <w:sz w:val="22"/>
                <w:szCs w:val="22"/>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revenues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340,317</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292,980</w:t>
            </w:r>
          </w:p>
        </w:tc>
        <w:tc>
          <w:tcPr>
            <w:tcW w:w="13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47,337</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Total revenues increased $47.3 million, or 16%, to $340.3 million during the nine months ended March 31, 2018 as compared to the same period in fiscal 2017. The increase in total revenues is primarily attributed to $27.9 million of higher Acquired revenue during the nine months ended March 31, 2018. The $19.4 million organic revenue increase was primarily attributed to the F-35, PGK, E2D Hawkeye and F-16 SABR programs, partially offset by lower revenues from a large ground based radar program and the Digital Electronic Warfare System ("DEWS") and Miniature Air-Launched Decoy ("MALD") programs.</w:t>
      </w:r>
    </w:p>
    <w:p>
      <w:pPr>
        <w:spacing w:after="0" w:line="8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International revenues, which consist of foreign military sales through the U.S. government, sales to prime defense contractor customers where the end user is known to be outside of the U.S., and direct sales to non-U.S. based customers, increased $17.7 million to $66.3 million during the nine months ended March 31, 2018, compared to $48.6 million in the same period in the prior fiscal year. International revenues represented 19% and 17% of total revenues during the nine months ended March 31, 2018 and 2017, respectively.</w:t>
      </w:r>
    </w:p>
    <w:p>
      <w:pPr>
        <w:spacing w:after="0" w:line="7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Revenues from C4I, Other Sensor and Effector and Radar increased by $31.8 million, $18.1 million and $3.2 million, respectively, during the nine months ended March 31, 2018 as compared to the same period in fiscal 2017. The C4I increase was driven primarily by the F-35 program as well as acquired revenue from the Themis acquisition, partially offset by lower revenue from the ProVision program. The Other Sensor and Effector increase was driven primarily by the PGK and AMRAAM programs. The Radar increase was primarily driven by the E2D Hawkeye and F-16 SABR programs, partially offset by lower revenues from a large ground based radar program and the Patriot program. These increases to revenue were partially offset by a $1.3 million decrease in EW revenue primarily driven by the DEWS and MALD programs compared to the same period in fiscal 2017.</w:t>
      </w:r>
    </w:p>
    <w:p>
      <w:pPr>
        <w:spacing w:after="0" w:line="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Revenues from components, modules and sub-assemblies, and integrated subsystems increased by $28.6 million, $15.8 million, and $2.9 million, respectively, during the nine months ended March 31, 2018 as compared to the same period in fiscal</w:t>
      </w:r>
    </w:p>
    <w:p>
      <w:pPr>
        <w:sectPr>
          <w:pgSz w:w="11900" w:h="16838" w:orient="portrait"/>
          <w:cols w:equalWidth="0" w:num="1">
            <w:col w:w="11420"/>
          </w:cols>
          <w:pgMar w:left="240" w:top="68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688" w:right="239" w:bottom="1440" w:gutter="0" w:footer="0" w:header="0"/>
          <w:type w:val="continuous"/>
        </w:sectPr>
      </w:pPr>
    </w:p>
    <w:bookmarkStart w:id="25" w:name="page26"/>
    <w:bookmarkEnd w:id="25"/>
    <w:p>
      <w:pPr>
        <w:jc w:val="both"/>
        <w:spacing w:after="0" w:line="286" w:lineRule="auto"/>
        <w:rPr>
          <w:sz w:val="20"/>
          <w:szCs w:val="20"/>
          <w:color w:val="auto"/>
        </w:rPr>
      </w:pPr>
      <w:r>
        <w:rPr>
          <w:rFonts w:ascii="Arial" w:cs="Arial" w:eastAsia="Arial" w:hAnsi="Arial"/>
          <w:sz w:val="17"/>
          <w:szCs w:val="17"/>
          <w:color w:val="auto"/>
        </w:rPr>
        <w:t>2017. The components increase was driven primarily by the PGK and Falcon Edge programs. The increase in modules and sub-assemblies was driven by the Aegis, Buzzard and E2D Hawkeye programs, partially offset by the DEWS program. The increase in integrated subsystems was primarily due to acquired revenue from the Themis acquisition, partially offset by a large ground based radar program and the Patriot program.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Gross margin was 46.3% for the nine months ended March 31, 2018, a decrease of 70 basis points from the 47.0% gross margin achieved during the same period in fiscal 2017. The slight decrease to gross margin during the nine months ended March 31, 2018 was impacted by lower margin product mix, which was offset by lower inventory step-up amortization of $2.1 million related to our acquired businesses compared to the same period in fiscal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Selling, general and administrative expenses increased $6.8 million, or 12%, to $62.9 million during the nine months ended March 31, 2018, compared to $56.1 million in the same period in fiscal 2017. The increase was primarily related to higher compensation related costs due to added headcount from the acquisitions of Delta, RTL, and Themis. Selling, general and administrative expenses decreased as a percentage of revenues to 18.5% during the nine months ended March 31, 2018 from 19.2% during the same period in fiscal 2017. The slight decrease was primarily due to higher revenues in the nine months ended March 31, 2018, as compared to the same period in fiscal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Research and development expenses increased $3.8 million, or 9%, to $44.0 million during the nine months ended March 31, 2018, compared to $40.2 million during the same period in fiscal 2017. The increase was primarily due to increased headcount from our recent acquisitions, driving higher compensation related costs. Research and development expenses decreased as a percentage of revenues to 12.9% during the nine months ended March 31, 2018 from 13.7% during the same period in fiscal 2017. The slight decrease was primarily due to higher revenues in the nine months ended March 31, 2018, as compared to the same period in fiscal 2017.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8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Restructuring and other charges were $1.8 million for the nine months ended March 31, 2018, compared to $0.8 million during the same period in fiscal 2017. The increase was primarily driven by higher severance costs compared to the same period in fiscal 2017. Restructuring and other charges are typically related to acquisitions and organizational redesign programs initiated as part of discrete post-acquisition integration activities.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incurred $2.3 million of acquisition costs and other related expenses during the nine months ended March 31, 2018, compared to $1.9 million during the same period in fiscal 2017. The acquisition costs and other related expenses we incurred during the nine months ended March 31, 2018 were primarily related to $1.6 million and $0.3 million for the acquisitions of Themis and RTL, respectively. The fiscal 2017 acquisition costs and other related expenses were primarily related to $1.3 million and $0.3 million for the acquisitions of CES and Delta, respectively. We expect to incur acquisition costs and other related expenses periodically in the future as we continue to seek acquisition opportunities to expand our capabilities and new end markets within the sensor processing chain. Transaction costs incurred by the acquiree prior to the consummation of an acquisition would not be reflected in our historical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Interest expense decreased $4.5 million, or 80%, to $1.1 million during the nine months ended March 31, 2018 compared to $5.6 million during the same period in fiscal 2017. The nine months ended March 31, 2017 included $4.2 million cash interest expense and $1.4 million of non-cash interest expense from the amortization of debt issuance costs related to our former term loan, which was repaid in the fourth quarter of fiscal 2017. During the nine months ended March 31, 2018, we incurred $1.0 million in cash interest expense on the revolving credit facility ("the Revolver") in order to facilitate the acquisition of Themis.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(E</w:t>
      </w:r>
      <w:r>
        <w:rPr>
          <w:rFonts w:ascii="Arial" w:cs="Arial" w:eastAsia="Arial" w:hAnsi="Arial"/>
          <w:sz w:val="14"/>
          <w:szCs w:val="14"/>
          <w:color w:val="auto"/>
        </w:rPr>
        <w:t>XPENSE</w:t>
      </w:r>
      <w:r>
        <w:rPr>
          <w:rFonts w:ascii="Arial" w:cs="Arial" w:eastAsia="Arial" w:hAnsi="Arial"/>
          <w:sz w:val="18"/>
          <w:szCs w:val="18"/>
          <w:color w:val="auto"/>
        </w:rPr>
        <w:t>)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Other (expense) income, net was $(1.1) million during the nine months ended March 31, 2018, compared to $0.8 million during the same period in fiscal 2017. The increase in other expense was primarily due to $1.9 million in financing and registration fees during the nine months ended March 31, 2018 compared to $0.3 million for the same period in fiscal 2017. The nine months ended March 31, 2017 also includes $0.9 million of income related to the amortization of the gain on the sale leaseback of our former corporate headquarters. These decreases were partially offset by increased foreign exchange gains of $0.3 million during the nine months ended March 31, 2018, compared to the same period in fiscal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On December 22, 2017, the Tax Act was enacted by the U.S. government. The Tax Act has impacted the statutory Federal tax rate that we will use going forward, which has been reduced to 21% from 35%. As we have a June 30 fiscal year-end, the lower corporate income tax rate will be phased in, resulting in a U.S. statutory Federal rate of approximately 28% for our fiscal year ending June 30, 2018, and 21% for subsequent fiscal years. In addition to the reduced corporate rate we also expect to benefit from the immediate deduction for certain new investments. The Tax Act also includes items that we expect will increase our tax expense including, but not limited to, the elimination of the domestic manufacturing deduction and increased limitations on executive compensation. In addition, the actual effective tax rate may be materially different than the statutory Federal tax rate (including being higher) based on the availability and impact of various other adjustments including but not limited to state taxes, Federal research and development credits, discrete tax benefits related to stock compensation, and the inclusion or exclusion of various items in taxable income which may differ from GAAP income.</w:t>
      </w:r>
    </w:p>
    <w:p>
      <w:pPr>
        <w:spacing w:after="0" w:line="5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recorded an income tax benefit of $4.8 million during the nine months ended March 31, 2018 as compared to an income tax provision of $3.7 million for the same period in fiscal 2017. During the nine months ended March 31, 2018 and 2017, we recognized discrete tax benefits of $7.7 million and $3.0 million, respectively, related to excess tax benefits on stock-based compensation. The discrete tax benefit for the nine months ended March 31, 2018 included the enactment of the Tax Act which revalued the excess tax benefit previously recorded in the three months ended September 30, 2017. The benefit is the result of the increase in value from the stock award between the grant date and the vest date. The nine months ended March 31, 2018 also included a discrete tax benefit of $3.7 million derived from new information obtained about net operating loss carry-forwards of the entities acquired from Microsemi Corporation (the “Carve-Out Business”) in May 2016. The discrete items disclosed above for the nine months ended March 31, 2018 included the effect of the Tax Act.</w:t>
      </w:r>
    </w:p>
    <w:p>
      <w:pPr>
        <w:spacing w:after="0" w:line="8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effective tax rate for the nine months ended March 31, 2018 differed from the Federal statutory tax rate of 28% primarily due to the one-time impact of the Tax Act, Federal research and development credits, domestic manufacturing deduction, excess tax benefits related to stock compensation, and state taxes. Our effective tax rate for the nine months ended March 31, 2017 differed from the Federal statutory tax rate of 35% primarily due to Federal research and development credits, domestic manufacturing deduction, excess tax benefits related to stock compensation, and state taxes.</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Within the calculation of our annual effective tax rate we have used assumptions and estimates that may change as a result of future guidance and interpretation from the Internal Revenue Service, the SEC, and the FASB. The Tax Act contains many significant changes to the U.S. tax laws, the consequences of which have not yet been fully determined. Changes in corporate tax rates, the net deferred tax assets and/or liabilities relating to our U.S. operations, the taxation of foreign earnings, and the deductibility of expenses contained in the Tax Act could have a material impact on the Company’s future U.S. tax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135"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Our primary sources of liquidity come from existing cash and cash generated from operations, our revolving credit facility and our ability to raise capital under our universal shelf registration statement. Our near-term fixed commitments for cash expenditures consist primarily of payments under operating leases and inventory purchase commitments. We do not currently have any material commitments for capital expenditures.</w:t>
      </w:r>
    </w:p>
    <w:p>
      <w:pPr>
        <w:spacing w:after="0" w:line="5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Based on our current plans and business conditions, we believe that existing cash and cash equivalents, our available revolving credit facility, cash generated from operations, and our financing capabilities will be sufficient to satisfy our anticipated cash requirements for at least the next twelve months.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117"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On August 28, 2017, we filed a shelf registration statement on Form S-3ASR with the SEC. The shelf registration statement, which was effective upon filing with the SEC, registered each of the following securities: debt securities, preferred stock, common stock, warrants and units. We intend to use the proceeds from financings using the shelf registration statement for general corporate purposes, which may include the following:</w:t>
      </w:r>
    </w:p>
    <w:p>
      <w:pPr>
        <w:spacing w:after="0" w:line="57" w:lineRule="exact"/>
        <w:rPr>
          <w:sz w:val="20"/>
          <w:szCs w:val="20"/>
          <w:color w:val="auto"/>
        </w:rPr>
      </w:pPr>
    </w:p>
    <w:p>
      <w:pPr>
        <w:ind w:left="980" w:hanging="567"/>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171" w:lineRule="exact"/>
        <w:rPr>
          <w:sz w:val="20"/>
          <w:szCs w:val="20"/>
          <w:color w:val="auto"/>
        </w:rPr>
      </w:pPr>
    </w:p>
    <w:p>
      <w:pPr>
        <w:jc w:val="both"/>
        <w:ind w:left="60" w:firstLine="432"/>
        <w:spacing w:after="0" w:line="264" w:lineRule="auto"/>
        <w:rPr>
          <w:sz w:val="20"/>
          <w:szCs w:val="20"/>
          <w:color w:val="auto"/>
        </w:rPr>
      </w:pPr>
      <w:r>
        <w:rPr>
          <w:rFonts w:ascii="Arial" w:cs="Arial" w:eastAsia="Arial" w:hAnsi="Arial"/>
          <w:sz w:val="18"/>
          <w:szCs w:val="18"/>
          <w:color w:val="auto"/>
        </w:rPr>
        <w:t>We have an unlimited amount available under the shelf registration statement. Additionally, as part of the shelf registration statement, we have entered into an equity distribution agreement which allows us to sell an aggregate of up to $200.0 million of our common stock from time to time through our agents. The actual dollar amount and number of shares of common stock we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7" w:name="page28"/>
    <w:bookmarkEnd w:id="27"/>
    <w:p>
      <w:pPr>
        <w:jc w:val="both"/>
        <w:ind w:left="60"/>
        <w:spacing w:after="0" w:line="302" w:lineRule="auto"/>
        <w:rPr>
          <w:sz w:val="20"/>
          <w:szCs w:val="20"/>
          <w:color w:val="auto"/>
        </w:rPr>
      </w:pPr>
      <w:r>
        <w:rPr>
          <w:rFonts w:ascii="Arial" w:cs="Arial" w:eastAsia="Arial" w:hAnsi="Arial"/>
          <w:sz w:val="16"/>
          <w:szCs w:val="16"/>
          <w:color w:val="auto"/>
        </w:rPr>
        <w:t>sell pursuant to the equity distribution agreement will be dependent on, among other things, market conditions and our fund raising requirements. The agents may sell the common stock by any method deemed to be an “at the market offering” as defined in Rule 415 of the Securities Act of 1933, as amended, including without limitation sales made directly on NASDAQ, on any other existing trading market for the common stock or to or through a market maker. In addition, our common stock may be offered and sold by such other methods, including privately negotiated transactions, as we and the agents may agree.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June 2017, we amended our revolving credit facility, increasing and extending the facility into a $400.0 million, 5-year revolving credit line expiring in June 2022. In connection with the amendment, we repaid the remaining outstanding principal of and interest on our term loan using cash on hand. The Revolver had an outstanding balance of $195.0 million at March 31, 2018. See Note I in the accompanying consolidated financial statements for further discussion of the Revolver.</w:t>
      </w:r>
    </w:p>
    <w:p>
      <w:pPr>
        <w:spacing w:after="0" w:line="7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February 1, 2018, upon the terms and subject to the conditions set forth in a Merger Agreement, we completed the acquisition of Ceres, the holding company that owns Themis. Under the terms of the Merger Agreement, we paid an aggregate purchase price of $180.0 million, plus an estimated adjustment for acquired working capital and cash for the Acquired Company, subject to post-closing adjustments based on a determination of closing net working capital, transaction expenses and net debt (all as defined in the Merger Agreement). To facilitate the completion of the Merger Agreement, we drew $195.0 million from the Revolver, with the higher amount reflecting an estimated adjustment for working capital, including cash, expected to be received with the Acquired Company at closing.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0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3"/>
              </w:rPr>
              <w:t>As of and For the Nine</w:t>
            </w: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gridSpan w:val="4"/>
          </w:tcPr>
          <w:p>
            <w:pPr>
              <w:jc w:val="center"/>
              <w:ind w:right="253"/>
              <w:spacing w:after="0" w:line="149" w:lineRule="exact"/>
              <w:rPr>
                <w:sz w:val="20"/>
                <w:szCs w:val="20"/>
                <w:color w:val="auto"/>
              </w:rPr>
            </w:pPr>
            <w:r>
              <w:rPr>
                <w:rFonts w:ascii="Arial" w:cs="Arial" w:eastAsia="Arial" w:hAnsi="Arial"/>
                <w:sz w:val="14"/>
                <w:szCs w:val="14"/>
                <w:b w:val="1"/>
                <w:bCs w:val="1"/>
                <w:color w:val="auto"/>
                <w:w w:val="93"/>
              </w:rPr>
              <w:t>Month Period Ended</w:t>
            </w: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618"/>
              <w:spacing w:after="0"/>
              <w:rPr>
                <w:sz w:val="20"/>
                <w:szCs w:val="20"/>
                <w:color w:val="auto"/>
              </w:rPr>
            </w:pPr>
            <w:r>
              <w:rPr>
                <w:rFonts w:ascii="Arial" w:cs="Arial" w:eastAsia="Arial" w:hAnsi="Arial"/>
                <w:sz w:val="14"/>
                <w:szCs w:val="14"/>
                <w:b w:val="1"/>
                <w:bCs w:val="1"/>
                <w:color w:val="auto"/>
                <w:w w:val="99"/>
              </w:rPr>
              <w:t>March 31,</w:t>
            </w:r>
          </w:p>
        </w:tc>
        <w:tc>
          <w:tcPr>
            <w:tcW w:w="1040" w:type="dxa"/>
            <w:vAlign w:val="bottom"/>
            <w:tcBorders>
              <w:bottom w:val="single" w:sz="8" w:color="auto"/>
            </w:tcBorders>
          </w:tcPr>
          <w:p>
            <w:pPr>
              <w:spacing w:after="0"/>
              <w:rPr>
                <w:sz w:val="16"/>
                <w:szCs w:val="16"/>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17,680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49,410</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(196,838)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(64,186)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cash provided by financing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181,931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203,453</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188,547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4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Cash and cash equivalents at end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44,217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270,238</w:t>
            </w:r>
          </w:p>
        </w:tc>
      </w:tr>
      <w:tr>
        <w:trPr>
          <w:trHeight w:val="41"/>
        </w:trPr>
        <w:tc>
          <w:tcPr>
            <w:tcW w:w="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4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cash and cash equivalents increased by $2.6 million from June 30, 2017 to March 31, 2018, primarily as the result of $17.7 million provided by operating activities and net borrowings under the credit facility of $195.0 million. These increases were offset by $185.4 million used in acquisition activities, $15.1 million used in the retirement of common stock used to settle individual employees' tax liabilities associated with vesting of restricted stock awards and $11.1 million invested in purchases of property and equipment.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the nine months ended March 31, 2018, we generated $17.7 million in cash from operating activities, a decrease of $31.7 million when compared to the same period in fiscal 2017. The decrease in cash generated by operating activities was primarily a result of $21.0 million less collections from accounts receivables, $18.3 million higher inventory purchases, and a $15.7 million decrease in income taxes payable. The decrease in cash generated by operating activities was partially offset by generating $14.7 million of higher net income and $7.2 million in additional depreciation and amortization compared to the same period in fiscal 2017. The lower cash flow from operating activities during the nine months ended March 31, 2018 was primarily a result of our efforts to insource our manufacturing and continued investment in inventory to support the demands of our organic and acquired growth. Consistent with our integration strategy, we are transitioning to an insourced manufacturing model which has resulted in the purchase of higher amounts of component and safety stock inventory. Also, we continue to observe demand for larger, more complex sub-assemblies and integrated subsystems, which inherently involve more inventory, labor, longer lead times and conversion cycles.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nine months ended March 31, 2018, we used $196.8 million in investing activities compared to $64.2 million during the same period in fiscal 2017. The increase was primarily driven by $185.4 million used in the acquisitions of Themis and RTL during the nine months ended March 31, 2018 compared to $36.9 million primarily used in the acquisition of CES in the same period of fiscal 2017. The increase was offset by $15.7 million in lower purchases of property and equipment during fiscal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nine months ended March 31, 2018, we had $181.9 million of net cash provided by financing activities compared to $203.5 million during the same period in fiscal 2017. The $21.6 million decrease in net cash provided by financing activities was primarily due to $215.7 million of net proceeds from the equity offering during the nine months ended March 31, 2017 compared to the $195.0 million of net borrowings that was drawn against the Revolver for the nine months ended March 31, 2018. The nine months ended March 31, 2018 included $15.1 million related to the retirement of common stock used to settle employees’ tax liabilities associated with vesting of restricted stock awards as compared to $7.7 million used in the same period of fiscal 2017, primarily driven by the increase in our stock price as of the vesting date. This was offset by the $7.5 million of debt principal payments on the former term loan during the nine months ended March 31,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ONTINGENCIES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our commitments and contractual obligations outstanding at March 31,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Less Than</w:t>
            </w:r>
          </w:p>
        </w:tc>
        <w:tc>
          <w:tcPr>
            <w:tcW w:w="280" w:type="dxa"/>
            <w:vAlign w:val="bottom"/>
          </w:tcPr>
          <w:p>
            <w:pPr>
              <w:spacing w:after="0"/>
              <w:rPr>
                <w:sz w:val="14"/>
                <w:szCs w:val="14"/>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97"/>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3"/>
                <w:szCs w:val="13"/>
                <w:color w:val="auto"/>
              </w:rPr>
            </w:pPr>
          </w:p>
        </w:tc>
        <w:tc>
          <w:tcPr>
            <w:tcW w:w="106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Purchase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57,067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57,067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61,522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8,356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16,368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13,736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23,062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118,589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65,423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16,368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13,736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23,062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purchase commitments covered by these agreements are for less than one year and aggregated approximately $57.1 million at March 31, 2018.</w:t>
      </w:r>
    </w:p>
    <w:p>
      <w:pPr>
        <w:spacing w:after="0" w:line="11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a liability at March 31, 2018 of $0.8 million for uncertain tax positions that have been taken or are expected to be taken in various income tax returns. We do not know the ultimate resolution on these uncertain tax positions and as such, do not know the ultimate timing of payments related to this liability. Accordingly, these amounts are not included in the above table.</w:t>
      </w:r>
    </w:p>
    <w:p>
      <w:pPr>
        <w:spacing w:after="0" w:line="7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4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part of our strategy for growth, we continue to explore acquisitions or strategic alliances. The associated acquisition costs incurred in the form of professional fees and services may be material to the future periods in which they occur, regardless of whether the acquisition is ultimately completed. In connection with our recent acquisitions, our operating lease commitments have increased, as expected, to align with our strategic growth initiative.</w:t>
      </w:r>
    </w:p>
    <w:p>
      <w:pPr>
        <w:spacing w:after="0" w:line="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may elect from time to time to purchase and subsequently retire shares of common stock in order to settle employees’ tax liabilities associated with vesting of a restricted stock award or exercise of stock options. These transactions would be treated as a use of cash in financing activities in our statement of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w:t>
      </w:r>
      <w:r>
        <w:rPr>
          <w:rFonts w:ascii="Arial" w:cs="Arial" w:eastAsia="Arial" w:hAnsi="Arial"/>
          <w:sz w:val="14"/>
          <w:szCs w:val="14"/>
          <w:b w:val="1"/>
          <w:bCs w:val="1"/>
          <w:color w:val="auto"/>
        </w:rPr>
        <w:t>BALANCE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GAAP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135"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In our periodic communications, we discuss certain important measures that are not calculated according to U.S. generally accepted accounting principles (“GAAP”), including adjusted EBITDA, adjusted income, adjusted earnings per share ("adjusted EPS") and free cash flow.</w:t>
      </w:r>
    </w:p>
    <w:p>
      <w:pPr>
        <w:spacing w:after="0" w:line="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Adjusted EBITDA is defined as net income before interest income and expense, income taxes, depreciation, amortization of intangible assets, restructuring and other charges, impairment of long-lived assets, acquisition and financing costs, fair value adjustments from purchase accounting, litigation and settlement income and expense, and stock-based and other non-cash compensation expense. We use adjusted EBITDA as an important indicator of the operating performance of our business. We use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29" w:name="page30"/>
    <w:bookmarkEnd w:id="29"/>
    <w:p>
      <w:pPr>
        <w:jc w:val="both"/>
        <w:spacing w:after="0" w:line="273" w:lineRule="auto"/>
        <w:rPr>
          <w:sz w:val="20"/>
          <w:szCs w:val="20"/>
          <w:color w:val="auto"/>
        </w:rPr>
      </w:pPr>
      <w:r>
        <w:rPr>
          <w:rFonts w:ascii="Arial" w:cs="Arial" w:eastAsia="Arial" w:hAnsi="Arial"/>
          <w:sz w:val="17"/>
          <w:szCs w:val="17"/>
          <w:color w:val="auto"/>
        </w:rPr>
        <w:t>adjusted EBITDA in internal forecasts and models when establishing internal operating budgets, supplementing the financial results and forecasts reported to our board of directors, determining a component of bonus and equity compensation for executive officers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reconciles our net income, the most directly comparable GAAP financial measure, to our adjusted EBITDA: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50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9"/>
                <w:szCs w:val="19"/>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Net income</w:t>
            </w:r>
          </w:p>
        </w:tc>
        <w:tc>
          <w:tcPr>
            <w:tcW w:w="4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16,071</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5,426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3,690</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4,277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11,752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8,917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14,222</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 (1)</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825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Impairment of long-lived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Acquisition and financing costs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4,129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2,236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Fair value adjustments from purchase accounting (2)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3,217</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Litigation and settlement expense (income), net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Stock-based and other non-cash compensation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13,306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11,440</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25,786</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24,952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77,711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66,144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firstLine="8"/>
        <w:spacing w:after="0" w:line="250" w:lineRule="auto"/>
        <w:tabs>
          <w:tab w:leader="none" w:pos="225"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Restructuring and other charges are typically related to acquisitions and organizational redesign programs initiated as part of discrete post-acquisition integration activities. The Company believes these items are non-routine and may not be indicative of ongoing operating results.</w:t>
      </w:r>
    </w:p>
    <w:p>
      <w:pPr>
        <w:jc w:val="both"/>
        <w:ind w:firstLine="8"/>
        <w:spacing w:after="0" w:line="276" w:lineRule="auto"/>
        <w:tabs>
          <w:tab w:leader="none" w:pos="209" w:val="left"/>
        </w:tabs>
        <w:numPr>
          <w:ilvl w:val="0"/>
          <w:numId w:val="24"/>
        </w:numPr>
        <w:rPr>
          <w:rFonts w:ascii="Arial" w:cs="Arial" w:eastAsia="Arial" w:hAnsi="Arial"/>
          <w:sz w:val="13"/>
          <w:szCs w:val="13"/>
          <w:color w:val="auto"/>
        </w:rPr>
      </w:pPr>
      <w:r>
        <w:rPr>
          <w:rFonts w:ascii="Arial" w:cs="Arial" w:eastAsia="Arial" w:hAnsi="Arial"/>
          <w:sz w:val="13"/>
          <w:szCs w:val="13"/>
          <w:color w:val="auto"/>
        </w:rPr>
        <w:t>Fair value adjustments from purchase accounting for the three months ended March 31, 2018 relate to Themis and CES inventory step-up amortization. The nine months ended March 31, 2018 include adjustments related to Themis, CES and Delta inventory step-up amortization. Fair value adjustments from purchase accounting for the three months ended March 31, 2017 relate to CES inventory step-up amortization. The nine months ended March 31, 2017 include adjustments related to Carve-Out Business and CES inventory step-up amortization.</w:t>
      </w:r>
    </w:p>
    <w:p>
      <w:pPr>
        <w:spacing w:after="0" w:line="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Adjusted income and adjusted EPS exclude the impact of certain items and, therefore, have not been calculated in accordance with GAAP. We believe that exclusion of these items assists in providing a more complete understanding of our underlying results and trends and allows for comparability with our peer company index and industry. We use these measures along with the corresponding GAAP financial measures to manage our business and to evaluate our performance compared to prior periods and the marketplace. We define adjusted income as income before amortization of intangible assets, restructuring and other charges, impairment of long-lived assets, acquisition and financing costs, fair value adjustments from purchase accounting, litigation and settlement income and expense, and stock-based and other non-cash compensation expense. The impact to income taxes includes the impact to the effective tax rate, current tax provision and deferred tax provision. Adjusted EPS expresses adjusted income on a per share basis using weighted average diluted shares outstanding.</w:t>
      </w:r>
    </w:p>
    <w:p>
      <w:pPr>
        <w:spacing w:after="0" w:line="8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Adjusted income and adjusted EPS are non-GAAP financial measures and should not be considered in isolation or as a substitute for financial information provided in accordance with GAAP. These non-GAAP financial measures may not be computed in the same manner as similarly titled measures used by other companies. We expect to continue to incur expenses similar to the adjusted income and adjusted EPS financial adjustments described above, and investors should not infer from our presentation of these non-GAAP financial measures that these costs are unusual, infrequent or non-recurring.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0" w:name="page31"/>
    <w:bookmarkEnd w:id="30"/>
    <w:p>
      <w:pPr>
        <w:ind w:right="20" w:firstLine="432"/>
        <w:spacing w:after="0" w:line="277" w:lineRule="auto"/>
        <w:rPr>
          <w:sz w:val="20"/>
          <w:szCs w:val="20"/>
          <w:color w:val="auto"/>
        </w:rPr>
      </w:pPr>
      <w:r>
        <w:rPr>
          <w:rFonts w:ascii="Arial" w:cs="Arial" w:eastAsia="Arial" w:hAnsi="Arial"/>
          <w:sz w:val="18"/>
          <w:szCs w:val="18"/>
          <w:color w:val="auto"/>
        </w:rPr>
        <w:t>The following table reconciles net income and diluted earnings per share, the most directly comparable GAAP measures, to adjusted income and adjusted EPS: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4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50"/>
        </w:trPr>
        <w:tc>
          <w:tcPr>
            <w:tcW w:w="70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w w:val="89"/>
              </w:rPr>
              <w:t>2018</w:t>
            </w: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89"/>
              </w:rPr>
              <w:t>2017</w:t>
            </w:r>
          </w:p>
        </w:tc>
        <w:tc>
          <w:tcPr>
            <w:tcW w:w="760" w:type="dxa"/>
            <w:vAlign w:val="bottom"/>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gridSpan w:val="3"/>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gridSpan w:val="3"/>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7000" w:type="dxa"/>
            <w:vAlign w:val="bottom"/>
            <w:gridSpan w:val="3"/>
          </w:tcPr>
          <w:p>
            <w:pPr>
              <w:ind w:left="40"/>
              <w:spacing w:after="0"/>
              <w:rPr>
                <w:sz w:val="20"/>
                <w:szCs w:val="20"/>
                <w:color w:val="auto"/>
              </w:rPr>
            </w:pPr>
            <w:r>
              <w:rPr>
                <w:rFonts w:ascii="Arial" w:cs="Arial" w:eastAsia="Arial" w:hAnsi="Arial"/>
                <w:sz w:val="18"/>
                <w:szCs w:val="18"/>
                <w:color w:val="auto"/>
              </w:rPr>
              <w:t>Net income and diluted earnings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3,696</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0.08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7,048</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0.16</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40"/>
              <w:spacing w:after="0"/>
              <w:rPr>
                <w:sz w:val="20"/>
                <w:szCs w:val="20"/>
                <w:color w:val="auto"/>
              </w:rPr>
            </w:pPr>
            <w:r>
              <w:rPr>
                <w:rFonts w:ascii="Arial" w:cs="Arial" w:eastAsia="Arial" w:hAnsi="Arial"/>
                <w:sz w:val="18"/>
                <w:szCs w:val="18"/>
                <w:color w:val="auto"/>
              </w:rPr>
              <w:t>Restructuring and other charges (1)</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Impairment of long-lived assets</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Acquisition and financing costs</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Fair value adjustments from purchase accounting (2)</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40"/>
              <w:spacing w:after="0"/>
              <w:rPr>
                <w:sz w:val="20"/>
                <w:szCs w:val="20"/>
                <w:color w:val="auto"/>
              </w:rPr>
            </w:pPr>
            <w:r>
              <w:rPr>
                <w:rFonts w:ascii="Arial" w:cs="Arial" w:eastAsia="Arial" w:hAnsi="Arial"/>
                <w:sz w:val="18"/>
                <w:szCs w:val="18"/>
                <w:color w:val="auto"/>
              </w:rPr>
              <w:t>Litigation and settlement expenses (income), net</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Stock-based and other non-cash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40"/>
              <w:spacing w:after="0"/>
              <w:rPr>
                <w:sz w:val="20"/>
                <w:szCs w:val="20"/>
                <w:color w:val="auto"/>
              </w:rPr>
            </w:pPr>
            <w:r>
              <w:rPr>
                <w:rFonts w:ascii="Arial" w:cs="Arial" w:eastAsia="Arial" w:hAnsi="Arial"/>
                <w:sz w:val="18"/>
                <w:szCs w:val="18"/>
                <w:color w:val="auto"/>
              </w:rPr>
              <w:t>Impact to income taxes (3)</w:t>
            </w:r>
          </w:p>
        </w:tc>
        <w:tc>
          <w:tcPr>
            <w:tcW w:w="2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7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Adjusted income and adjusted earnings 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14,219</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0.30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13,217</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4"/>
        </w:trPr>
        <w:tc>
          <w:tcPr>
            <w:tcW w:w="7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47,532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44,814</w:t>
            </w: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firstLine="8"/>
        <w:spacing w:after="0" w:line="250" w:lineRule="auto"/>
        <w:tabs>
          <w:tab w:leader="none" w:pos="225"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Restructuring and other charges are typically related to acquisitions and organizational redesign programs initiated as part of discrete post-acquisition integration activities. The Company believes these items are non-routine and may not be indicative of ongoing operating results.</w:t>
      </w:r>
    </w:p>
    <w:p>
      <w:pPr>
        <w:ind w:right="20" w:firstLine="8"/>
        <w:spacing w:after="0" w:line="241" w:lineRule="auto"/>
        <w:tabs>
          <w:tab w:leader="none" w:pos="214" w:val="left"/>
        </w:tabs>
        <w:numPr>
          <w:ilvl w:val="0"/>
          <w:numId w:val="25"/>
        </w:numPr>
        <w:rPr>
          <w:rFonts w:ascii="Arial" w:cs="Arial" w:eastAsia="Arial" w:hAnsi="Arial"/>
          <w:sz w:val="14"/>
          <w:szCs w:val="14"/>
          <w:color w:val="auto"/>
        </w:rPr>
      </w:pPr>
      <w:r>
        <w:rPr>
          <w:rFonts w:ascii="Arial" w:cs="Arial" w:eastAsia="Arial" w:hAnsi="Arial"/>
          <w:sz w:val="14"/>
          <w:szCs w:val="14"/>
          <w:color w:val="auto"/>
        </w:rPr>
        <w:t>Fair value adjustments from purchase accounting for the three months ended March 31, 2018 relate to Themis and CES inventory step-up amortization. Fair value adjustments from purchase accounting for the three months ended March 31, 2017 relate to CES inventory step-up amortization.</w:t>
      </w:r>
    </w:p>
    <w:p>
      <w:pPr>
        <w:ind w:firstLine="8"/>
        <w:spacing w:after="0" w:line="293" w:lineRule="auto"/>
        <w:tabs>
          <w:tab w:leader="none" w:pos="206" w:val="left"/>
        </w:tabs>
        <w:numPr>
          <w:ilvl w:val="0"/>
          <w:numId w:val="25"/>
        </w:numPr>
        <w:rPr>
          <w:rFonts w:ascii="Arial" w:cs="Arial" w:eastAsia="Arial" w:hAnsi="Arial"/>
          <w:sz w:val="13"/>
          <w:szCs w:val="13"/>
          <w:color w:val="auto"/>
        </w:rPr>
      </w:pPr>
      <w:r>
        <w:rPr>
          <w:rFonts w:ascii="Arial" w:cs="Arial" w:eastAsia="Arial" w:hAnsi="Arial"/>
          <w:sz w:val="13"/>
          <w:szCs w:val="13"/>
          <w:color w:val="auto"/>
        </w:rPr>
        <w:t>Impact to income taxes is calculated by recasting income before income taxes to include the add-backs involved in determining adjusted income and recalculating the income tax provision using this adjusted income from operations before income taxes. The impact to income taxes includes the impact to the effective tax rate, current tax provision and deferred tax provision.</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45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1"/>
              </w:rPr>
              <w:t>(In thousands, except per share data)</w:t>
            </w:r>
          </w:p>
        </w:tc>
        <w:tc>
          <w:tcPr>
            <w:tcW w:w="4640" w:type="dxa"/>
            <w:vAlign w:val="bottom"/>
            <w:tcBorders>
              <w:bottom w:val="single" w:sz="8" w:color="CCEEFF"/>
            </w:tcBorders>
            <w:gridSpan w:val="2"/>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w w:val="89"/>
              </w:rPr>
              <w:t>2018</w:t>
            </w:r>
          </w:p>
        </w:tc>
        <w:tc>
          <w:tcPr>
            <w:tcW w:w="7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89"/>
              </w:rPr>
              <w:t>2017</w:t>
            </w:r>
          </w:p>
        </w:tc>
        <w:tc>
          <w:tcPr>
            <w:tcW w:w="760" w:type="dxa"/>
            <w:vAlign w:val="bottom"/>
            <w:tcBorders>
              <w:bottom w:val="single" w:sz="8" w:color="auto"/>
            </w:tcBorders>
            <w:shd w:val="clear" w:color="auto" w:fill="CCEEFF"/>
          </w:tcPr>
          <w:p>
            <w:pPr>
              <w:spacing w:after="0"/>
              <w:rPr>
                <w:sz w:val="23"/>
                <w:szCs w:val="23"/>
                <w:color w:val="auto"/>
              </w:rPr>
            </w:pPr>
          </w:p>
        </w:tc>
      </w:tr>
      <w:tr>
        <w:trPr>
          <w:trHeight w:val="237"/>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Net income and diluted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30,782</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0.65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16,071</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0.39</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Restructuring and other charges (1)</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Impairment of long-lived assets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Acquisition and financing costs</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Fair value adjustments from purchase accounting (2)</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Litigation and settlement expenses (income), net</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Stock-based and other non-cash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Impact to income taxes (3)</w:t>
            </w:r>
          </w:p>
        </w:tc>
        <w:tc>
          <w:tcPr>
            <w:tcW w:w="2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(24,648)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(14,102)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6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Adjusted income and adjusted earnings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45,061</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0.95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34,009</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4"/>
        </w:trPr>
        <w:tc>
          <w:tcPr>
            <w:tcW w:w="6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47,473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41,530</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 w:firstLine="8"/>
        <w:spacing w:after="0" w:line="250" w:lineRule="auto"/>
        <w:tabs>
          <w:tab w:leader="none" w:pos="225"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Restructuring and other charges are typically related to acquisitions and organizational redesign programs initiated as part of discrete post-acquisition integration activities. The Company believes these items are non-routine and may not be indicative of ongoing operating results.</w:t>
      </w:r>
    </w:p>
    <w:p>
      <w:pPr>
        <w:ind w:right="20" w:firstLine="8"/>
        <w:spacing w:after="0" w:line="241" w:lineRule="auto"/>
        <w:tabs>
          <w:tab w:leader="none" w:pos="221" w:val="left"/>
        </w:tabs>
        <w:numPr>
          <w:ilvl w:val="0"/>
          <w:numId w:val="26"/>
        </w:numPr>
        <w:rPr>
          <w:rFonts w:ascii="Arial" w:cs="Arial" w:eastAsia="Arial" w:hAnsi="Arial"/>
          <w:sz w:val="14"/>
          <w:szCs w:val="14"/>
          <w:color w:val="auto"/>
        </w:rPr>
      </w:pPr>
      <w:r>
        <w:rPr>
          <w:rFonts w:ascii="Arial" w:cs="Arial" w:eastAsia="Arial" w:hAnsi="Arial"/>
          <w:sz w:val="14"/>
          <w:szCs w:val="14"/>
          <w:color w:val="auto"/>
        </w:rPr>
        <w:t>Fair value adjustments from purchase accounting for the nine months ended March 31, 2018 relate to Themis, CES and Delta inventory step-up amortization. Fair value adjustments from purchase accounting for the nine months ended March 31, 2017 relate to the Carve-Out Business and CES inventory step-up amortization.</w:t>
      </w:r>
    </w:p>
    <w:p>
      <w:pPr>
        <w:ind w:firstLine="8"/>
        <w:spacing w:after="0" w:line="293" w:lineRule="auto"/>
        <w:tabs>
          <w:tab w:leader="none" w:pos="206" w:val="left"/>
        </w:tabs>
        <w:numPr>
          <w:ilvl w:val="0"/>
          <w:numId w:val="26"/>
        </w:numPr>
        <w:rPr>
          <w:rFonts w:ascii="Arial" w:cs="Arial" w:eastAsia="Arial" w:hAnsi="Arial"/>
          <w:sz w:val="13"/>
          <w:szCs w:val="13"/>
          <w:color w:val="auto"/>
        </w:rPr>
      </w:pPr>
      <w:r>
        <w:rPr>
          <w:rFonts w:ascii="Arial" w:cs="Arial" w:eastAsia="Arial" w:hAnsi="Arial"/>
          <w:sz w:val="13"/>
          <w:szCs w:val="13"/>
          <w:color w:val="auto"/>
        </w:rPr>
        <w:t>Impact to income taxes is calculated by recasting income before income taxes to include the add-backs involved in determining adjusted income and recalculating the income tax provision using this adjusted income from operations before income taxes. The impact to income taxes includes the impact to the effective tax rate, current tax provision and deferred tax provision.</w:t>
      </w:r>
    </w:p>
    <w:p>
      <w:pPr>
        <w:spacing w:after="0" w:line="6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1" w:name="page32"/>
    <w:bookmarkEnd w:id="31"/>
    <w:p>
      <w:pPr>
        <w:jc w:val="both"/>
        <w:ind w:right="20"/>
        <w:spacing w:after="0" w:line="277" w:lineRule="auto"/>
        <w:rPr>
          <w:sz w:val="20"/>
          <w:szCs w:val="20"/>
          <w:color w:val="auto"/>
        </w:rPr>
      </w:pPr>
      <w:r>
        <w:rPr>
          <w:rFonts w:ascii="Arial" w:cs="Arial" w:eastAsia="Arial" w:hAnsi="Arial"/>
          <w:sz w:val="18"/>
          <w:szCs w:val="18"/>
          <w:color w:val="auto"/>
        </w:rPr>
        <w:t>required to support ongoing business operations and long-term value creation. We believe that trends in our free cash flow can be valuable indicators of our operating performance and liquidity.</w:t>
      </w:r>
    </w:p>
    <w:p>
      <w:pPr>
        <w:spacing w:after="0" w:line="6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cash provided by operating activities, the most directly comparable GAAP financial measure, to free cash flow: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229"/>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1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14"/>
              <w:spacing w:after="0"/>
              <w:rPr>
                <w:sz w:val="20"/>
                <w:szCs w:val="20"/>
                <w:color w:val="auto"/>
              </w:rPr>
            </w:pPr>
            <w:r>
              <w:rPr>
                <w:rFonts w:ascii="Arial" w:cs="Arial" w:eastAsia="Arial" w:hAnsi="Arial"/>
                <w:sz w:val="14"/>
                <w:szCs w:val="14"/>
                <w:b w:val="1"/>
                <w:bCs w:val="1"/>
                <w:color w:val="auto"/>
                <w:w w:val="89"/>
              </w:rPr>
              <w:t>2017</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0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24,889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17,680</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49,410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(26,789)</w:t>
            </w: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Free cash flow</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11,853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6,613</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22,621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requires an entity to recognize the amount of revenue to which it expects to be entitled for the transfer of promised goods or services to customers. The ASU will replace most existing revenue recognition guidance in GAAP when it becomes effective. The new standard is effective for the Company on July 1, 2018, and we will not early adopt this ASU. The standard permits the use of either the retrospective or cumulative effect transition method. We will use the retrospective transition method upon adoption of the standard. We have made significant investments to date in our data reporting infrastructure, and continue to enhance this infrastructure in order to support the reporting and disclosure requirements of the new standard. In addition, we have extensively reviewed our current accounting policies and practices to evaluate the future impact that adoption of the standard will have on our consolidated financial statements and notes. The significant investments we have made in our data reporting infrastructure to support the reporting requirements of the standard have enhanced our ability to capture each of the specific disclosure requirements detailed in the standard. Based on our review procedures to date, the impact of adopting the new standard on our total sales and operating income is not expected to be material.</w:t>
      </w:r>
    </w:p>
    <w:p>
      <w:pPr>
        <w:spacing w:after="0" w:line="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an amendment of the FASB Accounting Standards Codification. This ASU requires lessees to recognize a right-of-use asset and lease liability for most lease arrangements. The new standard is effective for the Company on July 1, 2019. The standard mandates a modified retrospective transition method for all entities and early adoption is permitted. We are continuing to evaluate our population of leases to determine the effect that ASU 2016-02 will have on our consolidated financial statements and related disclosures.</w:t>
      </w:r>
    </w:p>
    <w:p>
      <w:pPr>
        <w:spacing w:after="0" w:line="6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an amendment of the FASB Accounting Standards Codification. This ASU will reduce diversity in practice for classifying cash payments and receipts in the statement of cash flows for a number of common transactions. It will also clarify when identifiable cash flows should be separated versus classified based on their predominant source or use. This ASU is effective for public business entities for fiscal years beginning after December 15, 2017, and interim periods within those fiscal years.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We are evaluating the effect that ASU 2016-15 will have on our consolidated financial statements and related disclosures.</w:t>
      </w:r>
    </w:p>
    <w:p>
      <w:pPr>
        <w:spacing w:after="0" w:line="5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 xml:space="preserve">In October 2016, the FASB issued ASU No. 2016-16, </w:t>
      </w:r>
      <w:r>
        <w:rPr>
          <w:rFonts w:ascii="Arial" w:cs="Arial" w:eastAsia="Arial" w:hAnsi="Arial"/>
          <w:sz w:val="16"/>
          <w:szCs w:val="16"/>
          <w:i w:val="1"/>
          <w:iCs w:val="1"/>
          <w:color w:val="auto"/>
        </w:rPr>
        <w:t>Intra-Entity Transfers of Assets Other Than Inventory,</w:t>
      </w:r>
      <w:r>
        <w:rPr>
          <w:rFonts w:ascii="Arial" w:cs="Arial" w:eastAsia="Arial" w:hAnsi="Arial"/>
          <w:sz w:val="16"/>
          <w:szCs w:val="16"/>
          <w:color w:val="auto"/>
        </w:rPr>
        <w:t xml:space="preserve"> an amendment of the FASB Accounting Standards Codification. This ASU requires the seller and buyer to recognize at the transaction date the current and deferred income tax consequences of intercompany asset transfers (except transfers of inventory). Under current U.S. GAAP, the seller and buyer defer the consolidated tax consequences of an intercompany asset transfer from the period of the transfer to a future period when the asset is transferred out of the consolidated group, or otherwise affects consolidated earnings. This standard will cause volatility in companies’ effective tax rates, particularly for those that transfer intangible assets to foreign subsidiaries. For public entities, the new standard is effective for annual and interim periods in fiscal years beginning after December 15, 2017. An entity may early adopt the standard but only at the beginning of an annual period for which it has not issued or made available for issuance financial statements (interim or annual). We are evaluating the effect that ASU 2016-16 will have on our consolidated financial statements and related disclosures.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2" w:name="page33"/>
    <w:bookmarkEnd w:id="32"/>
    <w:p>
      <w:pPr>
        <w:jc w:val="both"/>
        <w:ind w:firstLine="432"/>
        <w:spacing w:after="0" w:line="291"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an amendment of the FASB Accounting Standards Codification. This ASU eliminates the requirement to measure the implied fair value of goodwill by assigning the fair value of a reporting unit to all assets and liabilities within that unit (“the Step 2 test”) from the goodwill impairment test. Instead, if the carrying amount of a reporting unit exceeds its fair value, an impairment loss is recognized in an amount equal to that excess, limited by the amount of goodwill in that reporting unit. For public business entities, the new standard is effective for its annual or any interim goodwill impairment tests in fiscal years beginning after December 15, 2019. The ASU requires prospective adoption and permits early adoption for interim or annual goodwill impairment tests performed on testing dates after January 1, 2017. We do not expect this guidance to have a material impact to our consolidated financial statements.</w:t>
      </w:r>
    </w:p>
    <w:p>
      <w:pPr>
        <w:spacing w:after="0" w:line="5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 Retirement Benefits (Topic 715): Improving the Presentation of Net Periodic</w:t>
      </w:r>
      <w:r>
        <w:rPr>
          <w:rFonts w:ascii="Arial" w:cs="Arial" w:eastAsia="Arial" w:hAnsi="Arial"/>
          <w:sz w:val="17"/>
          <w:szCs w:val="17"/>
          <w:color w:val="auto"/>
        </w:rPr>
        <w:t xml:space="preserve"> </w:t>
      </w:r>
      <w:r>
        <w:rPr>
          <w:rFonts w:ascii="Arial" w:cs="Arial" w:eastAsia="Arial" w:hAnsi="Arial"/>
          <w:sz w:val="17"/>
          <w:szCs w:val="17"/>
          <w:i w:val="1"/>
          <w:iCs w:val="1"/>
          <w:color w:val="auto"/>
        </w:rPr>
        <w:t>Pension Cost and Net Periodic Postretirement Benefit Cost</w:t>
      </w:r>
      <w:r>
        <w:rPr>
          <w:rFonts w:ascii="Arial" w:cs="Arial" w:eastAsia="Arial" w:hAnsi="Arial"/>
          <w:sz w:val="17"/>
          <w:szCs w:val="17"/>
          <w:color w:val="auto"/>
        </w:rPr>
        <w:t>, an amendment of the FASB Accounting Standards Codification. This ASU requires employers</w:t>
      </w:r>
      <w:r>
        <w:rPr>
          <w:rFonts w:ascii="Arial" w:cs="Arial" w:eastAsia="Arial" w:hAnsi="Arial"/>
          <w:sz w:val="17"/>
          <w:szCs w:val="17"/>
          <w:i w:val="1"/>
          <w:iCs w:val="1"/>
          <w:color w:val="auto"/>
        </w:rPr>
        <w:t xml:space="preserve"> </w:t>
      </w:r>
      <w:r>
        <w:rPr>
          <w:rFonts w:ascii="Arial" w:cs="Arial" w:eastAsia="Arial" w:hAnsi="Arial"/>
          <w:sz w:val="17"/>
          <w:szCs w:val="17"/>
          <w:color w:val="auto"/>
        </w:rPr>
        <w:t>that sponsor defined benefit pension and/or other post-retirement benefit plans to report the service cost component of net benefit cost in the same line item as other compensation costs arising from services rendered by the pertinent employees during the period. Employers are required to present the other components of net benefit costs in the income statement separately from the service cost component and outside a subtotal of income from operations. Additionally, only the service cost component of net periodic pension cost will be eligible for asset capitalization. For public entities, the new standard is effective for annual periods beginning after December 15, 2017, including interim periods within that annual period. Early adoption is permitted as of the beginning of an annual period for which financial statements (interim or annual) have not been issued or made available for issuance. This ASU should be applied retrospectively for the presentation of the service cost component and the other components of net periodic pension cost and net periodic postretirement benefit cost in the income statement and prospectively, on and after the effective date, for the capitalization of the service cost component of net periodic pension cost and net periodic postretirement benefit in assets. We are evaluating the effect that ASU 2017-07 will have on our consolidated financial statements and related disclosures.</w:t>
      </w:r>
    </w:p>
    <w:p>
      <w:pPr>
        <w:spacing w:after="0" w:line="7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In March 2018, the FASB issued ASU No. 2018-02</w:t>
      </w:r>
      <w:r>
        <w:rPr>
          <w:rFonts w:ascii="Arial" w:cs="Arial" w:eastAsia="Arial" w:hAnsi="Arial"/>
          <w:sz w:val="16"/>
          <w:szCs w:val="16"/>
          <w:i w:val="1"/>
          <w:iCs w:val="1"/>
          <w:color w:val="auto"/>
        </w:rPr>
        <w:t>, Income Statement - Reporting Comprehensive Income (Topic 220) Reclassification of Certain Tax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for Accumulated Other Comprehensive Income, </w:t>
      </w:r>
      <w:r>
        <w:rPr>
          <w:rFonts w:ascii="Arial" w:cs="Arial" w:eastAsia="Arial" w:hAnsi="Arial"/>
          <w:sz w:val="16"/>
          <w:szCs w:val="16"/>
          <w:color w:val="auto"/>
        </w:rPr>
        <w:t>an amendment of the FASB Accounting Standards Codification. This ASU permits a company to</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reclassify the disproportionate income tax effects of the Tax Cuts and Jobs Act of 2017 on items within AOCI to retained earnings. The amounts applicable for reclassification should include the effect of the change in U.S. federal corporate income tax rate on the gross deferred tax amounts and related valuation allowances, if any, at the date of the enactment of the Tax Cuts and Jobs Act related to the items remaining in accumulated other comprehensive income. The effect of the change in the U.S. federal corporate income tax rate on gross valuation allowance that were originally charged to income from continuing operations shall not be included. For all entities, the new standard is effective for fiscal years beginning after December 15, 2018, including interim periods within that annual period. Early adoption is permitted, including adoption in any interim period for public business entities for reporting periods not yet been issued. We are evaluating the effect that ASU 2018-02 will have on our consolidated financial statements and related disclosures.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Effective July 1, 2017, we adopted FASB issued ASU No.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an amendment of the FASB Accounting Standards Codification. This ASU changes the measurement principle for inventory from the lower of cost or market to lower of cost and net realizable value for entities that do not measure inventory using the last-in, first-out or retail inventory method. The ASU also eliminates the requirement for these entities to consider replacement cost or net realizable value less an approximately normal profit margin when measuring inventory. Such adoption has not and will not have any impact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3" w:name="page34"/>
    <w:bookmarkEnd w:id="3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in our exposure to market risk from June 30, 2017 to March 31, 2018.</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March 31, 2018.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was no change in our internal control over financial reporting (as defined in Rules 13c-15(f) and 15d-15(f) under the Exchange Act) that occurred during the quarter ended March 31, 2018 that has materially affected, or is reasonably likely to materially affect, our internal control over financial reporting. However, management is in the process of integrating the recently acquired Delta and Themis companies into our overall internal control over financial reporting environment.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23"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2017. There have been no material changes from the factors disclosed in our 2017 Annual Report on Form 10-K filed on August 18, 2017, although we may disclose changes to such factors or disclose additional factors from time to time in our future filings with the Securities and Exchange Commission.</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or furnished, as applicable, herewith:</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32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Certification of the Company’s Chief Executive Officer pursuant to Section 302 of the Sarbanes-Oxley Act of 2002</w:t>
              </w:r>
            </w:hyperlink>
          </w:p>
        </w:tc>
        <w:tc>
          <w:tcPr>
            <w:tcW w:w="680" w:type="dxa"/>
            <w:vAlign w:val="bottom"/>
          </w:tcPr>
          <w:p>
            <w:pPr>
              <w:spacing w:after="0"/>
              <w:rPr>
                <w:sz w:val="17"/>
                <w:szCs w:val="17"/>
                <w:color w:val="auto"/>
              </w:rPr>
            </w:pPr>
          </w:p>
        </w:tc>
      </w:tr>
      <w:tr>
        <w:trPr>
          <w:trHeight w:val="574"/>
        </w:trPr>
        <w:tc>
          <w:tcPr>
            <w:tcW w:w="320" w:type="dxa"/>
            <w:vAlign w:val="bottom"/>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0" w:type="dxa"/>
            <w:vAlign w:val="bottom"/>
            <w:gridSpan w:val="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Certification of the Company’s Chief Financial Officer pursuant to Section 302 of the Sarbanes-Oxley Act of 2002</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9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574"/>
        </w:trPr>
        <w:tc>
          <w:tcPr>
            <w:tcW w:w="2280" w:type="dxa"/>
            <w:vAlign w:val="bottom"/>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9000" w:type="dxa"/>
            <w:vAlign w:val="bottom"/>
            <w:gridSpan w:val="4"/>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Certification of the Company’s Chief Executive Officer and Chief Financial Officer pursuant to Section 906 of the Sarbanes-</w:t>
              </w:r>
            </w:hyperlink>
          </w:p>
        </w:tc>
      </w:tr>
      <w:tr>
        <w:trPr>
          <w:trHeight w:val="196"/>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60" w:type="dxa"/>
            <w:vAlign w:val="bottom"/>
          </w:tcPr>
          <w:p>
            <w:pPr>
              <w:spacing w:after="0"/>
              <w:rPr>
                <w:sz w:val="17"/>
                <w:szCs w:val="17"/>
                <w:color w:val="auto"/>
              </w:rPr>
            </w:pPr>
          </w:p>
        </w:tc>
        <w:tc>
          <w:tcPr>
            <w:tcW w:w="900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39">
              <w:r>
                <w:rPr>
                  <w:rFonts w:ascii="Arial" w:cs="Arial" w:eastAsia="Arial" w:hAnsi="Arial"/>
                  <w:sz w:val="18"/>
                  <w:szCs w:val="18"/>
                  <w:color w:val="0000FF"/>
                </w:rPr>
                <w:t>Oxley Act of 2002</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r>
      <w:tr>
        <w:trPr>
          <w:trHeight w:val="600"/>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auto"/>
                <w:w w:val="95"/>
              </w:rPr>
              <w:t>The following materials from the Company’s Quarterly Report on the Form 10-Q for the quarter ended March 31, 2018</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auto"/>
                <w:w w:val="93"/>
              </w:rPr>
              <w:t>formatted in XBRL (eXtensible Business Reporting Language): (i) the Consolidated Balance Sheets; (ii) the Consolidated</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auto"/>
                <w:w w:val="94"/>
              </w:rPr>
              <w:t>Statements of Operations; (iii) the Consolidated Statements of Cash Flows; and (iv) notes to the Consolidated Financial</w:t>
            </w: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auto"/>
              </w:rPr>
              <w:t>Statements</w:t>
            </w:r>
          </w:p>
        </w:tc>
      </w:tr>
    </w:tbl>
    <w:p>
      <w:pPr>
        <w:spacing w:after="0" w:line="121" w:lineRule="exact"/>
        <w:rPr>
          <w:sz w:val="20"/>
          <w:szCs w:val="20"/>
          <w:color w:val="auto"/>
        </w:rPr>
      </w:pPr>
    </w:p>
    <w:p>
      <w:pPr>
        <w:jc w:val="both"/>
        <w:ind w:left="660" w:hanging="607"/>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5" w:name="page36"/>
    <w:bookmarkEnd w:id="35"/>
    <w:p>
      <w:pPr>
        <w:jc w:val="center"/>
        <w:ind w:right="-719"/>
        <w:spacing w:after="0"/>
        <w:rPr>
          <w:sz w:val="20"/>
          <w:szCs w:val="20"/>
          <w:color w:val="auto"/>
        </w:rPr>
      </w:pPr>
      <w:r>
        <w:rPr>
          <w:rFonts w:ascii="Arial" w:cs="Arial" w:eastAsia="Arial" w:hAnsi="Arial"/>
          <w:sz w:val="18"/>
          <w:szCs w:val="18"/>
          <w:b w:val="1"/>
          <w:bCs w:val="1"/>
          <w:color w:val="auto"/>
        </w:rPr>
        <w:t>MERCURY SYSTEMS, INC.</w:t>
      </w:r>
    </w:p>
    <w:p>
      <w:pPr>
        <w:spacing w:after="0" w:line="17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Andover, Massachusetts, on May 3, 2018.</w:t>
      </w:r>
    </w:p>
    <w:p>
      <w:pPr>
        <w:spacing w:after="0" w:line="2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MERCURY SYSTEMS, INC.</w:t>
      </w:r>
    </w:p>
    <w:p>
      <w:pPr>
        <w:spacing w:after="0" w:line="387" w:lineRule="exact"/>
        <w:rPr>
          <w:sz w:val="20"/>
          <w:szCs w:val="20"/>
          <w:color w:val="auto"/>
        </w:rPr>
      </w:pPr>
    </w:p>
    <w:p>
      <w:pPr>
        <w:ind w:left="4620"/>
        <w:spacing w:after="0"/>
        <w:tabs>
          <w:tab w:leader="none" w:pos="7660" w:val="left"/>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D. R</w:t>
      </w:r>
      <w:r>
        <w:rPr>
          <w:rFonts w:ascii="Arial" w:cs="Arial" w:eastAsia="Arial" w:hAnsi="Arial"/>
          <w:sz w:val="13"/>
          <w:szCs w:val="13"/>
          <w:color w:val="auto"/>
        </w:rPr>
        <w:t>UPPERT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31750</wp:posOffset>
            </wp:positionV>
            <wp:extent cx="35077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2"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Michael D. Ruppert</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Executive Vice President,</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20"/>
          </w:cols>
          <w:pgMar w:left="240" w:top="580" w:right="9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171" w:lineRule="exact"/>
        <w:rPr>
          <w:sz w:val="20"/>
          <w:szCs w:val="20"/>
          <w:color w:val="auto"/>
        </w:rPr>
      </w:pPr>
    </w:p>
    <w:p>
      <w:pPr>
        <w:ind w:left="1620" w:hanging="964"/>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171"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D. Ruppert, certify that:</w:t>
      </w:r>
    </w:p>
    <w:p>
      <w:pPr>
        <w:spacing w:after="0" w:line="171" w:lineRule="exact"/>
        <w:rPr>
          <w:sz w:val="20"/>
          <w:szCs w:val="20"/>
          <w:color w:val="auto"/>
        </w:rPr>
      </w:pPr>
    </w:p>
    <w:p>
      <w:pPr>
        <w:ind w:left="1620" w:hanging="964"/>
        <w:spacing w:after="0"/>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D. R</w:t>
      </w:r>
      <w:r>
        <w:rPr>
          <w:rFonts w:ascii="Arial" w:cs="Arial" w:eastAsia="Arial" w:hAnsi="Arial"/>
          <w:sz w:val="14"/>
          <w:szCs w:val="14"/>
          <w:color w:val="auto"/>
        </w:rPr>
        <w:t>UPPERT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Michael D. Ruppert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connection with the Quarterly Report of Mercury Systems, Inc. (the “Company”) on Form 10-Q for the period ended March 31, 2018 as filed with the Securities and Exchange Commission (the “Report”), we, Mark Aslett, President and Chief Executive Officer of the Company, and Michael D. Ruppert, Executive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360"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74" w:lineRule="exact"/>
        <w:rPr>
          <w:sz w:val="20"/>
          <w:szCs w:val="20"/>
          <w:color w:val="auto"/>
        </w:rPr>
      </w:pPr>
    </w:p>
    <w:p>
      <w:pPr>
        <w:ind w:left="1820"/>
        <w:spacing w:after="0"/>
        <w:tabs>
          <w:tab w:leader="none" w:pos="2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D. R</w:t>
      </w:r>
      <w:r>
        <w:rPr>
          <w:rFonts w:ascii="Arial" w:cs="Arial" w:eastAsia="Arial" w:hAnsi="Arial"/>
          <w:sz w:val="13"/>
          <w:szCs w:val="13"/>
          <w:color w:val="auto"/>
        </w:rPr>
        <w:t>UPPERT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Michael D. Ruppert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855"/>
    </w:lvl>
  </w:abstractNum>
  <w:abstractNum w:abstractNumId="3">
    <w:nsid w:val="4E6AFB66"/>
    <w:multiLevelType w:val="hybridMultilevel"/>
    <w:lvl w:ilvl="0">
      <w:lvlJc w:val="left"/>
      <w:lvlText w:val="%1"/>
      <w:numFmt w:val="decimal"/>
      <w:start w:val="606"/>
    </w:lvl>
  </w:abstractNum>
  <w:abstractNum w:abstractNumId="4">
    <w:nsid w:val="25E45D32"/>
    <w:multiLevelType w:val="hybridMultilevel"/>
    <w:lvl w:ilvl="0">
      <w:lvlJc w:val="left"/>
      <w:lvlText w:val="%1."/>
      <w:numFmt w:val="upperLetter"/>
      <w:start w:val="1"/>
    </w:lvl>
  </w:abstractNum>
  <w:abstractNum w:abstractNumId="5">
    <w:nsid w:val="519B500D"/>
    <w:multiLevelType w:val="hybridMultilevel"/>
    <w:lvl w:ilvl="0">
      <w:lvlJc w:val="left"/>
      <w:lvlText w:val="%1."/>
      <w:numFmt w:val="upperLetter"/>
      <w:start w:val="2"/>
    </w:lvl>
  </w:abstractNum>
  <w:abstractNum w:abstractNumId="6">
    <w:nsid w:val="431BD7B7"/>
    <w:multiLevelType w:val="hybridMultilevel"/>
    <w:lvl w:ilvl="0">
      <w:lvlJc w:val="left"/>
      <w:lvlText w:val="%1."/>
      <w:numFmt w:val="upperLetter"/>
      <w:start w:val="3"/>
    </w:lvl>
  </w:abstractNum>
  <w:abstractNum w:abstractNumId="7">
    <w:nsid w:val="3F2DBA31"/>
    <w:multiLevelType w:val="hybridMultilevel"/>
    <w:lvl w:ilvl="0">
      <w:lvlJc w:val="left"/>
      <w:lvlText w:val="%1."/>
      <w:numFmt w:val="upperLetter"/>
      <w:start w:val="4"/>
    </w:lvl>
  </w:abstractNum>
  <w:abstractNum w:abstractNumId="8">
    <w:nsid w:val="7C83E458"/>
    <w:multiLevelType w:val="hybridMultilevel"/>
    <w:lvl w:ilvl="0">
      <w:lvlJc w:val="left"/>
      <w:lvlText w:val="%1."/>
      <w:numFmt w:val="upperLetter"/>
      <w:start w:val="5"/>
    </w:lvl>
  </w:abstractNum>
  <w:abstractNum w:abstractNumId="9">
    <w:nsid w:val="257130A3"/>
    <w:multiLevelType w:val="hybridMultilevel"/>
    <w:lvl w:ilvl="0">
      <w:lvlJc w:val="left"/>
      <w:lvlText w:val="%1."/>
      <w:numFmt w:val="upperLetter"/>
      <w:start w:val="6"/>
    </w:lvl>
  </w:abstractNum>
  <w:abstractNum w:abstractNumId="10">
    <w:nsid w:val="62BBD95A"/>
    <w:multiLevelType w:val="hybridMultilevel"/>
    <w:lvl w:ilvl="0">
      <w:lvlJc w:val="left"/>
      <w:lvlText w:val="%1."/>
      <w:numFmt w:val="upperLetter"/>
      <w:start w:val="7"/>
    </w:lvl>
  </w:abstractNum>
  <w:abstractNum w:abstractNumId="11">
    <w:nsid w:val="436C6125"/>
    <w:multiLevelType w:val="hybridMultilevel"/>
    <w:lvl w:ilvl="0">
      <w:lvlJc w:val="left"/>
      <w:lvlText w:val="%1."/>
      <w:numFmt w:val="upperLetter"/>
      <w:start w:val="8"/>
    </w:lvl>
  </w:abstractNum>
  <w:abstractNum w:abstractNumId="12">
    <w:nsid w:val="628C895D"/>
    <w:multiLevelType w:val="hybridMultilevel"/>
    <w:lvl w:ilvl="0">
      <w:lvlJc w:val="left"/>
      <w:lvlText w:val="%1."/>
      <w:numFmt w:val="upperLetter"/>
      <w:start w:val="9"/>
    </w:lvl>
  </w:abstractNum>
  <w:abstractNum w:abstractNumId="13">
    <w:nsid w:val="333AB105"/>
    <w:multiLevelType w:val="hybridMultilevel"/>
    <w:lvl w:ilvl="0">
      <w:lvlJc w:val="left"/>
      <w:lvlText w:val="%1."/>
      <w:numFmt w:val="upperLetter"/>
      <w:start w:val="10"/>
    </w:lvl>
  </w:abstractNum>
  <w:abstractNum w:abstractNumId="14">
    <w:nsid w:val="721DA317"/>
    <w:multiLevelType w:val="hybridMultilevel"/>
    <w:lvl w:ilvl="0">
      <w:lvlJc w:val="left"/>
      <w:lvlText w:val="%1."/>
      <w:numFmt w:val="upperLetter"/>
      <w:start w:val="12"/>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upperLetter"/>
      <w:start w:val="13"/>
    </w:lvl>
  </w:abstractNum>
  <w:abstractNum w:abstractNumId="21">
    <w:nsid w:val="4353D0CD"/>
    <w:multiLevelType w:val="hybridMultilevel"/>
    <w:lvl w:ilvl="0">
      <w:lvlJc w:val="left"/>
      <w:lvlText w:val="%1."/>
      <w:numFmt w:val="upperLetter"/>
      <w:start w:val="14"/>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2019-12-28T22:40:30Z</dcterms:created>
  <dcterms:modified xsi:type="dcterms:W3CDTF">2019-12-28T22:40:30Z</dcterms:modified>
</cp:coreProperties>
</file>