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CHELMSFORD,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01824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20" w:right="41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ind w:left="44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20" w:right="4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Shares of Common Stock outstanding as of October 31, 2015: 34,751,239 shares</w:t>
      </w:r>
    </w:p>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4"/>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940" w:type="dxa"/>
            <w:vAlign w:val="bottom"/>
          </w:tcPr>
          <w:p>
            <w:pPr>
              <w:spacing w:after="0"/>
              <w:rPr>
                <w:sz w:val="24"/>
                <w:szCs w:val="24"/>
                <w:color w:val="auto"/>
              </w:rPr>
            </w:pPr>
          </w:p>
        </w:tc>
        <w:tc>
          <w:tcPr>
            <w:tcW w:w="84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2015 and June 30, 2015</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and Comprehensive Income for the three months ended September 30, 2015</w:t>
              </w:r>
            </w:hyperlink>
          </w:p>
        </w:tc>
        <w:tc>
          <w:tcPr>
            <w:tcW w:w="10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83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2014</w:t>
              </w:r>
            </w:hyperlink>
          </w:p>
        </w:tc>
        <w:tc>
          <w:tcPr>
            <w:tcW w:w="80" w:type="dxa"/>
            <w:vAlign w:val="bottom"/>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three months ended September 30, 2015 and 2014</w:t>
              </w:r>
            </w:hyperlink>
          </w:p>
        </w:tc>
        <w:tc>
          <w:tcPr>
            <w:tcW w:w="10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574"/>
        </w:trPr>
        <w:tc>
          <w:tcPr>
            <w:tcW w:w="1940" w:type="dxa"/>
            <w:vAlign w:val="bottom"/>
          </w:tcPr>
          <w:p>
            <w:pPr>
              <w:spacing w:after="0"/>
              <w:rPr>
                <w:sz w:val="24"/>
                <w:szCs w:val="24"/>
                <w:color w:val="auto"/>
              </w:rPr>
            </w:pPr>
          </w:p>
        </w:tc>
        <w:tc>
          <w:tcPr>
            <w:tcW w:w="7040" w:type="dxa"/>
            <w:vAlign w:val="bottom"/>
            <w:tcBorders>
              <w:top w:val="single" w:sz="8" w:color="0000EE"/>
            </w:tcBorders>
            <w:gridSpan w:val="1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Consolidated Financial Statements</w:t>
              </w:r>
            </w:hyperlink>
          </w:p>
        </w:tc>
        <w:tc>
          <w:tcPr>
            <w:tcW w:w="138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16</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3.</w:t>
            </w:r>
          </w:p>
        </w:tc>
        <w:tc>
          <w:tcPr>
            <w:tcW w:w="8420" w:type="dxa"/>
            <w:vAlign w:val="bottom"/>
            <w:gridSpan w:val="1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25</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0"/>
        </w:trPr>
        <w:tc>
          <w:tcPr>
            <w:tcW w:w="19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4"/>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Legal Proceedings</w:t>
              </w:r>
            </w:hyperlink>
          </w:p>
        </w:tc>
        <w:tc>
          <w:tcPr>
            <w:tcW w:w="7080" w:type="dxa"/>
            <w:vAlign w:val="bottom"/>
            <w:gridSpan w:val="9"/>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1A.</w:t>
            </w:r>
          </w:p>
        </w:tc>
        <w:tc>
          <w:tcPr>
            <w:tcW w:w="8420" w:type="dxa"/>
            <w:vAlign w:val="bottom"/>
            <w:gridSpan w:val="1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6.</w:t>
            </w:r>
          </w:p>
        </w:tc>
        <w:tc>
          <w:tcPr>
            <w:tcW w:w="660" w:type="dxa"/>
            <w:vAlign w:val="bottom"/>
            <w:tcBorders>
              <w:top w:val="single" w:sz="8" w:color="0000FF"/>
              <w:bottom w:val="single" w:sz="8" w:color="0000FF"/>
            </w:tcBorders>
          </w:tcPr>
          <w:p>
            <w:pPr>
              <w:spacing w:after="0"/>
              <w:rPr>
                <w:rFonts w:ascii="Arial" w:cs="Arial" w:eastAsia="Arial" w:hAnsi="Arial"/>
                <w:sz w:val="18"/>
                <w:szCs w:val="18"/>
                <w:color w:val="0000FF"/>
                <w:w w:val="98"/>
              </w:rPr>
            </w:pPr>
            <w:hyperlink w:anchor="page26">
              <w:r>
                <w:rPr>
                  <w:rFonts w:ascii="Arial" w:cs="Arial" w:eastAsia="Arial" w:hAnsi="Arial"/>
                  <w:sz w:val="18"/>
                  <w:szCs w:val="18"/>
                  <w:color w:val="0000FF"/>
                  <w:w w:val="98"/>
                </w:rPr>
                <w:t>Exhibits</w:t>
              </w:r>
            </w:hyperlink>
          </w:p>
        </w:tc>
        <w:tc>
          <w:tcPr>
            <w:tcW w:w="240" w:type="dxa"/>
            <w:vAlign w:val="bottom"/>
            <w:tcBorders>
              <w:top w:val="single" w:sz="8" w:color="0000FF"/>
            </w:tcBorders>
            <w:gridSpan w:val="2"/>
          </w:tcPr>
          <w:p>
            <w:pPr>
              <w:spacing w:after="0"/>
              <w:rPr>
                <w:sz w:val="24"/>
                <w:szCs w:val="24"/>
                <w:color w:val="auto"/>
              </w:rPr>
            </w:pPr>
          </w:p>
        </w:tc>
        <w:tc>
          <w:tcPr>
            <w:tcW w:w="7520" w:type="dxa"/>
            <w:vAlign w:val="bottom"/>
            <w:gridSpan w:val="10"/>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574"/>
        </w:trPr>
        <w:tc>
          <w:tcPr>
            <w:tcW w:w="194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26">
              <w:r>
                <w:rPr>
                  <w:rFonts w:ascii="Arial" w:cs="Arial" w:eastAsia="Arial" w:hAnsi="Arial"/>
                  <w:sz w:val="18"/>
                  <w:szCs w:val="18"/>
                  <w:color w:val="0000FF"/>
                  <w:w w:val="85"/>
                </w:rPr>
                <w:t>Signatures</w:t>
              </w:r>
            </w:hyperlink>
          </w:p>
        </w:tc>
        <w:tc>
          <w:tcPr>
            <w:tcW w:w="7660" w:type="dxa"/>
            <w:vAlign w:val="bottom"/>
            <w:gridSpan w:val="11"/>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27</w:t>
              </w:r>
            </w:hyperlink>
          </w:p>
        </w:tc>
      </w:tr>
      <w:tr>
        <w:trPr>
          <w:trHeight w:val="669"/>
        </w:trPr>
        <w:tc>
          <w:tcPr>
            <w:tcW w:w="1940" w:type="dxa"/>
            <w:vAlign w:val="bottom"/>
          </w:tcPr>
          <w:p>
            <w:pPr>
              <w:spacing w:after="0"/>
              <w:rPr>
                <w:sz w:val="24"/>
                <w:szCs w:val="24"/>
                <w:color w:val="auto"/>
              </w:rPr>
            </w:pPr>
          </w:p>
        </w:tc>
        <w:tc>
          <w:tcPr>
            <w:tcW w:w="4300" w:type="dxa"/>
            <w:vAlign w:val="bottom"/>
            <w:gridSpan w:val="8"/>
          </w:tcPr>
          <w:p>
            <w:pPr>
              <w:ind w:left="36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7900" w:type="dxa"/>
            <w:vAlign w:val="bottom"/>
          </w:tcPr>
          <w:p>
            <w:pPr>
              <w:jc w:val="center"/>
              <w:ind w:left="2099"/>
              <w:spacing w:after="0"/>
              <w:rPr>
                <w:sz w:val="20"/>
                <w:szCs w:val="20"/>
                <w:color w:val="auto"/>
              </w:rPr>
            </w:pPr>
            <w:r>
              <w:rPr>
                <w:rFonts w:ascii="Arial" w:cs="Arial" w:eastAsia="Arial" w:hAnsi="Arial"/>
                <w:sz w:val="18"/>
                <w:szCs w:val="18"/>
                <w:b w:val="1"/>
                <w:bCs w:val="1"/>
                <w:color w:val="auto"/>
                <w:w w:val="99"/>
              </w:rPr>
              <w:t>MERCURY SYSTEMS, INC.</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80" w:type="dxa"/>
            <w:vAlign w:val="bottom"/>
          </w:tcPr>
          <w:p>
            <w:pPr>
              <w:spacing w:after="0"/>
              <w:rPr>
                <w:sz w:val="22"/>
                <w:szCs w:val="22"/>
                <w:color w:val="auto"/>
              </w:rPr>
            </w:pPr>
          </w:p>
        </w:tc>
        <w:tc>
          <w:tcPr>
            <w:tcW w:w="7900" w:type="dxa"/>
            <w:vAlign w:val="bottom"/>
          </w:tcPr>
          <w:p>
            <w:pPr>
              <w:jc w:val="center"/>
              <w:ind w:left="2099"/>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80" w:type="dxa"/>
            <w:vAlign w:val="bottom"/>
            <w:tcBorders>
              <w:bottom w:val="single" w:sz="8" w:color="CCEEFF"/>
            </w:tcBorders>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580" w:type="dxa"/>
            <w:vAlign w:val="bottom"/>
            <w:gridSpan w:val="2"/>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79,073</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77,586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w w:val="99"/>
              </w:rPr>
              <w:t>Accounts receivable, net of allowance for doubtful accounts of $215 and $56 at September 30, 2015 and June 30, 2015, respectively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41,993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31,765</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Unbilled receivables and costs in excess of billings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24,423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22,021</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34,666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31,960</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12,407</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Prepaid income taxes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3,041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8,678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200,867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188,164</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13,493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13,226</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7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168,146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168,146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16,470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17,998</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2,190</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401,388</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389,988</w:t>
            </w:r>
          </w:p>
        </w:tc>
        <w:tc>
          <w:tcPr>
            <w:tcW w:w="0" w:type="dxa"/>
            <w:vAlign w:val="bottom"/>
          </w:tcPr>
          <w:p>
            <w:pPr>
              <w:spacing w:after="0"/>
              <w:rPr>
                <w:sz w:val="1"/>
                <w:szCs w:val="1"/>
                <w:color w:val="auto"/>
              </w:rPr>
            </w:pPr>
          </w:p>
        </w:tc>
      </w:tr>
      <w:tr>
        <w:trPr>
          <w:trHeight w:val="100"/>
        </w:trPr>
        <w:tc>
          <w:tcPr>
            <w:tcW w:w="680" w:type="dxa"/>
            <w:vAlign w:val="bottom"/>
            <w:tcBorders>
              <w:bottom w:val="single" w:sz="8" w:color="CCEEFF"/>
            </w:tcBorders>
          </w:tcPr>
          <w:p>
            <w:pPr>
              <w:spacing w:after="0"/>
              <w:rPr>
                <w:sz w:val="8"/>
                <w:szCs w:val="8"/>
                <w:color w:val="auto"/>
              </w:rPr>
            </w:pPr>
          </w:p>
        </w:tc>
        <w:tc>
          <w:tcPr>
            <w:tcW w:w="79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580" w:type="dxa"/>
            <w:vAlign w:val="bottom"/>
            <w:gridSpan w:val="2"/>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580" w:type="dxa"/>
            <w:vAlign w:val="bottom"/>
            <w:gridSpan w:val="2"/>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17,186</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6,928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9,143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9,005</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compensation</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9,875</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Deferred revenues and customer advances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7,944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7,477</w:t>
            </w:r>
          </w:p>
        </w:tc>
        <w:tc>
          <w:tcPr>
            <w:tcW w:w="0" w:type="dxa"/>
            <w:vAlign w:val="bottom"/>
          </w:tcPr>
          <w:p>
            <w:pPr>
              <w:spacing w:after="0"/>
              <w:rPr>
                <w:sz w:val="1"/>
                <w:szCs w:val="1"/>
                <w:color w:val="auto"/>
              </w:rPr>
            </w:pPr>
          </w:p>
        </w:tc>
      </w:tr>
      <w:tr>
        <w:trPr>
          <w:trHeight w:val="74"/>
        </w:trPr>
        <w:tc>
          <w:tcPr>
            <w:tcW w:w="680" w:type="dxa"/>
            <w:vAlign w:val="bottom"/>
            <w:tcBorders>
              <w:bottom w:val="single" w:sz="8" w:color="CCEEFF"/>
            </w:tcBorders>
          </w:tcPr>
          <w:p>
            <w:pPr>
              <w:spacing w:after="0"/>
              <w:rPr>
                <w:sz w:val="6"/>
                <w:szCs w:val="6"/>
                <w:color w:val="auto"/>
              </w:rPr>
            </w:pPr>
          </w:p>
        </w:tc>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spacing w:after="0"/>
              <w:rPr>
                <w:sz w:val="15"/>
                <w:szCs w:val="15"/>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42,761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33,285</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Deferred gain on sale-leaseback</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48,754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39,850</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I)</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gridSpan w:val="2"/>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Preferred stock, $0.01 par value; 1,000,000 shares authorized; no shares issued or outstanding</w:t>
            </w:r>
          </w:p>
        </w:tc>
        <w:tc>
          <w:tcPr>
            <w:tcW w:w="16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580" w:type="dxa"/>
            <w:vAlign w:val="bottom"/>
            <w:gridSpan w:val="2"/>
          </w:tcPr>
          <w:p>
            <w:pPr>
              <w:ind w:left="380"/>
              <w:spacing w:after="0" w:line="157" w:lineRule="exact"/>
              <w:rPr>
                <w:sz w:val="20"/>
                <w:szCs w:val="20"/>
                <w:color w:val="auto"/>
              </w:rPr>
            </w:pPr>
            <w:r>
              <w:rPr>
                <w:rFonts w:ascii="Arial" w:cs="Arial" w:eastAsia="Arial" w:hAnsi="Arial"/>
                <w:sz w:val="14"/>
                <w:szCs w:val="14"/>
                <w:color w:val="auto"/>
                <w:w w:val="93"/>
              </w:rPr>
              <w:t>Common stock, $0.01 par value; 85,000,000 shares authorized; 33,010,306 and 32,570,959 shares issued and outstanding at September 30,</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2015 and June 30, 2015, respectively</w:t>
            </w:r>
          </w:p>
        </w:tc>
        <w:tc>
          <w:tcPr>
            <w:tcW w:w="16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255,083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254,568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96,428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94,468</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352,634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350,138</w:t>
            </w:r>
          </w:p>
        </w:tc>
        <w:tc>
          <w:tcPr>
            <w:tcW w:w="0" w:type="dxa"/>
            <w:vAlign w:val="bottom"/>
          </w:tcPr>
          <w:p>
            <w:pPr>
              <w:spacing w:after="0"/>
              <w:rPr>
                <w:sz w:val="1"/>
                <w:szCs w:val="1"/>
                <w:color w:val="auto"/>
              </w:rPr>
            </w:pPr>
          </w:p>
        </w:tc>
      </w:tr>
      <w:tr>
        <w:trPr>
          <w:trHeight w:val="74"/>
        </w:trPr>
        <w:tc>
          <w:tcPr>
            <w:tcW w:w="680" w:type="dxa"/>
            <w:vAlign w:val="bottom"/>
            <w:tcBorders>
              <w:bottom w:val="single" w:sz="8" w:color="CCEEFF"/>
            </w:tcBorders>
          </w:tcPr>
          <w:p>
            <w:pPr>
              <w:spacing w:after="0"/>
              <w:rPr>
                <w:sz w:val="6"/>
                <w:szCs w:val="6"/>
                <w:color w:val="auto"/>
              </w:rPr>
            </w:pPr>
          </w:p>
        </w:tc>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spacing w:after="0"/>
              <w:rPr>
                <w:sz w:val="15"/>
                <w:szCs w:val="15"/>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and shareholders’ equity</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401,388</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389,988</w:t>
            </w:r>
          </w:p>
        </w:tc>
        <w:tc>
          <w:tcPr>
            <w:tcW w:w="0" w:type="dxa"/>
            <w:vAlign w:val="bottom"/>
          </w:tcPr>
          <w:p>
            <w:pPr>
              <w:spacing w:after="0"/>
              <w:rPr>
                <w:sz w:val="1"/>
                <w:szCs w:val="1"/>
                <w:color w:val="auto"/>
              </w:rPr>
            </w:pPr>
          </w:p>
        </w:tc>
      </w:tr>
      <w:tr>
        <w:trPr>
          <w:trHeight w:val="60"/>
        </w:trPr>
        <w:tc>
          <w:tcPr>
            <w:tcW w:w="680" w:type="dxa"/>
            <w:vAlign w:val="bottom"/>
            <w:tcBorders>
              <w:bottom w:val="single" w:sz="8" w:color="CCEEFF"/>
            </w:tcBorders>
            <w:shd w:val="clear" w:color="auto" w:fill="CCEEFF"/>
          </w:tcPr>
          <w:p>
            <w:pPr>
              <w:spacing w:after="0"/>
              <w:rPr>
                <w:sz w:val="5"/>
                <w:szCs w:val="5"/>
                <w:color w:val="auto"/>
              </w:rPr>
            </w:pPr>
          </w:p>
        </w:tc>
        <w:tc>
          <w:tcPr>
            <w:tcW w:w="79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r>
      <w:tr>
        <w:trPr>
          <w:trHeight w:val="258"/>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54,061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30,880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30,062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7,951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1,268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24,398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23,271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Tax provision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0.02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0.02</w:t>
            </w:r>
          </w:p>
        </w:tc>
      </w:tr>
      <w:tr>
        <w:trPr>
          <w:trHeight w:val="67"/>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78"/>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Diluted net 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32,778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31,635</w:t>
            </w:r>
          </w:p>
        </w:tc>
      </w:tr>
      <w:tr>
        <w:trPr>
          <w:trHeight w:val="67"/>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56"/>
        </w:trPr>
        <w:tc>
          <w:tcPr>
            <w:tcW w:w="88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32,481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499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w:t>
            </w: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88" w:right="239" w:bottom="1440" w:gutter="0" w:footer="0" w:header="0"/>
          <w:type w:val="continuous"/>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Benefit for 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non-cash items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unbilled receivables, and costs in excess of billings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 and customer advances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retirement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capital lease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77,586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47,287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79,073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48,876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disclosures—non-cash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restricted stock awards to employees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Mercury Systems, Inc. (the "Company" or "Mercury") is a leading high-tech commercial provider of more affordable secure and sensor processing subsystems designed and made in the U.S.A. powering today's critical defense and intelligence applications. The Company delivers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Predator, F-35 and Reaper. The Company’s organizational structure allows it to deliver capabilities that combine technology building blocks and deep domain expertise in the defense sector.</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goal is to grow and build on its position as a critical component of the defense industrial base and become the leading provider of open and more affordable secure and sensor processing subsystems. The Mercury Commercial Electronics (“MCE”) operating segment designs, develops and builds open sensor processing products and subsystems that include embedded processing modules and subsystems, radio frequency (“RF”) and microwave multi-function assemblies as well as subsystems, and RF and microwave components. The Mercury Defense Systems (“MDS”) operating segment provides significant capabilities relating to pre-integrated, open, more affordable electronic warfare ("EW"), electronic attack ("EA") and electronic counter measure ("ECM") subsystems, significant capabilities in signals intelligence ("SIGINT"), electro-optical/infrared ("EO/IR") processing technologies, and radar environment test and simulation systems.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June 2014, the Company initiated a plan to divest the Mercury Intelligence Systems (“MIS”) operating segment, based on the Company's strategic direction and investment priorities focusing on its core business. On January 23, 2015, the Company completed the sale of the MIS operating segment. See Note C to consolidated financial statements.</w:t>
      </w:r>
    </w:p>
    <w:p>
      <w:pPr>
        <w:spacing w:after="0" w:line="20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accounting principles generally accepted in the United States of America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2015 which are contained in the Company’s Annual Report on Form 10-K filed with the Securities and Exchange Commission (“SEC”) on August 13, 2015. The results for the three months ended September 30, 2015 are not necessarily indicative of the results to be expected for the full fiscal year.</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comprised of the following operating segments: MCE and MDS. See Note L of the Notes to consolidated financial statements for further discussion.</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8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48% and 29% of total revenues in the three months ended September 30, 2015, and 2014, respectively.</w:t>
      </w:r>
    </w:p>
    <w:p>
      <w:pPr>
        <w:spacing w:after="0" w:line="3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 The objective of BESP is to determine the price at which the Company would transact if the product or service were sold by the Company on a standalone basis.</w:t>
      </w:r>
    </w:p>
    <w:p>
      <w:pPr>
        <w:spacing w:after="0" w:line="4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The Company also engages in long-term contracts for development, production and services activities which it accounts for consistent with FASB ASC 605-35, </w:t>
      </w:r>
      <w:r>
        <w:rPr>
          <w:rFonts w:ascii="Arial" w:cs="Arial" w:eastAsia="Arial" w:hAnsi="Arial"/>
          <w:sz w:val="17"/>
          <w:szCs w:val="17"/>
          <w:i w:val="1"/>
          <w:iCs w:val="1"/>
          <w:color w:val="auto"/>
        </w:rPr>
        <w:t>Accounting for Performance of Construction-Type and Certain Production-Type Contracts</w:t>
      </w:r>
      <w:r>
        <w:rPr>
          <w:rFonts w:ascii="Arial" w:cs="Arial" w:eastAsia="Arial" w:hAnsi="Arial"/>
          <w:sz w:val="17"/>
          <w:szCs w:val="17"/>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The risk to the Company on a fixed-price contract is that if estimates to complete the contract change from one period to the next, profit levels will vary from period to period. For time and materials contracts, revenue reflects the number of direct labor hours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6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ectPr>
          <w:pgSz w:w="11900" w:h="16838" w:orient="portrait"/>
          <w:cols w:equalWidth="0" w:num="1">
            <w:col w:w="11420"/>
          </w:cols>
          <w:pgMar w:left="240" w:top="692" w:right="23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jc w:val="right"/>
        <w:ind w:right="4380"/>
        <w:spacing w:after="0"/>
        <w:rPr>
          <w:sz w:val="20"/>
          <w:szCs w:val="20"/>
          <w:color w:val="auto"/>
        </w:rPr>
      </w:pPr>
      <w:r>
        <w:rPr>
          <w:rFonts w:ascii="Arial" w:cs="Arial" w:eastAsia="Arial" w:hAnsi="Arial"/>
          <w:sz w:val="17"/>
          <w:szCs w:val="17"/>
          <w:color w:val="auto"/>
        </w:rPr>
        <w:t>Weighted-average shares were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weighted-average shares outstanding</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dilutive equity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Three Months Ended September</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13335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7" w:lineRule="exact"/>
        <w:rPr>
          <w:sz w:val="20"/>
          <w:szCs w:val="20"/>
          <w:color w:val="auto"/>
        </w:rPr>
      </w:pPr>
    </w:p>
    <w:p>
      <w:pPr>
        <w:ind w:left="300"/>
        <w:spacing w:after="0"/>
        <w:tabs>
          <w:tab w:leader="none" w:pos="14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63" w:lineRule="exact"/>
        <w:rPr>
          <w:sz w:val="20"/>
          <w:szCs w:val="20"/>
          <w:color w:val="auto"/>
        </w:rPr>
      </w:pPr>
    </w:p>
    <w:p>
      <w:pPr>
        <w:ind w:left="340"/>
        <w:spacing w:after="0"/>
        <w:tabs>
          <w:tab w:leader="none" w:pos="1460" w:val="left"/>
        </w:tabs>
        <w:rPr>
          <w:sz w:val="20"/>
          <w:szCs w:val="20"/>
          <w:color w:val="auto"/>
        </w:rPr>
      </w:pPr>
      <w:r>
        <w:rPr>
          <w:rFonts w:ascii="Arial" w:cs="Arial" w:eastAsia="Arial" w:hAnsi="Arial"/>
          <w:sz w:val="17"/>
          <w:szCs w:val="17"/>
          <w:color w:val="auto"/>
        </w:rPr>
        <w:t>32,778</w:t>
      </w:r>
      <w:r>
        <w:rPr>
          <w:sz w:val="20"/>
          <w:szCs w:val="20"/>
          <w:color w:val="auto"/>
        </w:rPr>
        <w:tab/>
      </w:r>
      <w:r>
        <w:rPr>
          <w:rFonts w:ascii="Arial" w:cs="Arial" w:eastAsia="Arial" w:hAnsi="Arial"/>
          <w:sz w:val="17"/>
          <w:szCs w:val="17"/>
          <w:color w:val="auto"/>
        </w:rPr>
        <w:t>31,635</w:t>
      </w:r>
    </w:p>
    <w:p>
      <w:pPr>
        <w:spacing w:after="0" w:line="75" w:lineRule="exact"/>
        <w:rPr>
          <w:sz w:val="20"/>
          <w:szCs w:val="20"/>
          <w:color w:val="auto"/>
        </w:rPr>
      </w:pPr>
    </w:p>
    <w:p>
      <w:pPr>
        <w:ind w:left="1700" w:hanging="1132"/>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846</w:t>
      </w:r>
    </w:p>
    <w:p>
      <w:pPr>
        <w:spacing w:after="0" w:line="7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33,616</w:t>
      </w:r>
      <w:r>
        <w:rPr>
          <w:rFonts w:ascii="Arial" w:cs="Arial" w:eastAsia="Arial" w:hAnsi="Arial"/>
          <w:sz w:val="16"/>
          <w:szCs w:val="16"/>
          <w:color w:val="auto"/>
        </w:rPr>
        <w:t>32,481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48895</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8620" w:space="720"/>
            <w:col w:w="2080"/>
          </w:cols>
          <w:pgMar w:left="240" w:top="692" w:right="239" w:bottom="1440" w:gutter="0" w:footer="0" w:header="0"/>
          <w:type w:val="continuous"/>
        </w:sectPr>
      </w:pPr>
    </w:p>
    <w:p>
      <w:pPr>
        <w:ind w:right="20" w:firstLine="432"/>
        <w:spacing w:after="0" w:line="277" w:lineRule="auto"/>
        <w:rPr>
          <w:sz w:val="20"/>
          <w:szCs w:val="20"/>
          <w:color w:val="auto"/>
        </w:rPr>
      </w:pPr>
      <w:r>
        <w:rPr>
          <w:rFonts w:ascii="Arial" w:cs="Arial" w:eastAsia="Arial" w:hAnsi="Arial"/>
          <w:sz w:val="18"/>
          <w:szCs w:val="18"/>
          <w:color w:val="auto"/>
        </w:rPr>
        <w:t>Equity instruments to purchase 356 and 750 shares of common stock were not included in the calculation of diluted net earnings per share for the three months ended September 30, 2015, and 2014, respectively, because the equity instruments were anti-dilutive.</w:t>
      </w:r>
    </w:p>
    <w:p>
      <w:pPr>
        <w:spacing w:after="0" w:line="139" w:lineRule="exact"/>
        <w:rPr>
          <w:sz w:val="20"/>
          <w:szCs w:val="20"/>
          <w:color w:val="auto"/>
        </w:rPr>
      </w:pPr>
    </w:p>
    <w:p>
      <w:pPr>
        <w:ind w:left="840" w:hanging="832"/>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During the third quarter of fiscal 2015, the Company completed the sale of the MIS operating segment. The MIS operating results have been reported as a discontinued operation for all periods presented. The Company does not have continuing involvement in the operations of MIS after its divestiture.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type w:val="continuous"/>
        </w:sectPr>
      </w:pPr>
    </w:p>
    <w:bookmarkStart w:id="8" w:name="page9"/>
    <w:bookmarkEnd w:id="8"/>
    <w:p>
      <w:pPr>
        <w:ind w:left="420"/>
        <w:spacing w:after="0"/>
        <w:rPr>
          <w:sz w:val="20"/>
          <w:szCs w:val="20"/>
          <w:color w:val="auto"/>
        </w:rPr>
      </w:pPr>
      <w:r>
        <w:rPr>
          <w:rFonts w:ascii="Arial" w:cs="Arial" w:eastAsia="Arial" w:hAnsi="Arial"/>
          <w:sz w:val="18"/>
          <w:szCs w:val="18"/>
          <w:color w:val="auto"/>
        </w:rPr>
        <w:t>The amounts reported in loss from discontinued operations, net of income taxes were as follows:</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7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September 30,</w:t>
            </w:r>
          </w:p>
        </w:tc>
      </w:tr>
      <w:tr>
        <w:trPr>
          <w:trHeight w:val="250"/>
        </w:trPr>
        <w:tc>
          <w:tcPr>
            <w:tcW w:w="77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of 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Costs of discontinued operations: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7"/>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7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no balances for the assets and liabilities of the discontinued operations for the periods ending September 30, 2015 and June 30, 2015.</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depreciation, amortization, and significant operating and investing non-cash items of the discontinued operations were as follows:</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20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6"/>
              </w:rPr>
              <w:t>Three Months Ended September</w:t>
            </w:r>
          </w:p>
        </w:tc>
      </w:tr>
      <w:tr>
        <w:trPr>
          <w:trHeight w:val="192"/>
        </w:trPr>
        <w:tc>
          <w:tcPr>
            <w:tcW w:w="87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37"/>
              <w:spacing w:after="0"/>
              <w:rPr>
                <w:sz w:val="20"/>
                <w:szCs w:val="20"/>
                <w:color w:val="auto"/>
              </w:rPr>
            </w:pPr>
            <w:r>
              <w:rPr>
                <w:rFonts w:ascii="Arial" w:cs="Arial" w:eastAsia="Arial" w:hAnsi="Arial"/>
                <w:sz w:val="14"/>
                <w:szCs w:val="14"/>
                <w:b w:val="1"/>
                <w:bCs w:val="1"/>
                <w:color w:val="auto"/>
              </w:rPr>
              <w:t>30,</w:t>
            </w:r>
          </w:p>
        </w:tc>
      </w:tr>
      <w:tr>
        <w:trPr>
          <w:trHeight w:val="250"/>
        </w:trPr>
        <w:tc>
          <w:tcPr>
            <w:tcW w:w="87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2014</w:t>
            </w: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124</w:t>
            </w:r>
          </w:p>
        </w:tc>
      </w:tr>
      <w:tr>
        <w:trPr>
          <w:trHeight w:val="27"/>
        </w:trPr>
        <w:tc>
          <w:tcPr>
            <w:tcW w:w="8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63</w:t>
            </w:r>
          </w:p>
        </w:tc>
      </w:tr>
      <w:tr>
        <w:trPr>
          <w:trHeight w:val="27"/>
        </w:trPr>
        <w:tc>
          <w:tcPr>
            <w:tcW w:w="87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September 30, 2015:</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0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49,060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49,060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79,837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49,324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30,013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carrying values of cash and cash equivalents, including all U.S. Treasury bills and money market funds, accounts receivable and payable, and accrued liabilities approximate fair value due to the short-term maturities of these assets and liabilities. The value of the certificates of deposit is based on the quoted price for identical or similar instruments in markets that are not active or are directly or indirectly observable. The cost-method investment does not have a readily determinable fair value, as such the Company recorded the investment as a long term asset at cost and will continue to evaluate the asset for impairment.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color w:val="auto"/>
        </w:rPr>
        <w:t>The change of the fair value of the Company's investment in equity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Changes in fair value</w:t>
            </w:r>
          </w:p>
        </w:tc>
        <w:tc>
          <w:tcPr>
            <w:tcW w:w="4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r>
      <w:tr>
        <w:trPr>
          <w:trHeight w:val="20"/>
        </w:trPr>
        <w:tc>
          <w:tcPr>
            <w:tcW w:w="9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history, product mix and possible alternative uses. Inventory was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192"/>
        </w:trPr>
        <w:tc>
          <w:tcPr>
            <w:tcW w:w="8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15,864</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13,490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37"/>
        </w:trPr>
        <w:tc>
          <w:tcPr>
            <w:tcW w:w="892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34,666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31,960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carrying amount of goodwill by reporting units as of September 30, 2015 and June 30,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June 30, 2015</w:t>
            </w: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MCE goodwill</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134,378</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MDS goodwill</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33,768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33,768</w:t>
            </w:r>
          </w:p>
        </w:tc>
      </w:tr>
      <w:tr>
        <w:trPr>
          <w:trHeight w:val="27"/>
        </w:trPr>
        <w:tc>
          <w:tcPr>
            <w:tcW w:w="8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168,146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168,146</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three months ended September 30, 2015, there were no triggering events, as defined by FASB ASC 350, which required an interim goodwill impairment test. The Company performs its annual goodwill impairment test in the fourth quarter of each fiscal year.</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MCE and MDS.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2015</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MCE restructuring and other charges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MDS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paid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September 30, 2015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Reversals result from unused outplacement services.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September 30, 2015, the Company has incurred net restructuring and other charges of $338. In the event that the Company is unable to sublease the unoccupied portion of its headquarters complex in Chelmsford, MA, it will incur nominal, periodic restructuring charges through fiscal 2017 in its MCE reportable segment.</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comprehensive income and any remaining severance obligations are expected to be paid within the next twelve months. The restructuring liability is classified as accrued expenses in the consolidated balance sheets.</w:t>
      </w:r>
    </w:p>
    <w:p>
      <w:pPr>
        <w:spacing w:after="0" w:line="20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recorded an income tax provision of $1,264 and $0 on income from continuing operations before income taxes of $3,224 and $717 for the three months ended September 30, 2015 and 2014, respectively. The effective tax rates for the three months ended September 30, 2015 and 2014, differed from the federal statutory rate primarily due to domestic manufacturing deduction, stock compensation, and state taxes.</w:t>
      </w:r>
    </w:p>
    <w:p>
      <w:pPr>
        <w:spacing w:after="0" w:line="5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No material changes in the Company’s unrecognized tax positions occurred during the three months ended September 30, 2015. The Company is currently under audit by the Internal Revenue Service for fiscal year 2013. There have been no significant changes to the status of this examination during the three months ended September 30, 2015. It is reasonably possible that within the next 12 months the Company’s unrecognized tax benefits, exclusive of interest, may decrease by up to $757 at the conclusion of the audit. The Company expects that the decrease, if recognized, would not affect the effective tax rate.</w:t>
      </w:r>
    </w:p>
    <w:p>
      <w:pPr>
        <w:spacing w:after="0" w:line="21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sale of the Company’s former MIS operating segment, the Company provided indemnification to the buyer of the business. The Company’s indemnification obligations generally cover the buyer for damages resulting from breaches of representations, warranties and covenants contained in the purchase and sale agreement and generally cover pre-closing tax liabilities of the business. The Company’s indemnification obligations regarding the MIS operating segment are generally subject to caps.</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the Company's statement of cash flows.</w:t>
      </w:r>
    </w:p>
    <w:p>
      <w:pPr>
        <w:sectPr>
          <w:pgSz w:w="11900" w:h="16838" w:orient="portrait"/>
          <w:cols w:equalWidth="0" w:num="1">
            <w:col w:w="11420"/>
          </w:cols>
          <w:pgMar w:left="240" w:top="823"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823"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September 30, 2015, the Company has entered into non-cancelable purchase commitments for certain inventory components and services used in its normal operations. The purchase commitments covered by these agreements are for less than one year and aggregate to $26,932.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1, 2015, the Company entered into a lease agreement for a new headquarters location in Andover, Massachusetts. The Company expects to occupy the new office space by May 2017. The Company's total obligation for the base rent is a minimum aggregate of $17,900 based on utilization of not less than 97 square feet over the twelve year term of the lease. The Company has an option to expand the total square footage of this facility, which would increase its corresponding total base rent obligation.</w:t>
      </w:r>
    </w:p>
    <w:p>
      <w:pPr>
        <w:spacing w:after="0" w:line="21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ENIOR</w:t>
      </w:r>
      <w:r>
        <w:rPr>
          <w:rFonts w:ascii="Arial" w:cs="Arial" w:eastAsia="Arial" w:hAnsi="Arial"/>
          <w:sz w:val="18"/>
          <w:szCs w:val="18"/>
          <w:color w:val="auto"/>
        </w:rPr>
        <w:t xml:space="preserve"> U</w:t>
      </w:r>
      <w:r>
        <w:rPr>
          <w:rFonts w:ascii="Arial" w:cs="Arial" w:eastAsia="Arial" w:hAnsi="Arial"/>
          <w:sz w:val="14"/>
          <w:szCs w:val="14"/>
          <w:color w:val="auto"/>
        </w:rPr>
        <w:t>NSECURED</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ACILITY</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September 30, 2015, there was $155,919 of borrowing capacity available under the Company's credit agreement with a syndicate of commercial banks, with Key Bank National Association acting as the administrative agent. The Company can borrow up to $200,000 based on the Company's consolidated EBITDA for the trailing four quarters and subject to compliance with the financial covenants in the credit agreement. There were no borrowings outstanding on the credit agreement; however, there were outstanding letters of credit of $4,858. The Company was in compliance with all covenants and conditions under the credit agreement.</w:t>
      </w:r>
    </w:p>
    <w:p>
      <w:pPr>
        <w:spacing w:after="0" w:line="21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11,424 shares at September 30, 2015.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2,862 shares available for future grant under the 2005 Plan at September 30, 2015.</w:t>
      </w:r>
    </w:p>
    <w:p>
      <w:pPr>
        <w:spacing w:after="0" w:line="8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As part of the Company's ongoing annual equity grant program for employees, the Company grants performance-based restricted stock awards to certain executives pursuant to the 2005 Plan. These performance awards vest over a three or four year requisite service period subject to the achievement of specific financial performance targets related to adjusted EBITDA as a percentage of revenue. Based on the performance targets, these awards require graded vesting that results in more rapid expense recognition compared to traditional time-based vesting over the same vesting period. The Company monitors the probability of achieving the performance targets on a quarterly basis and may adjust periodic compensation expense accordingly.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no shares issued under the ESPP during the three months ended September 30, 2015 and 2014, respectively. Shares available for future purchase under the ESPP totaled 85 at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4"/>
              </w:rPr>
              <w:t>Number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43"/>
        </w:trPr>
        <w:tc>
          <w:tcPr>
            <w:tcW w:w="73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2015</w:t>
            </w:r>
          </w:p>
        </w:tc>
        <w:tc>
          <w:tcPr>
            <w:tcW w:w="12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13.48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14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10.72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2015</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1,630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12.23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recognized the full expense of its share-based payment plans in the consolidated statements of operations for the three months ended September 30, 2015 and 2014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from continuing operations included in the Company’s consolidated statements of operations:</w:t>
      </w:r>
    </w:p>
    <w:p>
      <w:pPr>
        <w:spacing w:after="0" w:line="204" w:lineRule="exact"/>
        <w:rPr>
          <w:sz w:val="20"/>
          <w:szCs w:val="20"/>
          <w:color w:val="auto"/>
        </w:rPr>
      </w:pPr>
    </w:p>
    <w:p>
      <w:pPr>
        <w:jc w:val="center"/>
        <w:ind w:left="9280"/>
        <w:spacing w:after="0"/>
        <w:rPr>
          <w:sz w:val="20"/>
          <w:szCs w:val="20"/>
          <w:color w:val="auto"/>
        </w:rPr>
      </w:pPr>
      <w:r>
        <w:rPr>
          <w:rFonts w:ascii="Arial" w:cs="Arial" w:eastAsia="Arial" w:hAnsi="Arial"/>
          <w:sz w:val="13"/>
          <w:szCs w:val="13"/>
          <w:b w:val="1"/>
          <w:bCs w:val="1"/>
          <w:color w:val="auto"/>
        </w:rPr>
        <w:t>Three Months Ended September</w:t>
      </w:r>
    </w:p>
    <w:p>
      <w:pPr>
        <w:spacing w:after="0" w:line="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1,966</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2,551</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Share-based compensation expense, net of income taxes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1,632</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The Company utilizes the management approach for determining reportable segments in accordance with the authoritative guidance. The following operating segments were determined based upon the nature of the products offered to customers, the market characteristics of each operating segment and the Company's management structure:</w:t>
      </w:r>
    </w:p>
    <w:p>
      <w:pPr>
        <w:spacing w:after="0" w:line="52"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Mercury Commercial Electronics (“MCE”): this operating segment designs, develops and builds open sensor processing products and subsystems that include embedded processing modules and subsystems, RF and microwave multi-function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ind w:left="660" w:right="20"/>
        <w:spacing w:after="0" w:line="324" w:lineRule="auto"/>
        <w:rPr>
          <w:sz w:val="20"/>
          <w:szCs w:val="20"/>
          <w:color w:val="auto"/>
        </w:rPr>
      </w:pPr>
      <w:r>
        <w:rPr>
          <w:rFonts w:ascii="Arial" w:cs="Arial" w:eastAsia="Arial" w:hAnsi="Arial"/>
          <w:sz w:val="18"/>
          <w:szCs w:val="18"/>
          <w:color w:val="auto"/>
        </w:rPr>
        <w:t>assemblies as well as subsystems, and RF and microwave components. MCE also provides technology building blocks to Mercury Defense Systems on key classified and unclassified programs.</w:t>
      </w:r>
    </w:p>
    <w:p>
      <w:pPr>
        <w:spacing w:after="0" w:line="8" w:lineRule="exact"/>
        <w:rPr>
          <w:sz w:val="20"/>
          <w:szCs w:val="20"/>
          <w:color w:val="auto"/>
        </w:rPr>
      </w:pPr>
    </w:p>
    <w:p>
      <w:pPr>
        <w:jc w:val="both"/>
        <w:ind w:left="660" w:hanging="355"/>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Mercury Defense Systems (“MDS”): this operating segment provides significant capabilities relating to pre-integrated, open, more affordable EW, EA and ECM subsystems, significant capabilities in signals intelligence, EO/IR processing technologies, and radar environment test and simulation systems, leveraging commercially available technologies and solutions (or “building blocks”) from the MCE business and other commercial suppliers.</w:t>
      </w:r>
    </w:p>
    <w:p>
      <w:pPr>
        <w:spacing w:after="0" w:line="5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operating segments were evaluated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in order to determine which operating segments qualified as reportable segments. The Company determined that both MCE and MDS met the quantitative thresholds for reporting.</w:t>
      </w:r>
    </w:p>
    <w:p>
      <w:pPr>
        <w:spacing w:after="0" w:line="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EBITDA is defined as income from continuing operations before interest income and expense, income taxes, depreciation, amortization of intangible assets, restructuring and other charges, impairment of long-lived assets, acquisition and financing costs, fair value adjustments from purchase accounting, litigation and settlement expenses, and stock-based compensation expense.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MCE</w:t>
            </w: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MDS</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SEPTEMBER 30, 2015</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50,005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8,017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58,409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53,022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58,409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11,456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THREE MONTHS ENDED SEPTEMBER 30, 2014</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54,061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54,061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7,289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8,003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reconciles the Company’s income from continuing operations, the most directly comparable GAAP financial measure, to its adjusted EBITDA:</w:t>
      </w:r>
    </w:p>
    <w:p>
      <w:pPr>
        <w:spacing w:after="0" w:line="216" w:lineRule="exact"/>
        <w:rPr>
          <w:sz w:val="20"/>
          <w:szCs w:val="20"/>
          <w:color w:val="auto"/>
        </w:rPr>
      </w:pPr>
    </w:p>
    <w:p>
      <w:pPr>
        <w:jc w:val="center"/>
        <w:ind w:left="9280"/>
        <w:spacing w:after="0"/>
        <w:rPr>
          <w:sz w:val="20"/>
          <w:szCs w:val="20"/>
          <w:color w:val="auto"/>
        </w:rPr>
      </w:pPr>
      <w:r>
        <w:rPr>
          <w:rFonts w:ascii="Arial" w:cs="Arial" w:eastAsia="Arial" w:hAnsi="Arial"/>
          <w:sz w:val="13"/>
          <w:szCs w:val="13"/>
          <w:b w:val="1"/>
          <w:bCs w:val="1"/>
          <w:color w:val="auto"/>
        </w:rPr>
        <w:t>Three Months Ended September</w:t>
      </w:r>
    </w:p>
    <w:p>
      <w:pPr>
        <w:spacing w:after="0" w:line="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4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Interest (income) expense, net</w:t>
            </w: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Acquisition and financing costs</w:t>
            </w: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adjustments from purchase accounting</w:t>
            </w:r>
          </w:p>
        </w:tc>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Litigation and settlement expenses</w:t>
            </w: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4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44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11,841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8,003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480" w:type="dxa"/>
            <w:vAlign w:val="bottom"/>
            <w:vMerge w:val="restart"/>
          </w:tcPr>
          <w:p>
            <w:pPr>
              <w:jc w:val="right"/>
              <w:ind w:right="337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4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SEPTEMBER 30, 2015</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57,362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58,409</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58,616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58,409</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SEPTEMBER 30, 2014</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53,085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54,061</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53,668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54,061</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Asia Pacific</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13,493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13,127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13,226</w:t>
            </w:r>
          </w:p>
        </w:tc>
      </w:tr>
      <w:tr>
        <w:trPr>
          <w:trHeight w:val="351"/>
        </w:trPr>
        <w:tc>
          <w:tcPr>
            <w:tcW w:w="6080" w:type="dxa"/>
            <w:vAlign w:val="bottom"/>
            <w:gridSpan w:val="4"/>
          </w:tcPr>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8800" w:type="dxa"/>
            <w:vAlign w:val="bottom"/>
            <w:gridSpan w:val="10"/>
          </w:tcPr>
          <w:p>
            <w:pPr>
              <w:ind w:left="440"/>
              <w:spacing w:after="0"/>
              <w:rPr>
                <w:sz w:val="20"/>
                <w:szCs w:val="20"/>
                <w:color w:val="auto"/>
              </w:rPr>
            </w:pPr>
            <w:r>
              <w:rPr>
                <w:rFonts w:ascii="Arial" w:cs="Arial" w:eastAsia="Arial" w:hAnsi="Arial"/>
                <w:sz w:val="18"/>
                <w:szCs w:val="18"/>
                <w:color w:val="auto"/>
                <w:w w:val="96"/>
              </w:rPr>
              <w:t>Customers comprising 10% or more of the Company’s revenues for the periods shown below are as follows: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07"/>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r>
      <w:tr>
        <w:trPr>
          <w:trHeight w:val="264"/>
        </w:trPr>
        <w:tc>
          <w:tcPr>
            <w:tcW w:w="47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Company</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Lockheed Martin Corporation</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924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92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Patriot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SEWIP</w:t>
            </w: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9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F-35</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Aegis</w:t>
            </w: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24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"assumes,"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due to performance quality issues with outsourced components, inability to fully realize the expected benefits from acquisitions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2015.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Mercury Systems, Inc. is a leading high-tech commercial provider of more affordable secure and sensor processing subsystems designed and made in the U.S.A. powering today's critical defense and intelligence applications. We deliver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and Reaper. Our organizational structure allows us to deliver capabilities that combine technology building blocks and deep domain expertise in the defense sector. We believe our total portfolio of services and solutions is unique in the industry for a commercial company. We operate across a broad spectrum of defense programs and deliver our solutions and services via two operating segments: (i) Mercury Commercial Electronics; and (ii) Mercury Defense Systems. During the third quarter of fiscal 2015, we completed the sale of the Mercury Intelligence Systems (“MIS”) operating segment. Consequently, its operating results are included in discontinued operations for all periods presented (see Note C to the consolidated financial statements).</w:t>
      </w:r>
    </w:p>
    <w:p>
      <w:pPr>
        <w:spacing w:after="0" w:line="5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2015, we had 635 employees. Our revenue, income from continuing operations, and adjusted EBITDA for the three month period ended September 30, 2015 were $58.4 million, $2.0 million, and $11.8 million, respectively. See the Non-GAAP Financial Measures section for a reconciliation of our income from continuing operations to adjusted EBITDA.</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("MCE") and (ii) Mercury Defense Systems ("MDS").</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Mercury Commercial Electronics, </w:t>
      </w:r>
      <w:r>
        <w:rPr>
          <w:rFonts w:ascii="Arial" w:cs="Arial" w:eastAsia="Arial" w:hAnsi="Arial"/>
          <w:sz w:val="18"/>
          <w:szCs w:val="18"/>
          <w:color w:val="auto"/>
        </w:rPr>
        <w:t>or MCE, designs, develops and builds open sensor processing products and subsystems that include embedded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modules and subsystems, radio frequency (“RF”) and microwave multi-function assemblies as well as subsystems, and RF and microwave components.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September 30, 2015, MCE accounted for 86% of our total net revenues.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Mercury Defense Systems, </w:t>
      </w:r>
      <w:r>
        <w:rPr>
          <w:rFonts w:ascii="Arial" w:cs="Arial" w:eastAsia="Arial" w:hAnsi="Arial"/>
          <w:sz w:val="18"/>
          <w:szCs w:val="18"/>
          <w:color w:val="auto"/>
        </w:rPr>
        <w:t>or MDS, provides significant capabilities relating to pre-integrated, open, more affordable electronic warfare ("EW"),</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attack ("EA") and electronic counter measure ("ECM") subsystems, significant capabilities in signals intelligence ("SIGINT"), electro-optical/infrared ("EO/IR") processing technologies, and radar environment test and simulation systems.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September 30, 2015, MDS accounted for 14% of our total net revenues.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have limited ability to identify sequential quarterly trends, even within our operating segments.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2015 compared to the three months ended September 30, 2014</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As a % of</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5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Total Net</w:t>
            </w:r>
          </w:p>
        </w:tc>
        <w:tc>
          <w:tcPr>
            <w:tcW w:w="40" w:type="dxa"/>
            <w:vAlign w:val="bottom"/>
          </w:tcPr>
          <w:p>
            <w:pPr>
              <w:spacing w:after="0"/>
              <w:rPr>
                <w:sz w:val="12"/>
                <w:szCs w:val="12"/>
                <w:color w:val="auto"/>
              </w:rPr>
            </w:pPr>
          </w:p>
        </w:tc>
        <w:tc>
          <w:tcPr>
            <w:tcW w:w="14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September 30, 2014</w:t>
            </w:r>
          </w:p>
        </w:tc>
        <w:tc>
          <w:tcPr>
            <w:tcW w:w="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5480" w:type="dxa"/>
            <w:vAlign w:val="bottom"/>
            <w:gridSpan w:val="3"/>
            <w:vMerge w:val="continue"/>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Revenue</w:t>
            </w:r>
          </w:p>
        </w:tc>
        <w:tc>
          <w:tcPr>
            <w:tcW w:w="40" w:type="dxa"/>
            <w:vAlign w:val="bottom"/>
          </w:tcPr>
          <w:p>
            <w:pPr>
              <w:spacing w:after="0"/>
              <w:rPr>
                <w:sz w:val="13"/>
                <w:szCs w:val="13"/>
                <w:color w:val="auto"/>
              </w:rPr>
            </w:pPr>
          </w:p>
        </w:tc>
        <w:tc>
          <w:tcPr>
            <w:tcW w:w="14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8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30,880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30,062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7,951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costs and other related expenses</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4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24,398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Other income (expenses), net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Tax provision</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40" w:type="dxa"/>
            <w:vAlign w:val="bottom"/>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September 30, 2015</w:t>
            </w:r>
          </w:p>
        </w:tc>
        <w:tc>
          <w:tcPr>
            <w:tcW w:w="100" w:type="dxa"/>
            <w:vAlign w:val="bottom"/>
          </w:tcPr>
          <w:p>
            <w:pPr>
              <w:spacing w:after="0"/>
              <w:rPr>
                <w:sz w:val="24"/>
                <w:szCs w:val="24"/>
                <w:color w:val="auto"/>
              </w:rPr>
            </w:pPr>
          </w:p>
        </w:tc>
        <w:tc>
          <w:tcPr>
            <w:tcW w:w="144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 2014</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4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MDS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54,061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Total revenues increased $4.3 million, or 8%, to $58.4 million during the three months ended September 30, 2015 as compared to the same period in fiscal 2015. This increase was driven by higher defense sales of $6.3 million partially offset by lower commercial sales of $2.0 million. The increase in total revenues is primarily attributed to higher revenues from the P-8 and Reaper programs partially offset by lower SEWIP revenue. International revenues, which consist of foreign military sales through prime defense contractor customers and direct sales to non-U.S. based customers, decreased $2.0 million to $8.4 million during the three months ended September 30, 2015, compared to $10.4 million in the same period in the prior fiscal year. The decrease was primarily driven by lower revenues from the Patriot program and commercial sales. International revenues represented 14% and 19% of total revenues during the three months ended September 30, 2015 and 2014, respectively.</w:t>
      </w:r>
    </w:p>
    <w:p>
      <w:pPr>
        <w:spacing w:after="0" w:line="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MCE revenues increased $1.4 million, or 3%, during the three months ended September 30, 2015 as compared to the same period in the prior fiscal year. This increase was primarily driven by higher P-8 and Reaper program revenues partially offset by lower SEWIP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jc w:val="both"/>
        <w:ind w:right="20" w:firstLine="432"/>
        <w:spacing w:after="0" w:line="277" w:lineRule="auto"/>
        <w:rPr>
          <w:sz w:val="20"/>
          <w:szCs w:val="20"/>
          <w:color w:val="auto"/>
        </w:rPr>
      </w:pPr>
      <w:r>
        <w:rPr>
          <w:rFonts w:ascii="Arial" w:cs="Arial" w:eastAsia="Arial" w:hAnsi="Arial"/>
          <w:sz w:val="18"/>
          <w:szCs w:val="18"/>
          <w:color w:val="auto"/>
        </w:rPr>
        <w:t>Net MDS revenues increased $2.6 million, or 49%, during the three months ended September 30, 2015 as compared to the same period in the previous fiscal year. This increase was primarily driven by strength in an airborne surveillance program in the most recent quarter.</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margin was 47.1% for the three months ended September 30, 2015, an increase of 270 basis points from the 44.4% gross margin achieved during the same period in fiscal 2015. The higher gross margin between years was due to changes in product mix, including stronger revenues from certain higher-margin digital processing products and programs within MCE during the three months ended September 30, 2015 as compared to the same period in the prior fiscal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Selling, general and administrative expenses decreased $0.2 million, or 1%, to $12.1 million during the three months ended September 30, 2015, compared to $12.3 million in the same period in fiscal 2015. The decrease was primarily due to operating leverage. Selling, general and administrative expenses decreased as a percentage of revenues to 20.8% during the three months ended September 30, 2015 from 22.7% during the same period in fiscal 2015 due to higher revenues in the first quarter of fiscal 2016 coupled with overall expense reductions, as compared to the same period in fiscal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Research and development expenses increased approximately $0.1 million, or 2%, to $8.1 million during the three months ended September 30, 2015, compared to $8.0 million during the same period in fiscal 2015. The increase was primarily due to higher equipment purchases.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Restructuring and other charges decreased approximately $1.0 million, or 73%, to $0.3 million during the three months ended September 30, 2015, compared to $1.3 million during the same period in fiscal 2015. The decrease was driven by lower severance and facility costs in the first quarter of fiscal 2016 as our acquisition integration activities were completed during fiscal 2015. The first quarter of fiscal 2015 included the second phase of the Chelmsford, Massachusetts headquarters consolidation and related severance activities. We will incur nominal, periodic restructuring charges through fiscal 2017 in our MCE reportable segment if we are unable to sublease the unoccupied portion of our headquarters.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incurred $2.1 million of acquisition costs and other related expenses during the three months ended September 30, 2015, compared to $0.0 million during the same period in fiscal 2015. We expect to incur acquisition costs and other related expenses periodically as we continue to look for acquisition opportunities to expand our capabilities within RF, microwave, and embedded processing with a goal to assemble differentiated capabilities across the entire sensor processing chain.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income, net increased $0.1 million during the three months ended September 30, 2015, as compared to the same period in fiscal 2015. Both periods include $0.3 million related to the amortization of the gain on the sale leaseback of our corporate headquarters. These gains were offset by $0.2 million in bank fees during the three months ended September 30, 2015 which were classified as selling, general, and administrative expenses in periods prior to the third quarter of fiscal 2015, and a $0.3 million write off of an escrow receivable in the first quarter of fiscal 2015. Interest income and interest expense were de minimis.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recorded an income tax provision of $1.3 million during the three months ended September 30, 2015 as compared to an income tax provision of $0.0 million for the same period in the prior fiscal year. Our effective tax rates for the three months ended September 30, 2015 and 2014 differed from the federal statutory tax rate of 35% primarily due to the domestic manufacturing deduction, stock compensation, and state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ISCONTINUED</w:t>
      </w:r>
      <w:r>
        <w:rPr>
          <w:rFonts w:ascii="Arial" w:cs="Arial" w:eastAsia="Arial" w:hAnsi="Arial"/>
          <w:sz w:val="18"/>
          <w:szCs w:val="18"/>
          <w:color w:val="auto"/>
        </w:rPr>
        <w:t xml:space="preserve"> O</w:t>
      </w:r>
      <w:r>
        <w:rPr>
          <w:rFonts w:ascii="Arial" w:cs="Arial" w:eastAsia="Arial" w:hAnsi="Arial"/>
          <w:sz w:val="14"/>
          <w:szCs w:val="14"/>
          <w:color w:val="auto"/>
        </w:rPr>
        <w:t>PERATIONS</w:t>
      </w:r>
    </w:p>
    <w:p>
      <w:pPr>
        <w:spacing w:after="0" w:line="104"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completed the sale of our MIS operating segment during the third quarter of fiscal 2015 and have ceased continuing involvement in operations of MIS after its divestiture. During the three months ended September 30, 2014, we incurred a loss from discontinued operations of $0.2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use adjusted EBITDA as the profitability measure for our segment reporting. Adjusted EBITDA for MCE increased $4.2 million during the three months ended September 30, 2015 to $11.5 million as compared to $7.3 million for the comparable period in fiscal 2015. The increase in adjusted EBITDA was driven by higher revenues of $1.4 million primarily from the P-8 and Reaper programs, coupled with higher margins from a change in product mix.</w:t>
      </w:r>
    </w:p>
    <w:p>
      <w:pPr>
        <w:spacing w:after="0" w:line="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EBITDA for MDS was $0.5 million during the three months ended September 30, 2015 and 2014. MDS revenue increased $2.6 million during the three months ended September 30, 2015 compared to the same period in fiscal 2015, partially offset by lower gross margin as a percentage of revenue in the first quarter of fiscal 2016.</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L to our consolidated financial statements included in this report for more information regarding our 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primary source of liquidity comes from existing cash and cash generated from operations. Our near-term fixed commitments for cash expenditures consist primarily of payments under operating leases and inventory purchase commitments with our contract manufacturers. We currently do not have any material commitments for capital expenditures.</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15, 2014, we filed a shelf registration statement on Form S-3 with the SEC. The shelf registration statement, which has been declared effective by the SEC, registered up to $500.0 million of debt securities, preferred stock, common stock, warrants and units. We intend to use the proceeds from a financing using the shelf registration statement for general corporate purposes, which may include the following:</w:t>
      </w:r>
    </w:p>
    <w:p>
      <w:pPr>
        <w:spacing w:after="0" w:line="73" w:lineRule="exact"/>
        <w:rPr>
          <w:sz w:val="20"/>
          <w:szCs w:val="20"/>
          <w:color w:val="auto"/>
        </w:rPr>
      </w:pPr>
    </w:p>
    <w:p>
      <w:pPr>
        <w:ind w:left="980" w:hanging="56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September 30, 2015, there was $155.9 million of borrowing capacity available under our credit agreement with a syndicate of commercial banks, with Key Bank National Association acting as the administrative agent. The credit agreement provides for borrowing up to a maximum $200.0 million based on the Company's consolidated EBITDA for the trailing four quarters and subject to compliance with the financial covenants in the credit agreement. There were no borrowings outstanding on the credit agreement; however, there were outstanding letters of credit of $4.9 million. We were in compliance with all covenants and conditions under the credit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5"/>
              </w:rPr>
              <w:t>As Of and For the Three</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center"/>
              <w:ind w:right="253"/>
              <w:spacing w:after="0" w:line="149" w:lineRule="exact"/>
              <w:rPr>
                <w:sz w:val="20"/>
                <w:szCs w:val="20"/>
                <w:color w:val="auto"/>
              </w:rPr>
            </w:pPr>
            <w:r>
              <w:rPr>
                <w:rFonts w:ascii="Arial" w:cs="Arial" w:eastAsia="Arial" w:hAnsi="Arial"/>
                <w:sz w:val="14"/>
                <w:szCs w:val="14"/>
                <w:b w:val="1"/>
                <w:bCs w:val="1"/>
                <w:color w:val="auto"/>
                <w:w w:val="93"/>
              </w:rPr>
              <w:t>Month Period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2,178</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1,589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79,073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48,876</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Our cash and cash equivalents increased by $1.5 million from June 30, 2015 to September 30, 2015, primarily as a result of $5.6 million in cash generated from operating activities, partially offset by $1.9 million in capital expenditures and $3.7 million in payments for the retirement of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the three months ended September 30, 2015, we generated $5.6 million in cash from operating activities, an increase of $3.4 million when compared to $2.2 million in cash generated from operating activities during the same period in fiscal 2015. During the three months ended September 30, 2015, we generated $1.5 million in higher comparable net income, generated $6.4 million more cash from the timing of payables, used $4.3 million less cash for prepaid expenses and other current assets, and generated $3.2 million more cash from deferred revenue and customer advances as compared to the same period in the prior year. These increases were partially offset by the timing of accounts receivable collections of $8.5 million and $3.6 million in higher inventory.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September 30, 2015, we used $2.1 million in investing activities compared to $0.9 million during the same period in fiscal 2015. The increase was primarily driven by $1.0 million higher capital expenditures in the first quarter of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three months ended September 30, 2015, we used $2.1 million in financing activities compared to $0.4 million generated from financing activities during the same period in fiscal 2015. The $2.5 million increase in cash used in financing activities was primarily due to $3.7 million in payments for the retirement of common stock, partially offset by a $0.7 million increase in excess tax benefits from stock-based compensation and a $0.4 million increase in proceeds from our employee stock plan during the three months ended September 30, 2015.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September 30,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7"/>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37,530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4,514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64,462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a liability at September 30, 2015 of $2.2 million for uncertain tax positions that have been taken or are expected to be taken in various income tax returns. We do not know the ultimate resolution on these uncertain tax positions and as such, do not know the ultimate timing of payments related to this liability. Accordingly, these amounts are not included in the above table.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commitments covered by these agreements are for less than one year and aggregated approximately $26.9 million at September 30, 2015.</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jc w:val="both"/>
        <w:ind w:firstLine="432"/>
        <w:spacing w:after="0" w:line="302"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sale of our former MIS operating segment, we provided indemnification to the buyer of the business. Our indemnification obligations generally cover the buyer for damages resulting from breaches of representations, warranties and covenants contained in the purchase and sale agreement and generally cover pre-closing tax liabilities of the business. Our indemnification obligations regarding the MIS operating segment are generally subject to caps.</w:t>
      </w:r>
    </w:p>
    <w:p>
      <w:pPr>
        <w:spacing w:after="0" w:line="7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our statement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September 30, 2015, we had approximately $11.0 million in net deferred tax assets. Each quarter, we determine the probability of realizing these assets, using significant judgments and estimates with respect to historical operating results, expectations of future earnings, tax planning strategies and other matters. If we determine in the future that there is not sufficient positive evidence to support the valuation of these assets, we may be required to adjust the valuation allowance accordingly. We continue to conclude that it is more likely than not that most domestic deferred tax assets would be realizable based on current financial performance, projected future taxable income and the reversal of existing deferred tax liabilities.</w:t>
      </w:r>
    </w:p>
    <w:p>
      <w:pPr>
        <w:spacing w:after="0" w:line="6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continue to record a full valuation allowance on certain state research and development and investment tax credits, and capital loss carryforwards as of September 30, 2015 as management continues to believe that it is not more likely than not that these deferred tax assets would be realized. Any future reversals of the valuation allowance will impact income tax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our periodic communications, we discuss four important measures that are not calculated according to U.S. generally accepted accounting principles (“GAAP”), adjusted EBITDA, free cash flow, adjusted income from continuing operations, and adjusted earnings per share ("adjusted EPS").</w:t>
      </w:r>
    </w:p>
    <w:p>
      <w:pPr>
        <w:spacing w:after="0" w:line="3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Adjusted EBITDA, the profitability measure for our segment reporting, is defined as income from continuing operations before interest income and expense, income taxes, depreciation, amortization of intangible assets, restructuring and other charges, impairment of long-lived assets, acquisition and financing costs, fair value adjustments from purchase accounting, litigation and settlement expenses and stock-based compensation expense. We use adjusted EBITDA as an important indicator of the operating performance of our business. We exclude the above-described items from our internal forecasts and models when establishing internal operating budgets, supplementing the financial results and forecasts reported to our board of directors, determining the portion of bonus compensation for executive officers and other key employees based on operating performance, evaluating short-term and long-term operating trends in our operations, and allocating resources to various initiatives and operational requirements. We believe the adjusted EBITDA financial measure permits a comparative assessment of our operating performance, relative to our performance based on our GAAP results, while isolating the effects of charges that may vary from period to period without any correlation to underlying operating performance. We believe that these non-GAAP financial adjustments are useful to investors because they allow investors to evaluate the effectiveness of the methodology and information used by management in our financial and operational decision-making. We believe that trends in our adjusted EBITDA are valuable indicators of our operating performance.</w:t>
      </w:r>
    </w:p>
    <w:p>
      <w:pPr>
        <w:spacing w:after="0" w:line="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jc w:val="both"/>
        <w:spacing w:after="0" w:line="342" w:lineRule="auto"/>
        <w:rPr>
          <w:sz w:val="20"/>
          <w:szCs w:val="20"/>
          <w:color w:val="auto"/>
        </w:rPr>
      </w:pPr>
      <w:r>
        <w:rPr>
          <w:rFonts w:ascii="Arial" w:cs="Arial" w:eastAsia="Arial" w:hAnsi="Arial"/>
          <w:sz w:val="16"/>
          <w:szCs w:val="16"/>
          <w:color w:val="auto"/>
        </w:rPr>
        <w:t>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our income from continuing operations, the most directly comparable GAAP financial measure, to our adjusted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56"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Interest (income) expense,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Acquisition and financing costs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Fair value adjustments from purchase accounting</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Litigation and settlement expenses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w:t>
            </w:r>
          </w:p>
        </w:tc>
      </w:tr>
      <w:tr>
        <w:trPr>
          <w:trHeight w:val="23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11,841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8,003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7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82"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2,178</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3,746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Adjusted income from continuing operations and adjusted EPS are non-GAAP financial measures for reporting financial performance, exclude the impact of certain items and, therefore, have not been calculated in accordance with GAAP. We believe that exclusion of these items assists in providing a more complete understanding of our underlying continuing operations results and trends and allows for comparability with our peer company index and industry. We use these measures along with the corresponding GAAP financial measures to manage our business and to evaluate our performance compared to prior periods and the marketplace. We define adjusted income from continuing operations as income from continuing operations before amortization of intangible assets, restructuring and other charges, impairment of long-lived assets, acquisition and financing costs, fair value adjustments from purchase accounting, litigation and settlement expenses, stock-based compensation expense, and the tax impact of those items. Adjusted EPS expresses adjusted income from continuing operations on a per share basis using weighted average diluted shares outstanding.</w:t>
      </w:r>
    </w:p>
    <w:p>
      <w:pPr>
        <w:spacing w:after="0" w:line="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income from continuing operations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jc w:val="both"/>
        <w:spacing w:after="0" w:line="308" w:lineRule="auto"/>
        <w:rPr>
          <w:sz w:val="20"/>
          <w:szCs w:val="20"/>
          <w:color w:val="auto"/>
        </w:rPr>
      </w:pPr>
      <w:r>
        <w:rPr>
          <w:rFonts w:ascii="Arial" w:cs="Arial" w:eastAsia="Arial" w:hAnsi="Arial"/>
          <w:sz w:val="17"/>
          <w:szCs w:val="17"/>
          <w:color w:val="auto"/>
        </w:rPr>
        <w:t>to incur expenses similar to the adjusted income from continuing operations and adjusted EPS financial adjustments described above, and investors should not infer from our presentation of these non-GAAP financial measures that these costs are unusual, infrequent or non-recurring.</w:t>
      </w:r>
    </w:p>
    <w:p>
      <w:pPr>
        <w:spacing w:after="0" w:line="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reconciles income from continuing operations and diluted net earnings per share, the most directly comparable GAAP measures, to adjusted income from continuing operations and adjusted EPS: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29"/>
        </w:trPr>
        <w:tc>
          <w:tcPr>
            <w:tcW w:w="65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w w:val="89"/>
              </w:rPr>
              <w:t>2015</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w w:val="89"/>
              </w:rPr>
              <w:t>2014</w:t>
            </w:r>
          </w:p>
        </w:tc>
        <w:tc>
          <w:tcPr>
            <w:tcW w:w="8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and earnings per share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0.06</w:t>
            </w:r>
          </w:p>
        </w:tc>
        <w:tc>
          <w:tcPr>
            <w:tcW w:w="5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43"/>
        </w:trPr>
        <w:tc>
          <w:tcPr>
            <w:tcW w:w="40" w:type="dxa"/>
            <w:vAlign w:val="bottom"/>
          </w:tcPr>
          <w:p>
            <w:pPr>
              <w:spacing w:after="0"/>
              <w:rPr>
                <w:sz w:val="21"/>
                <w:szCs w:val="21"/>
                <w:color w:val="auto"/>
              </w:rPr>
            </w:pPr>
          </w:p>
        </w:tc>
        <w:tc>
          <w:tcPr>
            <w:tcW w:w="6500" w:type="dxa"/>
            <w:vAlign w:val="bottom"/>
            <w:gridSpan w:val="2"/>
          </w:tcPr>
          <w:p>
            <w:pPr>
              <w:ind w:left="1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and other charges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Impairment of long-lived assets</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and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Fair value adjustments from purchase accounting</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Litigation and settlement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Impact to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297"/>
        </w:trPr>
        <w:tc>
          <w:tcPr>
            <w:tcW w:w="65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Adjusted income from continuing operations and adjusted earnings per share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0.13</w:t>
            </w:r>
          </w:p>
        </w:tc>
      </w:tr>
      <w:tr>
        <w:trPr>
          <w:trHeight w:val="311"/>
        </w:trPr>
        <w:tc>
          <w:tcPr>
            <w:tcW w:w="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6540" w:type="dxa"/>
            <w:vAlign w:val="bottom"/>
            <w:gridSpan w:val="3"/>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33,616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32,481</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on July 1, 2018 and can be early adopted for the fiscal year beginning July 1, 2017.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8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beginning after December 15, 2016, and interim periods thereafter, with early adoption permitted. We do not expect a going concern uncertainty in the foreseeable future, and therefore this guidance is not expected to have a material impact to our consolidated financial statements.</w:t>
      </w:r>
    </w:p>
    <w:p>
      <w:pPr>
        <w:spacing w:after="0" w:line="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January 2015, the FASB issued ASU No. 2015-01, </w:t>
      </w:r>
      <w:r>
        <w:rPr>
          <w:rFonts w:ascii="Arial" w:cs="Arial" w:eastAsia="Arial" w:hAnsi="Arial"/>
          <w:sz w:val="17"/>
          <w:szCs w:val="17"/>
          <w:i w:val="1"/>
          <w:iCs w:val="1"/>
          <w:color w:val="auto"/>
        </w:rPr>
        <w:t>Simplifying Income Statement Presentation by Eliminating the Concept of Extraordinary Items,</w:t>
      </w:r>
      <w:r>
        <w:rPr>
          <w:rFonts w:ascii="Arial" w:cs="Arial" w:eastAsia="Arial" w:hAnsi="Arial"/>
          <w:sz w:val="17"/>
          <w:szCs w:val="17"/>
          <w:color w:val="auto"/>
        </w:rPr>
        <w:t xml:space="preserve"> an amendment of the FASB Accounting Standards Codification. This ASU eliminates the separate presentation of extraordinary items, net of tax and the related earnings per share, but does not affect the requirement to disclose material items that are unusual in nature or infrequently occurring. The ASU aligns U.S. GAAP more closely with IFRS (International Financial Reporting Standards). Entities will continue to evaluate whether items are unusual in nature or infrequent in their occurrence for disclosure purposes and when estimating the annual effective tax rate for interim reporting purposes. This ASU is effective for fiscal years, and interim periods within those fiscal years, beginning after December 15, 2015. The ASU allows prospective or retrospective applications. Early adoption is permitted if applied from the beginning of the fiscal year of adoption. We do not expect this guidance to have a material impact to our consolidated financial statements.</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an amendment of the FASB Accounting Standards Codification. This ASU changes the measurement principle for inventory from the lower of cost or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The ASU is effective for public business entities for fiscal years beginning after December 15, 2016, and interim periods within those years. The ASU requires prospective adoption and permits early adoption. We are evaluating the effect that ASU 2015-11 will have on our consolidated financial statements.</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September 2015, the FASB issued ASU No. 2015-16, </w:t>
      </w:r>
      <w:r>
        <w:rPr>
          <w:rFonts w:ascii="Arial" w:cs="Arial" w:eastAsia="Arial" w:hAnsi="Arial"/>
          <w:sz w:val="18"/>
          <w:szCs w:val="18"/>
          <w:i w:val="1"/>
          <w:iCs w:val="1"/>
          <w:color w:val="auto"/>
        </w:rPr>
        <w:t>Simplifying the Accounting for Measurement-Period Adjustments,</w:t>
      </w:r>
      <w:r>
        <w:rPr>
          <w:rFonts w:ascii="Arial" w:cs="Arial" w:eastAsia="Arial" w:hAnsi="Arial"/>
          <w:sz w:val="18"/>
          <w:szCs w:val="18"/>
          <w:color w:val="auto"/>
        </w:rPr>
        <w:t xml:space="preserve"> an amendment of the FASB Accounting Standards Codification. This ASU eliminates the requirement for an acquirer to retrospectively adjust the financial statements for measurement-period adjustments that occur in periods after a business combination is consummated. The ASU is effective for public business entities for annual and interim periods in fiscal years beginning after December 15, 2015. Early adoption is permitted. We do not expect this guidance to have a material impact to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Effective October 1, 2015, we adopted FASB ASU No. 2014-17, </w:t>
      </w:r>
      <w:r>
        <w:rPr>
          <w:rFonts w:ascii="Arial" w:cs="Arial" w:eastAsia="Arial" w:hAnsi="Arial"/>
          <w:sz w:val="18"/>
          <w:szCs w:val="18"/>
          <w:i w:val="1"/>
          <w:iCs w:val="1"/>
          <w:color w:val="auto"/>
        </w:rPr>
        <w:t>Pushdown Accounting (a consensus of the FASB Emerging Issues Task Force),</w:t>
      </w:r>
      <w:r>
        <w:rPr>
          <w:rFonts w:ascii="Arial" w:cs="Arial" w:eastAsia="Arial" w:hAnsi="Arial"/>
          <w:sz w:val="18"/>
          <w:szCs w:val="18"/>
          <w:color w:val="auto"/>
        </w:rPr>
        <w:t xml:space="preserve"> an amendment of the FASB Accounting Standards Codification. This ASU allows an acquired entity to elect to apply pushdown accounting in its separate financial statements on a change-in-control event. The acquired entity elects whether to apply pushdown accounting individually for each change-in-control event, and may apply pushdown accounting during the reporting period in which the change-in-control event occurs. Such adoption did not have any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2015 to September 30, 2015.</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September 30, 2015.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September 30,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2015. There have been no material changes from the factors disclosed in our 2015 Annual Report on Form 10-K filed on August 13, 2015,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940"/>
              <w:spacing w:after="0"/>
              <w:rPr>
                <w:sz w:val="20"/>
                <w:szCs w:val="20"/>
                <w:color w:val="auto"/>
              </w:rPr>
            </w:pPr>
            <w:r>
              <w:rPr>
                <w:rFonts w:ascii="Arial" w:cs="Arial" w:eastAsia="Arial" w:hAnsi="Arial"/>
                <w:sz w:val="18"/>
                <w:szCs w:val="18"/>
                <w:color w:val="auto"/>
                <w:w w:val="99"/>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9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The following materials from the Company’s Quarterly Report on the Form 10-Q for the quarter ended September 30, 2015</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jc w:val="both"/>
        <w:ind w:left="660" w:hanging="607"/>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November 5, 2015.</w:t>
      </w:r>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20"/>
          </w:cols>
          <w:pgMar w:left="240" w:top="580" w:right="9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September 30, 2015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upperLetter"/>
      <w:start w:val="1"/>
    </w:lvl>
  </w:abstractNum>
  <w:abstractNum w:abstractNumId="3">
    <w:nsid w:val="109CF92E"/>
    <w:multiLevelType w:val="hybridMultilevel"/>
    <w:lvl w:ilvl="0">
      <w:lvlJc w:val="left"/>
      <w:lvlText w:val="%1."/>
      <w:numFmt w:val="upperLetter"/>
      <w:start w:val="2"/>
    </w:lvl>
  </w:abstractNum>
  <w:abstractNum w:abstractNumId="4">
    <w:nsid w:val="DED7263"/>
    <w:multiLevelType w:val="hybridMultilevel"/>
    <w:lvl w:ilvl="0">
      <w:lvlJc w:val="left"/>
      <w:lvlText w:val="%1"/>
      <w:numFmt w:val="decimal"/>
      <w:start w:val="838"/>
    </w:lvl>
  </w:abstractNum>
  <w:abstractNum w:abstractNumId="5">
    <w:nsid w:val="7FDCC233"/>
    <w:multiLevelType w:val="hybridMultilevel"/>
    <w:lvl w:ilvl="0">
      <w:lvlJc w:val="left"/>
      <w:lvlText w:val="%1."/>
      <w:numFmt w:val="upperLetter"/>
      <w:start w:val="3"/>
    </w:lvl>
  </w:abstractNum>
  <w:abstractNum w:abstractNumId="6">
    <w:nsid w:val="1BEFD79F"/>
    <w:multiLevelType w:val="hybridMultilevel"/>
    <w:lvl w:ilvl="0">
      <w:lvlJc w:val="left"/>
      <w:lvlText w:val="%1."/>
      <w:numFmt w:val="upperLetter"/>
      <w:start w:val="4"/>
    </w:lvl>
  </w:abstractNum>
  <w:abstractNum w:abstractNumId="7">
    <w:nsid w:val="41A7C4C9"/>
    <w:multiLevelType w:val="hybridMultilevel"/>
    <w:lvl w:ilvl="0">
      <w:lvlJc w:val="left"/>
      <w:lvlText w:val="%1."/>
      <w:numFmt w:val="upperLetter"/>
      <w:start w:val="5"/>
    </w:lvl>
  </w:abstractNum>
  <w:abstractNum w:abstractNumId="8">
    <w:nsid w:val="6B68079A"/>
    <w:multiLevelType w:val="hybridMultilevel"/>
    <w:lvl w:ilvl="0">
      <w:lvlJc w:val="left"/>
      <w:lvlText w:val="%1."/>
      <w:numFmt w:val="upperLetter"/>
      <w:start w:val="6"/>
    </w:lvl>
  </w:abstractNum>
  <w:abstractNum w:abstractNumId="9">
    <w:nsid w:val="4E6AFB66"/>
    <w:multiLevelType w:val="hybridMultilevel"/>
    <w:lvl w:ilvl="0">
      <w:lvlJc w:val="left"/>
      <w:lvlText w:val="%1."/>
      <w:numFmt w:val="upperLetter"/>
      <w:start w:val="7"/>
    </w:lvl>
  </w:abstractNum>
  <w:abstractNum w:abstractNumId="10">
    <w:nsid w:val="25E45D32"/>
    <w:multiLevelType w:val="hybridMultilevel"/>
    <w:lvl w:ilvl="0">
      <w:lvlJc w:val="left"/>
      <w:lvlText w:val="%1."/>
      <w:numFmt w:val="upperLetter"/>
      <w:start w:val="8"/>
    </w:lvl>
  </w:abstractNum>
  <w:abstractNum w:abstractNumId="11">
    <w:nsid w:val="519B500D"/>
    <w:multiLevelType w:val="hybridMultilevel"/>
    <w:lvl w:ilvl="0">
      <w:lvlJc w:val="left"/>
      <w:lvlText w:val="%1."/>
      <w:numFmt w:val="upperLetter"/>
      <w:start w:val="9"/>
    </w:lvl>
  </w:abstractNum>
  <w:abstractNum w:abstractNumId="12">
    <w:nsid w:val="431BD7B7"/>
    <w:multiLevelType w:val="hybridMultilevel"/>
    <w:lvl w:ilvl="0">
      <w:lvlJc w:val="left"/>
      <w:lvlText w:val="%1."/>
      <w:numFmt w:val="upperLetter"/>
      <w:start w:val="10"/>
    </w:lvl>
  </w:abstractNum>
  <w:abstractNum w:abstractNumId="13">
    <w:nsid w:val="3F2DBA31"/>
    <w:multiLevelType w:val="hybridMultilevel"/>
    <w:lvl w:ilvl="0">
      <w:lvlJc w:val="left"/>
      <w:lvlText w:val="%1."/>
      <w:numFmt w:val="upperLetter"/>
      <w:start w:val="11"/>
    </w:lvl>
  </w:abstractNum>
  <w:abstractNum w:abstractNumId="14">
    <w:nsid w:val="7C83E458"/>
    <w:multiLevelType w:val="hybridMultilevel"/>
    <w:lvl w:ilvl="0">
      <w:lvlJc w:val="left"/>
      <w:lvlText w:val="%1."/>
      <w:numFmt w:val="upperLetter"/>
      <w:start w:val="1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upperLetter"/>
      <w:start w:val="13"/>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2019-12-29T14:21:41Z</dcterms:created>
  <dcterms:modified xsi:type="dcterms:W3CDTF">2019-12-29T14:21:41Z</dcterms:modified>
</cp:coreProperties>
</file>