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138" w:lineRule="exact"/>
        <w:rPr>
          <w:sz w:val="24"/>
          <w:szCs w:val="24"/>
          <w:color w:val="auto"/>
        </w:rPr>
      </w:pPr>
    </w:p>
    <w:p>
      <w:pPr>
        <w:ind w:left="720" w:right="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9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14" w:right="419" w:bottom="1440" w:gutter="0" w:footer="0" w:header="0"/>
        </w:sectPr>
      </w:pPr>
    </w:p>
    <w:p>
      <w:pPr>
        <w:spacing w:after="0" w:line="5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02" w:lineRule="exact"/>
        <w:rPr>
          <w:sz w:val="24"/>
          <w:szCs w:val="24"/>
          <w:color w:val="auto"/>
        </w:rPr>
      </w:pPr>
    </w:p>
    <w:p>
      <w:pPr>
        <w:sectPr>
          <w:pgSz w:w="11900" w:h="16838" w:orient="portrait"/>
          <w:cols w:equalWidth="0" w:num="2">
            <w:col w:w="6560" w:space="720"/>
            <w:col w:w="3960"/>
          </w:cols>
          <w:pgMar w:left="240" w:top="214" w:right="4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0-23599</w:t>
      </w:r>
    </w:p>
    <w:p>
      <w:pPr>
        <w:sectPr>
          <w:pgSz w:w="11900" w:h="16838" w:orient="portrait"/>
          <w:cols w:equalWidth="0" w:num="1">
            <w:col w:w="11240"/>
          </w:cols>
          <w:pgMar w:left="240" w:top="214"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7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MERCURY SYSTEMS, INC.</w:t>
      </w:r>
    </w:p>
    <w:p>
      <w:pPr>
        <w:spacing w:after="0" w:line="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04-2741391</w:t>
            </w:r>
          </w:p>
        </w:tc>
      </w:tr>
      <w:tr>
        <w:trPr>
          <w:trHeight w:val="178"/>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CHELMSFORD, MA</w:t>
            </w:r>
          </w:p>
        </w:tc>
        <w:tc>
          <w:tcPr>
            <w:tcW w:w="52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01824</w:t>
            </w:r>
          </w:p>
        </w:tc>
      </w:tr>
      <w:tr>
        <w:trPr>
          <w:trHeight w:val="22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6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978-256-1300</w:t>
            </w:r>
          </w:p>
        </w:tc>
      </w:tr>
      <w:tr>
        <w:trPr>
          <w:trHeight w:val="190"/>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4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14" w:right="419" w:bottom="1440" w:gutter="0" w:footer="0" w:header="0"/>
          <w:type w:val="continuous"/>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14"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14" w:right="419" w:bottom="1440" w:gutter="0" w:footer="0" w:header="0"/>
          <w:type w:val="continuous"/>
        </w:sectPr>
      </w:pPr>
    </w:p>
    <w:p>
      <w:pPr>
        <w:ind w:left="440"/>
        <w:spacing w:after="0" w:line="207" w:lineRule="exact"/>
        <w:tabs>
          <w:tab w:leader="none" w:pos="88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14" w:right="4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Shares of Common Stock outstanding as of April 30, 2015: 34,198,343 shares</w:t>
      </w:r>
    </w:p>
    <w:p>
      <w:pPr>
        <w:sectPr>
          <w:pgSz w:w="11900" w:h="16838" w:orient="portrait"/>
          <w:cols w:equalWidth="0" w:num="1">
            <w:col w:w="11240"/>
          </w:cols>
          <w:pgMar w:left="240" w:top="214" w:right="41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March 31, 2015 and June 30, 2014</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Statements of Operations and Comprehensive Income (Loss) for the three and nine months ended</w:t>
              </w:r>
            </w:hyperlink>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March 31, 2015 and 2014</w:t>
              </w:r>
            </w:hyperlink>
          </w:p>
        </w:tc>
        <w:tc>
          <w:tcPr>
            <w:tcW w:w="6560" w:type="dxa"/>
            <w:vAlign w:val="bottom"/>
            <w:gridSpan w:val="8"/>
          </w:tcPr>
          <w:p>
            <w:pPr>
              <w:spacing w:after="0"/>
              <w:rPr>
                <w:sz w:val="17"/>
                <w:szCs w:val="17"/>
                <w:color w:val="auto"/>
              </w:rPr>
            </w:pPr>
          </w:p>
        </w:tc>
        <w:tc>
          <w:tcPr>
            <w:tcW w:w="1020" w:type="dxa"/>
            <w:vAlign w:val="bottom"/>
          </w:tcPr>
          <w:p>
            <w:pPr>
              <w:jc w:val="right"/>
              <w:spacing w:after="0" w:line="196" w:lineRule="exact"/>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4</w:t>
              </w:r>
            </w:hyperlink>
          </w:p>
        </w:tc>
      </w:tr>
      <w:tr>
        <w:trPr>
          <w:trHeight w:val="574"/>
        </w:trPr>
        <w:tc>
          <w:tcPr>
            <w:tcW w:w="1940" w:type="dxa"/>
            <w:vAlign w:val="bottom"/>
          </w:tcPr>
          <w:p>
            <w:pPr>
              <w:spacing w:after="0"/>
              <w:rPr>
                <w:sz w:val="24"/>
                <w:szCs w:val="24"/>
                <w:color w:val="auto"/>
              </w:rPr>
            </w:pPr>
          </w:p>
        </w:tc>
        <w:tc>
          <w:tcPr>
            <w:tcW w:w="6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Cash Flows for the nine months ended March 31, 2015 and 2014</w:t>
              </w:r>
            </w:hyperlink>
          </w:p>
        </w:tc>
        <w:tc>
          <w:tcPr>
            <w:tcW w:w="1720" w:type="dxa"/>
            <w:vAlign w:val="bottom"/>
            <w:gridSpan w:val="2"/>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Notes to Consolidated Financial Statements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17">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18</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14"/>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Quantitative and Qualitative Disclosures about Market Risk</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28</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w:anchor="page29">
              <w:r>
                <w:rPr>
                  <w:rFonts w:ascii="Times New Roman" w:cs="Times New Roman" w:eastAsia="Times New Roman" w:hAnsi="Times New Roman"/>
                  <w:sz w:val="18"/>
                  <w:szCs w:val="18"/>
                  <w:color w:val="0000FF"/>
                  <w:w w:val="98"/>
                </w:rPr>
                <w:t>Legal Proceedings</w:t>
              </w:r>
            </w:hyperlink>
          </w:p>
        </w:tc>
        <w:tc>
          <w:tcPr>
            <w:tcW w:w="7080" w:type="dxa"/>
            <w:vAlign w:val="bottom"/>
            <w:gridSpan w:val="10"/>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14"/>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Risk Factors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5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6"/>
              </w:rPr>
            </w:pPr>
            <w:hyperlink w:anchor="page29">
              <w:r>
                <w:rPr>
                  <w:rFonts w:ascii="Times New Roman" w:cs="Times New Roman" w:eastAsia="Times New Roman" w:hAnsi="Times New Roman"/>
                  <w:sz w:val="18"/>
                  <w:szCs w:val="18"/>
                  <w:color w:val="0000FF"/>
                  <w:w w:val="96"/>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w:anchor="page29">
              <w:r>
                <w:rPr>
                  <w:rFonts w:ascii="Times New Roman" w:cs="Times New Roman" w:eastAsia="Times New Roman" w:hAnsi="Times New Roman"/>
                  <w:sz w:val="18"/>
                  <w:szCs w:val="18"/>
                  <w:color w:val="0000FF"/>
                  <w:w w:val="97"/>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30</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p>
      <w:pPr>
        <w:jc w:val="right"/>
        <w:ind w:right="440"/>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jc w:val="both"/>
        <w:ind w:left="9120"/>
        <w:spacing w:after="0"/>
        <w:tabs>
          <w:tab w:leader="none" w:pos="1058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p>
      <w:pPr>
        <w:sectPr>
          <w:pgSz w:w="11900" w:h="16838" w:orient="portrait"/>
          <w:cols w:equalWidth="0" w:num="1">
            <w:col w:w="11420"/>
          </w:cols>
          <w:pgMar w:left="240" w:top="576" w:right="239" w:bottom="1440" w:gutter="0" w:footer="0" w:header="0"/>
        </w:sectPr>
      </w:pP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$57 and $34 at March 31, 2015 and June 30,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Unbilled receivables and costs in excess of billings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Non-current assets of discontinued operations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assets</w:t>
            </w: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Deferred revenues and 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gain on sale-leaseback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taxes payable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Commitments and contingencies (Note I)</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Preferred stock, $0.01 par value; 1,000,000 shares authorized; no shares issued or outstanding</w:t>
      </w:r>
    </w:p>
    <w:p>
      <w:pPr>
        <w:spacing w:after="0" w:line="109" w:lineRule="exact"/>
        <w:rPr>
          <w:sz w:val="20"/>
          <w:szCs w:val="20"/>
          <w:color w:val="auto"/>
        </w:rPr>
      </w:pPr>
    </w:p>
    <w:p>
      <w:pPr>
        <w:ind w:left="380" w:right="180"/>
        <w:spacing w:after="0" w:line="261" w:lineRule="auto"/>
        <w:rPr>
          <w:sz w:val="20"/>
          <w:szCs w:val="20"/>
          <w:color w:val="auto"/>
        </w:rPr>
      </w:pPr>
      <w:r>
        <w:rPr>
          <w:rFonts w:ascii="Times New Roman" w:cs="Times New Roman" w:eastAsia="Times New Roman" w:hAnsi="Times New Roman"/>
          <w:sz w:val="14"/>
          <w:szCs w:val="14"/>
          <w:color w:val="auto"/>
        </w:rPr>
        <w:t>Common stock, $0.01 par value; 85,000,000 shares authorized; 32,361,497 and 31,284,273 shares issued and outstanding at March 31, 2015 and June 30,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66,520</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47,287</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47,552</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37,625</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20,475</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22,036</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32,526</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31,655</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13,044</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15,216</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3,981</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r>
      <w:tr>
        <w:trPr>
          <w:trHeight w:val="270"/>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3,661</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r>
    </w:tbl>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—1,374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6"/>
              </w:rPr>
              <w:t>187,759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160,305</w:t>
            </w:r>
          </w:p>
        </w:tc>
      </w:tr>
      <w:tr>
        <w:trPr>
          <w:trHeight w:val="270"/>
        </w:trPr>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264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270"/>
        </w:trPr>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12,391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14,144</w:t>
            </w:r>
          </w:p>
        </w:tc>
      </w:tr>
      <w:tr>
        <w:trPr>
          <w:trHeight w:val="270"/>
        </w:trPr>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6"/>
              </w:rPr>
              <w:t>168,146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168,146</w:t>
            </w:r>
          </w:p>
        </w:tc>
      </w:tr>
      <w:tr>
        <w:trPr>
          <w:trHeight w:val="270"/>
        </w:trPr>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19,739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25,006</w:t>
            </w:r>
          </w:p>
        </w:tc>
      </w:tr>
    </w:tbl>
    <w:p>
      <w:pPr>
        <w:spacing w:after="0" w:line="82" w:lineRule="exact"/>
        <w:rPr>
          <w:sz w:val="20"/>
          <w:szCs w:val="20"/>
          <w:color w:val="auto"/>
        </w:rPr>
      </w:pPr>
    </w:p>
    <w:p>
      <w:pPr>
        <w:ind w:left="1720" w:hanging="1476"/>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987</w:t>
      </w:r>
    </w:p>
    <w:p>
      <w:pPr>
        <w:spacing w:after="0" w:line="109"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23495</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389,240</w:t>
            </w: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373,712</w:t>
            </w:r>
          </w:p>
        </w:tc>
      </w:tr>
      <w:tr>
        <w:trPr>
          <w:trHeight w:val="20"/>
        </w:trPr>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6"/>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14,387</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7,054</w:t>
            </w:r>
          </w:p>
        </w:tc>
      </w:tr>
      <w:tr>
        <w:trPr>
          <w:trHeight w:val="27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9,190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8,377</w:t>
            </w:r>
          </w:p>
        </w:tc>
      </w:tr>
      <w:tr>
        <w:trPr>
          <w:trHeight w:val="27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9,062</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9,983</w:t>
            </w:r>
          </w:p>
        </w:tc>
      </w:tr>
      <w:tr>
        <w:trPr>
          <w:trHeight w:val="27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8,094</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-1047750</wp:posOffset>
            </wp:positionV>
            <wp:extent cx="883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23495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9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8"/>
              </w:rPr>
              <w:t>40,733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32,930</w:t>
            </w:r>
          </w:p>
        </w:tc>
      </w:tr>
      <w:tr>
        <w:trPr>
          <w:trHeight w:val="270"/>
        </w:trPr>
        <w:tc>
          <w:tcPr>
            <w:tcW w:w="9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1,218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w:t>
            </w:r>
          </w:p>
        </w:tc>
      </w:tr>
      <w:tr>
        <w:trPr>
          <w:trHeight w:val="270"/>
        </w:trPr>
        <w:tc>
          <w:tcPr>
            <w:tcW w:w="9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3,174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r>
      <w:tr>
        <w:trPr>
          <w:trHeight w:val="270"/>
        </w:trPr>
        <w:tc>
          <w:tcPr>
            <w:tcW w:w="9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2,255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r>
      <w:tr>
        <w:trPr>
          <w:trHeight w:val="270"/>
        </w:trPr>
        <w:tc>
          <w:tcPr>
            <w:tcW w:w="9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1,195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bl>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23495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60"/>
        <w:spacing w:after="0"/>
        <w:tabs>
          <w:tab w:leader="none" w:pos="1520" w:val="left"/>
        </w:tabs>
        <w:rPr>
          <w:sz w:val="20"/>
          <w:szCs w:val="20"/>
          <w:color w:val="auto"/>
        </w:rPr>
      </w:pPr>
      <w:r>
        <w:rPr>
          <w:rFonts w:ascii="Times New Roman" w:cs="Times New Roman" w:eastAsia="Times New Roman" w:hAnsi="Times New Roman"/>
          <w:sz w:val="14"/>
          <w:szCs w:val="14"/>
          <w:color w:val="auto"/>
        </w:rPr>
        <w:t>48,575</w:t>
      </w:r>
      <w:r>
        <w:rPr>
          <w:sz w:val="20"/>
          <w:szCs w:val="20"/>
          <w:color w:val="auto"/>
        </w:rPr>
        <w:tab/>
      </w:r>
      <w:r>
        <w:rPr>
          <w:rFonts w:ascii="Times New Roman" w:cs="Times New Roman" w:eastAsia="Times New Roman" w:hAnsi="Times New Roman"/>
          <w:sz w:val="14"/>
          <w:szCs w:val="14"/>
          <w:color w:val="auto"/>
        </w:rPr>
        <w:t>46,565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324</w:t>
            </w: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r>
      <w:tr>
        <w:trPr>
          <w:trHeight w:val="27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251,000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241,725</w:t>
            </w:r>
          </w:p>
        </w:tc>
      </w:tr>
      <w:tr>
        <w:trPr>
          <w:trHeight w:val="27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88,538</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84,099</w:t>
            </w:r>
          </w:p>
        </w:tc>
      </w:tr>
      <w:tr>
        <w:trPr>
          <w:trHeight w:val="275"/>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803</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1,011</w:t>
            </w:r>
          </w:p>
        </w:tc>
      </w:tr>
      <w:tr>
        <w:trPr>
          <w:trHeight w:val="250"/>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340,665</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327,147</w:t>
            </w:r>
          </w:p>
        </w:tc>
      </w:tr>
      <w:tr>
        <w:trPr>
          <w:trHeight w:val="232"/>
        </w:trPr>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389,240</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-327660</wp:posOffset>
            </wp:positionV>
            <wp:extent cx="883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8660" w:space="720"/>
            <w:col w:w="2040"/>
          </w:cols>
          <w:pgMar w:left="240" w:top="57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-127635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type w:val="continuous"/>
        </w:sectPr>
      </w:pPr>
    </w:p>
    <w:bookmarkStart w:id="3" w:name="page4"/>
    <w:bookmarkEnd w:id="3"/>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155,051</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91,776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84,788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70,263</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40,628</w:t>
            </w: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27,620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w:t>
            </w: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21,761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77,372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1,209</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provision (benefit)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67"/>
        </w:trPr>
        <w:tc>
          <w:tcPr>
            <w:tcW w:w="60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78"/>
        </w:trPr>
        <w:tc>
          <w:tcPr>
            <w:tcW w:w="6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(loss)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30,932</w:t>
            </w:r>
          </w:p>
        </w:tc>
      </w:tr>
      <w:tr>
        <w:trPr>
          <w:trHeight w:val="67"/>
        </w:trPr>
        <w:tc>
          <w:tcPr>
            <w:tcW w:w="60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6"/>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30,932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84" w:right="239" w:bottom="1440" w:gutter="0" w:footer="0" w:header="0"/>
          <w:type w:val="continuous"/>
        </w:sectPr>
      </w:pPr>
    </w:p>
    <w:bookmarkStart w:id="4" w:name="page5"/>
    <w:bookmarkEnd w:id="4"/>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10,446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7,466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Impairment of goodwill from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sale of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unbilled receivables, and costs in excess of billings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19,520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discontinued operations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 in 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capital lease obligations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19,233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47,287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66,520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Supplemental disclosures—non-cash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restricted stock awards to employees</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8,313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Capital lease financings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24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5" w:name="page6"/>
    <w:bookmarkEnd w:id="5"/>
    <w:p>
      <w:pPr>
        <w:ind w:left="45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Mercury Systems, Inc. is a leading high-tech commercial provider of more affordable secure and sensor processing subsystems designed and made in the U.S.A. for critical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Company's goal is to grow and build on its position as a critical component of the defense industrial base and become the leading provider of open and affordable secure and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affordable electronic warfare ("EW"), electronic attack ("EA") and electronic counter measure ("ECM") subsystems and significant capabilities in signals intelligence ("SIGINT"), electro-optical/infrared ("EO/IR") processing technologies and radar environment test and simulation systems.</w:t>
      </w:r>
    </w:p>
    <w:p>
      <w:pPr>
        <w:spacing w:after="0" w:line="1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Company initiated a plan to divest the Mercury Intelligence Systems (“MIS”) operating segment, based on the Company's strategic direction and investment priorities focusing on its core business. As a result, the Company's MIS operating segment met the “held for sale” criteria in accordance with Financial Accounting Standard Boards (“FASB”)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(“FASB ASC 205”) as of June 30, 2014 and all reporting periods thereafter (see Note C to the Consolidated Financial Statements). The consolidated financial statements, excluding the statements of cash flows, and the notes to the consolidated financial statements were restated for all periods presented to reflect the discontinuation of the MIS operating segment, in accordance with FASB ASC 205. On January 23, 2015, the Company completed the sale of the MIS operating segment.</w:t>
      </w:r>
    </w:p>
    <w:p>
      <w:pPr>
        <w:spacing w:after="0" w:line="21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ASIS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RESENTATION</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2014 which are contained in the Company’s Annual Report on Form 10-K filed with the Securities and Exchange Commission (“SEC”) on August 14, 2014. The results for the three and nine months ended March 31, 2015 are not necessarily indicative of the results to be expected for the full fiscal year.</w:t>
      </w:r>
    </w:p>
    <w:p>
      <w:pPr>
        <w:spacing w:after="0" w:line="7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is comprised of the following operating segments: MCE and MDS. See Note L of the Notes to Consolidated Financial Statements for further discussion.</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SE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STIMATES</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ECOGNITION</w:t>
      </w:r>
    </w:p>
    <w:p>
      <w:pPr>
        <w:spacing w:after="0" w:line="1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relies upon FASB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7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 uses FASB Accounting Standards Update (“ASU”) No. 2009-13 (“FASB ASU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are available. Additionally, FASB ASU 2009-13 expands the disclosure requirements related to a vendor’s multiple-deliverable revenue arrangements.</w:t>
      </w:r>
    </w:p>
    <w:p>
      <w:pPr>
        <w:spacing w:after="0" w:line="7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26% and 27% of total revenues in the three and nine months ended March 31, 2015, respectively. Total revenue recognized under multiple-deliverable revenue arrangements was 35% and 40% of total revenues in the three and nine months ended March 31, 2014, respectively.</w:t>
      </w:r>
    </w:p>
    <w:p>
      <w:pPr>
        <w:spacing w:after="0" w:line="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6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objective of BESP is to determine the price at which the Company would transact if the product or service were sold by the Company on a standalone basis.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analyzes the selling prices used in its allocation of arrangement consideration at a minimum on an annual basis and on a more frequent basis if a significant change in the Company’s business necessitates a more timely analysis or if the Company experiences significant variances in its selling prices.</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do not include a general right of return for delivered products. The Company considers a deliverable to have standalone value if the item is sold separately by the Company or another vendor or if the item could be resold by the customer.</w:t>
      </w:r>
    </w:p>
    <w:p>
      <w:pPr>
        <w:spacing w:after="0" w:line="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engages in long-term contracts for development, production and services activities which it accounts for consistent with FASB ASC 605-35, </w:t>
      </w:r>
      <w:r>
        <w:rPr>
          <w:rFonts w:ascii="Times New Roman" w:cs="Times New Roman" w:eastAsia="Times New Roman" w:hAnsi="Times New Roman"/>
          <w:sz w:val="18"/>
          <w:szCs w:val="18"/>
          <w:i w:val="1"/>
          <w:iCs w:val="1"/>
          <w:color w:val="auto"/>
        </w:rPr>
        <w:t>Accounting for Performance of Construction-Type and Certain Production-Type Contracts</w:t>
      </w:r>
      <w:r>
        <w:rPr>
          <w:rFonts w:ascii="Times New Roman" w:cs="Times New Roman" w:eastAsia="Times New Roman" w:hAnsi="Times New Roman"/>
          <w:sz w:val="18"/>
          <w:szCs w:val="18"/>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For time and materials contracts, revenue reflects the number of direct labor hours expended in the performance of a contract multiplied by the contract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billing rate, as well as reimbursement of other billable direct costs. For all types of contracts, the Company recognizes anticipated contract losses as soon as they become known and estimable.</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prospectively and when adjustments in estimated contract costs are identified, such revisions may result in current period adjustments to earnings applicable to performance in prior periods.</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defines service revenues as revenue from activities that are not associated with the design, development, production, or delivery of tangible assets, software or specific capabilities sold by us. Examples of the Company's service revenues include: consulting, maintenance and other support, testing and installation. The Company combines its product and service revenues into a single class as service revenues do not exceed 10 percent of total revenues.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EIGHTED</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VERAGE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Weighted-average shares were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1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32,298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30,932</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equity instruments</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33,233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31,156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32,953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30,932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Equity instruments to purchase 147 and 428 shares of common stock were not included in the calculation of diluted net earnings per share for the three and nine months ended March 31, 2015, because the equity instruments were anti-dilutive. Equity instruments to purchase 3,590 shares of common stock were not included in the calculation of diluted net earnings per share for the three and nine months ended March 31, 2014, because the equity instruments were anti-dilutive.</w:t>
      </w:r>
    </w:p>
    <w:p>
      <w:pPr>
        <w:spacing w:after="0" w:line="149" w:lineRule="exact"/>
        <w:rPr>
          <w:sz w:val="20"/>
          <w:szCs w:val="20"/>
          <w:color w:val="auto"/>
        </w:rPr>
      </w:pPr>
    </w:p>
    <w:p>
      <w:pPr>
        <w:ind w:left="840" w:hanging="832"/>
        <w:spacing w:after="0"/>
        <w:tabs>
          <w:tab w:leader="none" w:pos="8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2014, the Company conducted a strategic review of the Mercury Intelligence Systems (“MIS”) operating segment which encompassed an assessment of MIS' financial performance and contemporaneous future financial projections. The Company, with Board of Director's approval, concluded that a plan to divest the MIS operating segment would be in the best interests of the Company and its shareholders.</w:t>
      </w:r>
    </w:p>
    <w:p>
      <w:pPr>
        <w:spacing w:after="0" w:line="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2014, the Company's MIS operating segment met the "held for sale" criteria in accordance with FASB ASC 205. The MIS operating results have been reported as a discontinued operation for all periods presented. On January 23, 2015, the Company completed the sale of MIS for approximately $1,600. The sale resulted in net proceeds of $885 and a loss on disposal of $892, which is reflected within discontinued operations of the Company's accompanying consolidated financial statements. The Company does not have continuing involvement in the operations of MIS after its divestiture.</w:t>
      </w:r>
    </w:p>
    <w:p>
      <w:pPr>
        <w:spacing w:after="0" w:line="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2014, the Company determined that the MIS reporting unit’s carrying value of goodwill exceeded its implied fair value, resulting in a goodwill impairment charge of $2,283. The impairment charge is reflected within discontinued operations of the Company’s accompanying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color w:val="auto"/>
        </w:rPr>
        <w:t>The amounts reported in loss from discontinued operations, net of income taxes were as follows: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5"/>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6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of discontinued operations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7,479</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discontinued operations: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5,092</w:t>
            </w: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2,327</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of goodwill</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5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amounts reported as assets and liabilities of the discontinued operations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660" w:type="dxa"/>
            <w:vAlign w:val="bottom"/>
            <w:tcBorders>
              <w:bottom w:val="single" w:sz="8" w:color="CCEEFF"/>
            </w:tcBorders>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 and costs in excess of billings</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51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5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5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00" w:top="688" w:right="27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t>The depreciation, amortization and significant operating and investing non-cash items of the discontinued operations were as follows:</w:t>
      </w:r>
    </w:p>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66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6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w:t>
            </w:r>
          </w:p>
        </w:tc>
      </w:tr>
    </w:tbl>
    <w:p>
      <w:pPr>
        <w:spacing w:after="0" w:line="24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at fair value certain financial assets and liabilities, including cash equivalents and restricted cash. FASB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and Disclosures</w:t>
      </w:r>
      <w:r>
        <w:rPr>
          <w:rFonts w:ascii="Times New Roman" w:cs="Times New Roman" w:eastAsia="Times New Roman" w:hAnsi="Times New Roman"/>
          <w:sz w:val="18"/>
          <w:szCs w:val="18"/>
          <w:color w:val="auto"/>
        </w:rPr>
        <w:t>, specifies a hierarchy of valuation techniques based on whether the inputs to those valuation techniques are observable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at March 31, 2015:</w:t>
      </w:r>
    </w:p>
    <w:p>
      <w:pPr>
        <w:spacing w:after="0" w:line="2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24765</wp:posOffset>
            </wp:positionV>
            <wp:extent cx="3395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66,520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66,520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66,784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49"/>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59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12,677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5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5,223</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31,655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620" w:type="dxa"/>
            <w:vAlign w:val="bottom"/>
            <w:vMerge w:val="restart"/>
          </w:tcPr>
          <w:p>
            <w:pPr>
              <w:jc w:val="right"/>
              <w:ind w:right="315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carrying amount of goodwill by reporting units as of March 31, 2015 and June 30, 2014: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49"/>
        </w:trPr>
        <w:tc>
          <w:tcPr>
            <w:tcW w:w="9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MCE goodwill</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134,378</w:t>
            </w: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MDS goodwill</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33,768</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goodwill</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168,146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nine months ended March 31, 2015, there were no triggering events, as defined by FASB ASC 350, which required an interim goodwill impairment test. The Company performs its annual goodwill impairment test in the fourth quarter of each fiscal year.</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19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fiscal 2014 the Company announced a restructuring plan that was implemented as part of the final phase of integration activities relating to the Company’s recent acquisitions. This acquisition integration plan included the consolidation of manufacturing facilities, centralization of administrative functions using common information systems and processes, and realignment of research and development resources. The Company had successfully completed the acquisition integration activities during the second fiscal quarter of 2015. In the event that the Company is unable to sublease the unoccupied portion of its headquarters complex in Chelmsford, MA, it will incur nominal, periodic restructuring charges through fiscal 2017 in its MCE reportable segment. During the three months ended March 31, 2015, the Company has incurred restructuring and other charges of $27.</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detail of activity for the Company’s restructuring plans: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Severance &amp;</w:t>
            </w:r>
          </w:p>
        </w:tc>
        <w:tc>
          <w:tcPr>
            <w:tcW w:w="30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36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liability at June 30,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at March 31, 2015</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Reversals result from unused outplacement services.</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All of the restructuring and other charges are classified as operating expenses in the consolidated statements of operations and comprehensive income (loss) and any remaining obligations are expected to be paid by the end of fiscal 2017. The restructuring liability is classified as accrued expenses in the consolidated balance sheets.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April 23, 2015, the Company incurred restructuring and other charges related to involuntary separation costs associated with a headcount reduction within its MCE reportable segment. The Company expects to incur approximately $700 by the end of the fourth quarter related to the continued optimization of its advanced microelectronics centers.</w:t>
      </w:r>
    </w:p>
    <w:p>
      <w:pPr>
        <w:spacing w:after="0" w:line="19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recorded a tax provision of $1,469 and a tax benefit of $809 on income from continuing operations before income taxes of $6,163 and loss from continuing operations before income taxes of $1,079 for the three months ended March 31, 2015 and 2014, respectively. The Company recorded a tax provision of $2,516 and a tax benefit of $2,570 on income from continuing operations before income taxes of $10,813 and a loss from continuing operations before income taxes of $5,931 for the nine months ended March 31, 2015 and 2014, respectively. Income tax provision for the three and nine months ended March 31, 2015 differed from the federal statutory rate primarily due to the impact of federal research and development tax credits, domestic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deduction, stock compensation, state taxes and the realization of previously unrecognized tax benefits. Income tax benefit for the three and nine months ended March 31, 2014 differed from the federal statutory rate primarily due to the impact of federal research and development tax credits, domestic manufacturing deduction, stock compensation and state taxes.</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December 19, 2014, the Tax Increase Prevention Act of 2014 was enacted, which retroactively reinstated and extended the federal research and development tax credits from January 1, 2014 through December 31, 2014. Based on the extension, the Company estimates that there was an additional $894 credit earned in calendar year 2014, of which $487 relating to fiscal year 2014 was recognized as a discrete benefit in the three months ended December 31, 2014.</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unrecognized tax positions decreased by $1,022 and $899 during the three and nine months ended March 31, 2015, respectively. The decrease during the three months ended March 31, 2015 relates to the realization of previously unrecognized tax benefits of $1,022. The decrease of $899 during the nine months ended March 31, 2015 was a result of the realization of previously unrecognized tax benefits of $1,022, partially offset by an increase relating to additional research and development tax credits for fiscal year 2014.</w:t>
      </w:r>
    </w:p>
    <w:p>
      <w:pPr>
        <w:spacing w:after="0" w:line="7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is currently under audit by the Internal Revenue Service for fiscal year 2013. There have been no significant changes to the status of this examination during the nine months ended March 31, 2015.</w:t>
      </w:r>
    </w:p>
    <w:p>
      <w:pPr>
        <w:spacing w:after="0" w:line="18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LAIMS</w:t>
      </w:r>
    </w:p>
    <w:p>
      <w:pPr>
        <w:spacing w:after="0" w:line="131"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Company’s former MIS business, the Company provided indemnification to the buyer of the business. The Company’s indemnification obligations generally cover the buyer for damages resulting from breaches of representations, warranties and covenants contained in the purchase and sale agreement and generally cover pre-closing tax liabilities of the business. The Company’s indemnification obligations regarding the MIS business are generally subject to caps.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OMMITMENTS</w:t>
      </w:r>
    </w:p>
    <w:p>
      <w:pPr>
        <w:spacing w:after="0" w:line="13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the Company has entered into non-cancelable purchase commitments for certain inventory components and services used in its normal operations. The purchase commitments covered by these agreements are for less than one year and aggregate to $38,619.</w:t>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Senior Unsecured Credit Facility</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2015, there was $126,935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and subject to compliance with the financial covenants in the credit agreement. There were no borrowings outstanding on the credit agreement; however, there were outstanding letters of credit of $3,858. The Company was in compliance with all covenants and conditions under the 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02" w:right="239" w:bottom="1440" w:gutter="0" w:footer="0" w:header="0"/>
        </w:sectPr>
      </w:pPr>
    </w:p>
    <w:bookmarkStart w:id="12" w:name="page13"/>
    <w:bookmarkEnd w:id="12"/>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2005 Stock Incentive Plan, as amended and restated (the “2005 Plan”), is 11,424 shares at March 31, 2015. On October 21, 2014, the Company's number of shares authorized for issuance under the 2005 Plan increased 3,406 shares, including 206 shares as a result of cancellations, forfeitures or terminations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3,718 shares available for future grant under the 2005 Plan at March 31, 2015.</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August 15, 2014, as part of the Company's ongoing annual equity grant program for employees, the Company granted, for the first time, performance-based restricted stock awards to certain executives pursuant to the 2005 Plan. These performance awards vest annually over a three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will monitor the probability of achieving the performance targets on a quarterly basis and may adjust periodic compensation expense accordingly.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41 and 55 shares issued under the ESPP during the nine months ended March 31, 2015 and 2014, respectively. Shares available for future purchase under the ESPP totaled 123 at March 31, 2015.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WARD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of the Company’s stock option plans since June 30, 2014: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2014</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3"/>
              </w:rPr>
              <w:t>1,435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March 31, 2015</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non-vested restricted stock awards since June 30, 2014: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June 30, 2014</w:t>
            </w:r>
          </w:p>
        </w:tc>
        <w:tc>
          <w:tcPr>
            <w:tcW w:w="58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2,091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10.15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March 31, 2015</w:t>
            </w:r>
          </w:p>
        </w:tc>
        <w:tc>
          <w:tcPr>
            <w:tcW w:w="5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1,848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10.65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BASED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recognized the full expense of its share-based payment plans in the consolidated statements of operations for the three and nine months ended March 31, 2015 and 2014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5,701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1,066</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 before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7,270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4,654</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45" w:lineRule="exact"/>
        <w:rPr>
          <w:sz w:val="20"/>
          <w:szCs w:val="20"/>
          <w:color w:val="auto"/>
        </w:rPr>
      </w:pPr>
    </w:p>
    <w:p>
      <w:pPr>
        <w:jc w:val="both"/>
        <w:ind w:left="660" w:hanging="328"/>
        <w:spacing w:after="0" w:line="255"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Mercury Commercial Electronics (“MCE”): this operating segment delivers affordable, innovative, commercially developed, specialized processing subsystems for critical commercial, defense and intelligence applications. MCE delivers secure solutions that are based upon open architectures and widely adopted industry standards. MCE delivers 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its RF and microwave solutions to market on a more scalable basis.</w:t>
      </w:r>
    </w:p>
    <w:p>
      <w:pPr>
        <w:spacing w:after="0" w:line="50" w:lineRule="exact"/>
        <w:rPr>
          <w:rFonts w:ascii="Times New Roman" w:cs="Times New Roman" w:eastAsia="Times New Roman" w:hAnsi="Times New Roman"/>
          <w:sz w:val="18"/>
          <w:szCs w:val="18"/>
          <w:color w:val="auto"/>
        </w:rPr>
      </w:pPr>
    </w:p>
    <w:p>
      <w:pPr>
        <w:jc w:val="both"/>
        <w:ind w:left="660" w:hanging="355"/>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Mercury Defense Systems (“MDS”): this operating segment provides significant capabilities relating to pre-integrated, open, affordable electronic warfare ("EW"), electronic attack ("EA") and electronic counter measure ("ECM") subsystems, and signals intelligence ("SIGINT") and electro-optical/infrared ("EO/IR") processing technologies and radar environment test and simulation systems. MDS deploys these solutions on behalf of defense prime contractors and the Department of Defense ("DoD"), leveraging commercially available technologies and solutions (or “building blocks”) from the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4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The Company's operating segments were evaluated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order to determine which operating segments qualified as reportable segments. The Company determined that both MCE and MDS met the quantitative thresholds for reporting.</w:t>
      </w:r>
    </w:p>
    <w:p>
      <w:pPr>
        <w:spacing w:after="0" w:line="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Prior year results have been restated for the reclassification of the MIS operating segment as discontinued operations. MIS was previously aggregated with MDS into one reportable segment based on similar economic and qualitative factors in accordance with FASB ASC 280 (see Note C).</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42" w:right="2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measure assists in providing an enhanced understanding of its underlying operational measures to manage its business, to evaluate its performance compared to prior periods and the marketplace, and to establish operational goals.</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MDS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THREE MONTHS ENDED</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52,748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55,073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11,515</w:t>
            </w:r>
          </w:p>
        </w:tc>
        <w:tc>
          <w:tcPr>
            <w:tcW w:w="0" w:type="dxa"/>
            <w:vAlign w:val="bottom"/>
          </w:tcPr>
          <w:p>
            <w:pPr>
              <w:spacing w:after="0"/>
              <w:rPr>
                <w:sz w:val="1"/>
                <w:szCs w:val="1"/>
                <w:color w:val="auto"/>
              </w:rPr>
            </w:pPr>
          </w:p>
        </w:tc>
      </w:tr>
      <w:tr>
        <w:trPr>
          <w:trHeight w:val="216"/>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THREE MONTHS ENDED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53,393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NINE MONTHS ENDED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153,110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170,728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156,860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170,728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16"/>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NINE MONTHS ENDED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155,051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155,051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Company’s income (loss) from continuing operations, the most directly comparable GAAP financial measure, to its adjusted EBITDA: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9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provision (benefit)</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9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t>The geographic distribution of the Company’s revenues is summarized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1"/>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THREE MONTHS ENDED</w:t>
            </w: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0"/>
        </w:trPr>
        <w:tc>
          <w:tcPr>
            <w:tcW w:w="6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3"/>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58,307</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59,578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59,507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59,578</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69"/>
        </w:trPr>
        <w:tc>
          <w:tcPr>
            <w:tcW w:w="47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3"/>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50,608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53,393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52,011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53,393</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69"/>
        </w:trPr>
        <w:tc>
          <w:tcPr>
            <w:tcW w:w="47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NINE MONTHS ENDED</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3"/>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167,017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170,728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169,764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170,728</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69"/>
        </w:trPr>
        <w:tc>
          <w:tcPr>
            <w:tcW w:w="47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NINE MONTHS ENDED</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3"/>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150,414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155,051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153,315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155,051</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geographic distribution of the Company’s long-lived assets is summarized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12,391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14,144</w:t>
            </w: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Customers comprising 10% or more of the Company’s revenues for the periods shown below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5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6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666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Raytheon Company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666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620" w:right="3880" w:hanging="5612"/>
        <w:spacing w:after="0" w:line="564"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the amount is less than 10% of the Company’s revenues for the respective period. 16</w:t>
      </w:r>
    </w:p>
    <w:p>
      <w:pPr>
        <w:sectPr>
          <w:pgSz w:w="11900" w:h="16838" w:orient="portrait"/>
          <w:cols w:equalWidth="0" w:num="1">
            <w:col w:w="11420"/>
          </w:cols>
          <w:pgMar w:left="240" w:top="688" w:right="239" w:bottom="1440" w:gutter="0" w:footer="0" w:header="0"/>
        </w:sectPr>
      </w:pPr>
    </w:p>
    <w:bookmarkStart w:id="16" w:name="page17"/>
    <w:bookmarkEnd w:id="16"/>
    <w:p>
      <w:pPr>
        <w:ind w:firstLine="432"/>
        <w:spacing w:after="0" w:line="282" w:lineRule="auto"/>
        <w:rPr>
          <w:sz w:val="20"/>
          <w:szCs w:val="20"/>
          <w:color w:val="auto"/>
        </w:rPr>
      </w:pPr>
      <w:r>
        <w:rPr>
          <w:rFonts w:ascii="Times New Roman" w:cs="Times New Roman" w:eastAsia="Times New Roman" w:hAnsi="Times New Roman"/>
          <w:sz w:val="18"/>
          <w:szCs w:val="18"/>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3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6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Patriot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3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Aegis</w:t>
            </w: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636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date of the consolidated balance sheet through the date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ind w:right="114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divestitures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2014.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Mercury Systems, Inc. is a leading high-tech commercial provider of more affordable secure and sensor processing subsystems designed and made in the U.S.A. for critical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Mercury Systems operates across a broad spectrum of defense programs and, effective for fiscal 2015, we deliver our solutions and services via two operating segments: (i) Mercury Commercial Electronics; and (ii) Mercury Defense Systems. In the fourth quarter of fiscal 2014, we initiated a plan to divest our Mercury Intelligence Systems ("MIS") operating segment. Consequently, its operating results are included in discontinued operations for all periods presented. On January 23, 2015, we completed the sale of MIS (see Note C to the consolidated financial statements).</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March 31, 2015, we had 641 employees. Our revenue, income from continuing operations and adjusted EBITDA for the three month period ended March 31, 2015 were $59.6 million, $4.7 million, and $11.5 million, respectively. Our revenue, income from continuing operations and adjusted EBITDA for the nine month period ended March 31, 2015 were $170.7 million, $8.3 million, and $30.2 million, respectively. See the Non-GAAP Financial Measures section for a reconciliation of our income from continuing operations to adjusted EBITDA.</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operations are organized in the following two reportable segments: (i) Mercury Commercial Electronics ("MCE") and (ii) Mercury Defense Systems ("MDS").</w:t>
      </w:r>
    </w:p>
    <w:p>
      <w:pPr>
        <w:spacing w:after="0" w:line="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Mercury Commercial Electronics, </w:t>
      </w:r>
      <w:r>
        <w:rPr>
          <w:rFonts w:ascii="Times New Roman" w:cs="Times New Roman" w:eastAsia="Times New Roman" w:hAnsi="Times New Roman"/>
          <w:sz w:val="18"/>
          <w:szCs w:val="18"/>
          <w:color w:val="auto"/>
        </w:rPr>
        <w:t>or MCE, provides affordable, innovative, commercially designed and developed, specialized processing subsystems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critical defense and intelligence applications. We deliver innovative solutions, rapid time-to-value and service and support to our prime defense contractor customers. Our technologies and capabilities include embedded processing modules and subsystems, RF and microwave multi-function assemblies as well as subsystems, and RF and microwave components.</w:t>
      </w:r>
    </w:p>
    <w:p>
      <w:pPr>
        <w:spacing w:after="0" w:line="12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applications. In addition, MCE designs and builds RF and microwave components and subsystems to meet the needs of the electronic warfare ("EW"), signals intelligence ("SIGINT") and other high bandwidth communications requirements and applications.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nine months ended March 31, 2015, MCE accounted for approximately 90% of our total net revenues.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sectPr>
      </w:pPr>
    </w:p>
    <w:bookmarkStart w:id="18" w:name="page19"/>
    <w:bookmarkEnd w:id="18"/>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Mercury Defense Systems, </w:t>
      </w:r>
      <w:r>
        <w:rPr>
          <w:rFonts w:ascii="Times New Roman" w:cs="Times New Roman" w:eastAsia="Times New Roman" w:hAnsi="Times New Roman"/>
          <w:sz w:val="18"/>
          <w:szCs w:val="18"/>
          <w:color w:val="auto"/>
        </w:rPr>
        <w:t>or MDS, provides significant capabilities relating to pre-integrated, open, affordable EW, electronic attack ("EA")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counter measure ("ECM") subsystems, SIGINT and electro-optical/infrared ("EO/IR") processing technologies, and radar environment test and simulation systems.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nine months ended March 31, 2015, MDS accounted for approximately 10% of our total net revenues.</w:t>
      </w:r>
    </w:p>
    <w:p>
      <w:pPr>
        <w:spacing w:after="0" w:line="11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operating segements.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2015 compared to the three months ended March 31, 2014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for the three months periods indicated, financial data from the consolidated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160" w:type="dxa"/>
            <w:vAlign w:val="bottom"/>
          </w:tcPr>
          <w:p>
            <w:pPr>
              <w:spacing w:after="0"/>
              <w:rPr>
                <w:sz w:val="12"/>
                <w:szCs w:val="12"/>
                <w:color w:val="auto"/>
              </w:rPr>
            </w:pPr>
          </w:p>
        </w:tc>
        <w:tc>
          <w:tcPr>
            <w:tcW w:w="13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0" w:type="dxa"/>
            <w:vAlign w:val="bottom"/>
          </w:tcPr>
          <w:p>
            <w:pPr>
              <w:spacing w:after="0"/>
              <w:rPr>
                <w:sz w:val="1"/>
                <w:szCs w:val="1"/>
                <w:color w:val="auto"/>
              </w:rPr>
            </w:pPr>
          </w:p>
        </w:tc>
      </w:tr>
      <w:tr>
        <w:trPr>
          <w:trHeight w:val="160"/>
        </w:trPr>
        <w:tc>
          <w:tcPr>
            <w:tcW w:w="54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4"/>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59,578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21,761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Tax provision (benefit)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24"/>
                <w:szCs w:val="2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43,041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MDS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7"/>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53,393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60" w:type="dxa"/>
            <w:vAlign w:val="bottom"/>
            <w:gridSpan w:val="3"/>
          </w:tcPr>
          <w:p>
            <w:pPr>
              <w:jc w:val="right"/>
              <w:ind w:right="932"/>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6" w:right="239" w:bottom="1440" w:gutter="0" w:footer="0" w:header="0"/>
        </w:sectPr>
      </w:pPr>
    </w:p>
    <w:bookmarkStart w:id="19" w:name="page20"/>
    <w:bookmarkEnd w:id="19"/>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Total revenues increased $6.2 million, or 12%, to $59.6 million during the three months ended March 31, 2015 as compared to the comparable period in fiscal 2014. This increase was driven by higher defense sales of $5.0 million and higher commercial sales of $1.2 million. The increase in total revenues is primarily attributed to higher revenues from the Patriot, SEWIP, and F-35 programs. International revenues, which consist of foreign military sales through prime defense contractor customers and direct sales to non-U.S. based customers, decreased $1.5 million to $10.0 million during the three months ended March 31, 2015, compared to $11.5 million in the same period in the prior fiscal year. The decrease was primarily driven by lower revenues from the DEWS program and commercial sales. International revenues represented 14% and 18% of total revenues during the three months ended March 31, 2015 and 2014, respectively.</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Net MCE revenues increased $9.7 million, or 23%, during the three months ended March 31, 2015 as compared to the same period in the prior fiscal year. This increase was primarily driven by higher defense sales of $8.5 million related to increases from the Patriot, SEWIP, and F-35 programs, and a $1.2 million increase in commercial sales.</w:t>
      </w:r>
    </w:p>
    <w:p>
      <w:pPr>
        <w:spacing w:after="0" w:line="6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Net MDS revenues decreased $2.2 million, or 24%, during the three months ended March 31, 2015 as compared to the same period in the previous fiscal year. This decrease was primarily driven by lower revenues related to the Gorgon Stare program in the most recent quarter.</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ROSS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ARGIN</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Gross margin was 46.9% for the three months ended March 31, 2015, an increase of 120 basis points from the 45.7% gross margin achieved during the same period in fiscal 2014. The higher gross margin between years was due to changes in product mix, including more revenues from certain higher-margin digital processing products and programs within MCE during the three months ended March 31, 2015 as compared to the same period in the prior fiscal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ELLING</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$0.5 million, or 4%, to $11.8 million during the three months ended March 31, 2015, compared to $12.3 million in the comparable period in fiscal 2014. The decrease was primarily due to lower employee compensation expenses from the completion of our plan to integrate and consolidate facilities, systems, and processes. Selling, general and administrative expenses decreased as a percentage of revenues to 19.9% during the three months ended March 31, 2015 from 23.2% during the same period in fiscal 2014 due to higher revenues in the third quarter of fiscal 2015 coupled with overall expense reductions, as compared to the comparable period in fiscal 2014.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ESEARCH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EVELOPMENT</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approximately $0.1 million, or 1%, to $8.1 million during the three months ended March 31, 2015, compared to $8.2 million during the comparable period in fiscal 2014. The decrease was primarily due to higher customer funded development partially offset by an increase in compensation expenses during fiscal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MORTIZATION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NTANGIBLE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SSETS</w:t>
      </w:r>
    </w:p>
    <w:p>
      <w:pPr>
        <w:spacing w:after="0" w:line="13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$1.7 million for the three months ended March 31, 2015, slightly decreased from $1.8 million for the three months ended March 31, 2014.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ESTRUCTURING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HARGES</w:t>
      </w:r>
    </w:p>
    <w:p>
      <w:pPr>
        <w:spacing w:after="0" w:line="1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fiscal 2014, we announced a restructuring plan that was implemented as part of the final phase of integration activities relating to our recent acquisitions. This acquisition integration plan included the consolidation of manufacturing facilities, centralization of administrative functions using common information systems and processes, and realignment of research and development resources. During the second quarter of fiscal 2015, the acquisition integration activities were completed. In the third quarter of fiscal 2015, we incurred restructuring and other charges of less than $0.1 million, primarily associated with such nominal, periodic restructuring charges for the unoccupied portion of our corporate headquarters complex. The $3.5 million restructuring and other charges for the third quarter of fiscal 2014 were primarily related to the reduction in force incurred in the third quarter of fiscal 2014. We anticipate incurring restructuring charges of approximately $0.7 million in the fourth quarter of fiscal 2015. These charges relate to the consolidation of resources and continued optimization of our advanced microelectronics centers within our MCE operating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ET</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income, net decreased $0.3 million during the three months ended March 31, 2015, as compared to the same period in fiscal 2014. The decrease was primarily driven by the inclusion of $0.2 million in bank fees which were classified as selling, general, and administrative expenses in prior periods and a foreign exchange loss of $0.2 million driven by the weakening Japanese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8" w:right="2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yen in the third quarter of fiscal 2015. Other income, net for the three months ended March 31, 2015 and 2014, include $0.3 million related to the amortization of the gain on the sale leaseback of our corporate headquarters located in Chelmsford, Massachusetts. Interest income and interest expense were de minimis.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AXES</w:t>
      </w:r>
    </w:p>
    <w:p>
      <w:pPr>
        <w:spacing w:after="0" w:line="144"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8"/>
          <w:szCs w:val="18"/>
          <w:color w:val="auto"/>
        </w:rPr>
        <w:t>We recorded an income tax provision of $1.5 million during the three months ended March 31, 2015 as compared to a $0.8 million income tax benefit for the comparable period in the prior fiscal year. Our income taxes for the three months ended March 31, 2015 differed from the federal statutory tax rate of 35% primarily due to the impact of federal research and development tax credits, domestic manufacturing deduction, stock compensation, state taxes and the realization of previously unrecognized tax benefits. Our income tax benefit during the comparable period in fiscal 2014 differed from the federal statutory rate primarily due to the impact of federal research and development tax credits, domestic manufacturing deduction, stock compensation and state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ISCONTINUED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PERATIONS</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incurred a loss from discontinued operations of $1.0 million in the three months ended in March 31, 2015 compared to a loss from discontinued operations of $0.3 million for the same period in fiscal 2014. The loss from discontinued operations during the three months ended March 31, 2015 included a $0.9 million loss on disposal of discontinued operations before income taxes from the sale of MIS operating segment, which we completed on January 23,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EGMENT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ESULTS</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use adjusted EBITDA as the profitability measure for our segment reporting. Adjusted EBITDA for MCE increased $5.3 million during the three months ended March 31, 2015 to $12.1 million as compared to $6.8 million for the comparable period in fiscal 2014. The increase in adjusted EBITDA is driven by higher revenues of $9.7 million primarily from defense programs, coupled with lower operating expenses.</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Adjusted EBITDA for MDS decreased $0.6 million during the three months ended March 31, 2015 to $0.6 million as compared to $1.2 million for the comparable period in fiscal 2014. The decrease in adjusted EBITDA was primarily due to lower revenues from the Gorgon Stare program.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L to our consolidated financial statements included in this report for more information regarding our operating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2015 compared to the nine months ended March 31, 2014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for the nine months periods indicated, financial data from the consolidated statements of operations:</w:t>
      </w:r>
    </w:p>
    <w:p>
      <w:pPr>
        <w:spacing w:after="0" w:line="3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60"/>
        </w:trPr>
        <w:tc>
          <w:tcPr>
            <w:tcW w:w="4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2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gridSpan w:val="3"/>
            <w:vMerge w:val="continue"/>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155,051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91,776</w:t>
            </w:r>
          </w:p>
        </w:tc>
        <w:tc>
          <w:tcPr>
            <w:tcW w:w="10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84,788</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70,263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40,628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23,961</w:t>
            </w:r>
          </w:p>
        </w:tc>
        <w:tc>
          <w:tcPr>
            <w:tcW w:w="10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27,620</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costs and other related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77,372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6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EVENUES</w:t>
      </w:r>
    </w:p>
    <w:p>
      <w:pPr>
        <w:spacing w:after="0" w:line="3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80" w:type="dxa"/>
            <w:vAlign w:val="bottom"/>
          </w:tcPr>
          <w:p>
            <w:pPr>
              <w:spacing w:after="0"/>
              <w:rPr>
                <w:sz w:val="13"/>
                <w:szCs w:val="13"/>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MCE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15,677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Total revenues increased $15.7 million, or 10%, to $170.7 million during the nine months ended March 31, 2015 as compared to the comparable period in fiscal 2014. This increase was driven by higher defense sales of $18.0 million, partially offset by a $2.3 million decrease in commercial sales. The increase in total revenues is primarily attributed to increases in the Patriot, SEWIP, and F-35 programs that were partially offset by lower revenues from the Aegis and Gorgon Stare programs.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Net MCE revenues increased $24.3 million, or 19%, during the nine months ended March 31, 2015 as compared to the same period in the prior fiscal year. This increase was primarily driven by higher defense sales of $26.6 million related to increases in the Aegis, Patriot, F-35, and Global Hawk programs, partially offset by a $2.3 million decrease in commercial sales.</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Net MDS revenues decreased $8.4 million, or 33%, during the nine months ended March 31, 2015 as compared to the same period in the prior fiscal year. This decrease was primarily driven by lower revenues related to the Gorgon Stare program.</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ROSS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ARGIN</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Gross margin was 46.2% for the nine months ended March 31, 2015, as compared to 45.3% gross margin during the same period in fiscal 2014. The higher gross margin between years was due to a favorable product mix, primarily driven by stronger revenues in our higher margin digital processing programs and products within MCE.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ELLING</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$3.8 million, or 9%, to $36.8 million during the nine months ended March 31, 2015, compared to $40.6 million in the comparable period in fiscal 2014. The decrease was primarily due to lower employee compensation expenses from the completion of our plan to integrate and consolidate facilities, systems, and processes. Selling, general and administrative expenses decreased as a percentage of revenues to 21.6% during the nine months ended March 31, 2015 from 26.2% during the same period in fiscal 2014 due to higher revenues in the first nine months of fiscal 2015 coupled with overall expense reductions, as compared to the same period in fiscal 2014.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ESEARCH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EVELOPMENT</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$3.7 million, or 13%, to $24.0 million during the nine months ended March 31, 2015, compared to $27.6 million during the comparable period in fiscal 2014. The decrease was primarily due to higher customer funded development partially offset by increased compensation expenses during fiscal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MORTIZATION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NTANGIBLE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SSETS</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decreased $0.3 million, or 5%, to $5.3 million during the nine months ended March 31, 2015, compared to $5.6 million during the comparable period in fiscal 2014, primarily due to a portion of the Micronetics related intangible assets being fully amortized during the first quarter of fiscal 2014.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ESTRUCTURING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HARGES</w:t>
      </w:r>
    </w:p>
    <w:p>
      <w:pPr>
        <w:spacing w:after="0" w:line="18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Restructuring and other charges were $2.5 million for the nine months ended March 31, 2015, as compared to $3.6 million during the comparable period in fiscal 2014. In fiscal 2014, we announced a restructuring plan that was implemented as part of the final phase of integration activities relating to our recent acquisitions. This acquisition integration plan included the consolidation of manufacturing facilities, centralization of administrative functions using common information systems and processes, and realignment of research and development resources. During the first nine months of fiscal 2015, the acquisition integration activities were completed and we incurred restructuring and other charges of $2.5 million, primarily associated with the final phases of the Chelmsford, Massachusetts headquarters consolidation and severance costs. In the event that we are unable to sublease the unoccupied portion of our headquarters complex in Chelmsford, Massachusetts, we will incur nominal, periodic restructuring charges through fiscal 2017. The $3.6 million restructuring and other charges for the first nine months of fiscal 2014 were primarily related to the reduction in force incurred in the third quarter of fiscal 2014. We anticipate incurring restructuring charges of</w:t>
      </w:r>
    </w:p>
    <w:p>
      <w:pPr>
        <w:sectPr>
          <w:pgSz w:w="11900" w:h="16838" w:orient="portrait"/>
          <w:cols w:equalWidth="0" w:num="1">
            <w:col w:w="11420"/>
          </w:cols>
          <w:pgMar w:left="240" w:top="819"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19" w:right="239" w:bottom="1440" w:gutter="0" w:footer="0" w:header="0"/>
          <w:type w:val="continuous"/>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$0.7 million in the fourth quarter of fiscal 2015. These charges relate to the consolidation of resources and continued optimization of our advanced microelectronics centers within our MCE operating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ET</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Other income, net decreased to $0.4 million during the nine months ended March 31, 2015, as compared to $1.2 million for the same period in fiscal 2014. The decrease was driven by a $0.3 million write off of an escrow receivable, inclusion of $0.2 million bank fees which were classified as selling, general, and administrative expenses in periods prior to the third quarter of fiscal 2015 and a foreign exchange loss of $0.3 million driven by the weakening Japanese yen in the first nine months of fiscal 2015. Other income, net for the nine months ended March 31, 2015 and 2014, also includes $0.9 million in amortization of the gain on the sale leaseback of our corporate headquarters located in Chelmsford, Massachusetts. Interest income and interest expense for both periods were de minimis.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AXES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$2.5 million during the nine months ended March 31, 2015 as compared to a $2.6 million income tax benefit for the comparable period in the prior fiscal year. Our income taxes for the nine months ended March 31, 2015 differed from the federal statutory tax rate of 35% primarily due to the impact of federal research and development tax credits, domestic manufacturing deduction, stock compensation, state taxes and the realization of previously unrecognized tax benefits. Our income tax benefit during the comparable period in fiscal 2014 differed from the federal statutory rate primarily due to the impact of the federal research and development tax credits,domestic manufacturing deduction, stock compensation and state taxes.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ISCONTINUED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PERATIONS</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incurred a loss from discontinued operations of $3.9 million in the nine months ended in March 31, 2015 compared to loss from discontinued operations of $0.5 million for the same period in fiscal 2014. The loss from discontinued operations during fiscal 2015 included a $2.3 million impairment of goodwill in our MIS operating segment and a $0.9 million loss on disposal of discontinued operations before income taxes from the sale of MIS operating segment, which we completed on January 23,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EGMENT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ESULTS</w:t>
      </w:r>
    </w:p>
    <w:p>
      <w:pPr>
        <w:spacing w:after="0" w:line="13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use adjusted EBITDA as the profitability measure for our segment reporting. Adjusted EBITDA for MCE increased $16.7 million during the nine months ended March 31, 2015 to $29.9 million as compared to $13.2 million for the comparable period in fiscal 2014. The increase in adjusted EBITDA is primarily driven by higher revenues of $24.3 million primarily from the Patriot, SEWIP and F-35 programs, coupled with higher gross margins and lower selling, general and administrative costs from our restructuring initiatives.</w:t>
      </w:r>
    </w:p>
    <w:p>
      <w:pPr>
        <w:spacing w:after="0" w:line="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Adjusted EBITDA for MDS decreased $2.0 million during the nine months ended March 31, 2015 to $1.4 million as compared to $3.4 million for the comparable period in fiscal 2014. The decrease in adjusted EBITDA was primarily due to lower revenues from the Gorgon Stare program.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Credit Facility</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2015, there was $126.9 million of borrowing capacity available under our credit agreement with a syndicate of commercial banks, with Key Bank National Association acting as the administrative agent. The credit agreement provides for borrowing up to a maximum $200.0 million based on the Company's consolidated EBITDA for the trailing four quarters and subject to compliance with the financial covenants in the credit agreement. There were no borrowings outstanding on the credit agreement; however, there were outstanding letters of credit of $3.9 million. We were in compliance with all covenants and conditions under the 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68" w:lineRule="exact"/>
        <w:rPr>
          <w:sz w:val="20"/>
          <w:szCs w:val="20"/>
          <w:color w:val="auto"/>
        </w:rPr>
      </w:pPr>
    </w:p>
    <w:p>
      <w:pPr>
        <w:ind w:left="980" w:hanging="56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companies or businesses;</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and refinancing of debt;</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w:t>
      </w:r>
    </w:p>
    <w:p>
      <w:pPr>
        <w:spacing w:after="0" w:line="90"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As of and for the nine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center"/>
              <w:ind w:left="458"/>
              <w:spacing w:after="0" w:line="149" w:lineRule="exact"/>
              <w:rPr>
                <w:sz w:val="20"/>
                <w:szCs w:val="20"/>
                <w:color w:val="auto"/>
              </w:rPr>
            </w:pPr>
            <w:r>
              <w:rPr>
                <w:rFonts w:ascii="Times New Roman" w:cs="Times New Roman" w:eastAsia="Times New Roman" w:hAnsi="Times New Roman"/>
                <w:sz w:val="14"/>
                <w:szCs w:val="14"/>
                <w:b w:val="1"/>
                <w:bCs w:val="1"/>
                <w:color w:val="auto"/>
              </w:rPr>
              <w:t>month period ended</w:t>
            </w:r>
          </w:p>
        </w:tc>
        <w:tc>
          <w:tcPr>
            <w:tcW w:w="880" w:type="dxa"/>
            <w:vAlign w:val="bottom"/>
          </w:tcPr>
          <w:p>
            <w:pPr>
              <w:spacing w:after="0"/>
              <w:rPr>
                <w:sz w:val="12"/>
                <w:szCs w:val="12"/>
                <w:color w:val="auto"/>
              </w:rPr>
            </w:pPr>
          </w:p>
        </w:tc>
      </w:t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28"/>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11,732</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6,584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66,520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45,710</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cash and cash equivalents increased by $19.2 million from June 30, 2014 to March 31, 2015, primarily as a result of $19.5 million in cash generated from operating activities, partially offset by $3.5 million in purchases of property and equipment.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nine months ended March 31, 2015, we generated $19.5 million in cash from operating activities compared to $11.7 million in cash generated from operating activities during the same period in fiscal 2014. During the nine months ended March 31, 2015, we generated $8.3 million in higher comparable net income, had a $4.4 million decrease in non-cash deferred tax benefits, a $4.4 million decrease in cash used for payables and accrued expenses, and $3.1 million more cash generated from deferred revenue and customer advances as compared to the same period in the prior year. These increases in cash generated from operations were partially offset by the timing of accounts receivable collections of $4.6 million, $4.5 million in higher prepaid expenses and other current assets, $3.1 million in higher inventory purchases, and $1.4 million lower depreciation and amortization expenses.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2015, we used $2.6 million in investing activities compared to a use of $5.4 million in investing activities during the same period in fiscal 2014. The decrease was primarily driven by higher capital expenditures in fiscal 2014 relating to our advanced microelectronics center in Hudson, New Hampshire offset by $0.9 million net cash proceeds from the sale of MIS in fiscal 2015.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2015, we generated $2.4 million from financing activities compared to $0.3 million generated from financing activities during the same period in fiscal 2014. The $2.1 million increase in cash from financing activities was primarily due to a $1.2 million increase in proceeds from employee stock plans and a $0.8 million increase in excess tax benefits from stock-based compensation during the nine months ended March 31,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4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ONTRACTUAL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schedule of our commitments and contractual obligations outstanding at March 31,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3"/>
                <w:szCs w:val="13"/>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61,753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43,682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a liability at March 31, 2015 of $2.3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 obligations represent open non-cancelable purchase commitments for certain inventory components and services used in normal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commitments covered by these agreements are for less than one year and aggregated approximately $38.6 million at March 31, 2015.</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former MIS business, we provided indemnification to the buyer of the business. Our indemnification obligations generally cover the buyer for damages resulting from breaches of representations, warranties and covenants contained in the purchase and sale agreement and generally cover pre-closing tax liabilities of the business. Our indemnification obligations regarding the MIS business are generally subject to caps.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2015, we had approximately $10.4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The Company continues to conclude that it is more likely than not that most domestic deferred tax assets would be realizable based on the current financial performance, projected future taxable income and the reversal of existing deferred tax liabilities.</w:t>
      </w:r>
    </w:p>
    <w:p>
      <w:pPr>
        <w:spacing w:after="0" w:line="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continues to record a full valuation allowance on certain state research and development and investment tax credits, and capital loss carryforwards as of March 31, 2015 as management continues to believe that it is not more likely than not that these deferred tax assets would be realized. Any future reversals of the valuation allowance will impact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BALANCE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EASURES</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our periodic communications, we discuss two important measures that are not calculated according to U.S. generally accepted accounting principles (“GAAP”), adjusted EBITDA and free cash flow.</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Adjusted EBITDA, the profitability measure for our segment reporting, is defined as income (loss) from continuing operations before interest income and expense, income taxes, depreciation, amortization of intangible assets, restructuring and other charges, impairment of long-lived assets, acquisition and financing costs,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19" w:right="2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our income (loss) from continuing operations, the most directly comparable GAAP financial measure, to our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cost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11,515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cash provided by operating activities, the most directly comparable GAAP financial measure, to free cash flow: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11,732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7,769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ECENTLY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3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7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2014, the FASB issued ASU No. 2014-17, </w:t>
      </w:r>
      <w:r>
        <w:rPr>
          <w:rFonts w:ascii="Times New Roman" w:cs="Times New Roman" w:eastAsia="Times New Roman" w:hAnsi="Times New Roman"/>
          <w:sz w:val="18"/>
          <w:szCs w:val="18"/>
          <w:i w:val="1"/>
          <w:iCs w:val="1"/>
          <w:color w:val="auto"/>
        </w:rPr>
        <w:t>Pushdown Accounting (a consensus of the FASB Emerging Issues Task Force),</w:t>
      </w:r>
      <w:r>
        <w:rPr>
          <w:rFonts w:ascii="Times New Roman" w:cs="Times New Roman" w:eastAsia="Times New Roman" w:hAnsi="Times New Roman"/>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Effective November 18, 2014, an acquired entity may apply ASU 2014-17 to future change-in-control events. As this guidance is applicable to separate financial statements of acquired entities, we do not expect this guidance to have a material impact to our consolidated financial statements.</w:t>
      </w:r>
    </w:p>
    <w:p>
      <w:pPr>
        <w:spacing w:after="0" w:line="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January 2015, the FASB issued ASU No. 2015-01, </w:t>
      </w:r>
      <w:r>
        <w:rPr>
          <w:rFonts w:ascii="Times New Roman" w:cs="Times New Roman" w:eastAsia="Times New Roman" w:hAnsi="Times New Roman"/>
          <w:sz w:val="18"/>
          <w:szCs w:val="18"/>
          <w:i w:val="1"/>
          <w:iCs w:val="1"/>
          <w:color w:val="auto"/>
        </w:rPr>
        <w:t>Simplifying Income Statement Presentation by Eliminating the Concept of Extraordinary Items,</w:t>
      </w:r>
      <w:r>
        <w:rPr>
          <w:rFonts w:ascii="Times New Roman" w:cs="Times New Roman" w:eastAsia="Times New Roman" w:hAnsi="Times New Roman"/>
          <w:sz w:val="18"/>
          <w:szCs w:val="18"/>
          <w:color w:val="auto"/>
        </w:rPr>
        <w:t xml:space="preserve">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interim and annual periods in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7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additional recently issued accounting pronouncements that have been issued, but are not yet effective, please refer to our Annual Report on Form 10-K filed with the Securities and Exchange Commission on August 14,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DOPTED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Effective July 1, 2014, we adopted FASB ASU No. 2013-11, </w:t>
      </w:r>
      <w:r>
        <w:rPr>
          <w:rFonts w:ascii="Times New Roman" w:cs="Times New Roman" w:eastAsia="Times New Roman" w:hAnsi="Times New Roman"/>
          <w:sz w:val="18"/>
          <w:szCs w:val="18"/>
          <w:i w:val="1"/>
          <w:iCs w:val="1"/>
          <w:color w:val="auto"/>
        </w:rPr>
        <w:t>Presentation of an Unrecognized Tax Benefit When a Net Operating Loss Carryforward,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Tax Loss, or a Tax Credit Carryforward Exists</w:t>
      </w:r>
      <w:r>
        <w:rPr>
          <w:rFonts w:ascii="Times New Roman" w:cs="Times New Roman" w:eastAsia="Times New Roman" w:hAnsi="Times New Roman"/>
          <w:sz w:val="18"/>
          <w:szCs w:val="18"/>
          <w:color w:val="auto"/>
        </w:rPr>
        <w:t>, an amendment of the FASB Accounting Standards Codification. The ASU requires an unrecognized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benefit to be presented as a decrease in a deferred tax asset when net operating loss carryforwards, similar tax losses, or tax credit carryforwards exist and certain criteria are met. Such adoption did not have a material impact to our consolidated financial statements.</w:t>
      </w:r>
    </w:p>
    <w:p>
      <w:pPr>
        <w:spacing w:after="0" w:line="4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Effective October 1, 2014, we adopted FASB ASU No. 2014-08, </w:t>
      </w:r>
      <w:r>
        <w:rPr>
          <w:rFonts w:ascii="Times New Roman" w:cs="Times New Roman" w:eastAsia="Times New Roman" w:hAnsi="Times New Roman"/>
          <w:sz w:val="18"/>
          <w:szCs w:val="18"/>
          <w:i w:val="1"/>
          <w:iCs w:val="1"/>
          <w:color w:val="auto"/>
        </w:rPr>
        <w:t>Presentation of Financial Statements (Topic 205) and Property, Plant, and Equipment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360)</w:t>
      </w:r>
      <w:r>
        <w:rPr>
          <w:rFonts w:ascii="Times New Roman" w:cs="Times New Roman" w:eastAsia="Times New Roman" w:hAnsi="Times New Roman"/>
          <w:sz w:val="18"/>
          <w:szCs w:val="18"/>
          <w:color w:val="auto"/>
        </w:rPr>
        <w:t>, an amendment of the FASB Accounting Standards Codification. The ASU clarifies the definition of discontinued operations by limiting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Such adoption did not have a material impact to our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88" w:right="239" w:bottom="1440" w:gutter="0" w:footer="0" w:header="0"/>
        </w:sectPr>
      </w:pPr>
    </w:p>
    <w:bookmarkStart w:id="27" w:name="page28"/>
    <w:bookmarkEnd w:id="2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material changes in our exposure to market risk from June 30, 2014 to March 31, 2015.</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2015.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13c-15(f) and 15d-15(f) under the Exchange Act) that occurred during the quarter ended March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81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2014. There have been no material changes from the factors disclosed in our 2014 Annual Report on Form 10-K filed on August 14, 2014, although we may disclose changes to such factors or disclose additional factors from time to time in our future filings with the Securities and Exchange Commission.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w:t>
            </w:r>
          </w:p>
        </w:tc>
      </w:tr>
      <w:tr>
        <w:trPr>
          <w:trHeight w:val="57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Certification of the Company’s Chief Executive Officer and Chief Financial Officer pursuant to Section 906 of the Sarbanes-</w:t>
            </w:r>
          </w:p>
        </w:tc>
      </w:tr>
      <w:tr>
        <w:trPr>
          <w:trHeight w:val="234"/>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57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the Form 10-Q for the quarter ended March 31, 2015</w:t>
            </w:r>
          </w:p>
        </w:tc>
      </w:tr>
      <w:tr>
        <w:trPr>
          <w:trHeight w:val="234"/>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Consolidated Balance Sheets; (ii) the Consolidated</w:t>
            </w:r>
          </w:p>
        </w:tc>
      </w:tr>
    </w:tbl>
    <w:p>
      <w:pPr>
        <w:ind w:left="2320" w:right="500"/>
        <w:spacing w:after="0" w:line="261" w:lineRule="auto"/>
        <w:rPr>
          <w:sz w:val="20"/>
          <w:szCs w:val="20"/>
          <w:color w:val="auto"/>
        </w:rPr>
      </w:pPr>
      <w:r>
        <w:rPr>
          <w:rFonts w:ascii="Times New Roman" w:cs="Times New Roman" w:eastAsia="Times New Roman" w:hAnsi="Times New Roman"/>
          <w:sz w:val="18"/>
          <w:szCs w:val="18"/>
          <w:color w:val="auto"/>
        </w:rPr>
        <w:t>Statements of Operations; (iii) the Consolidated Statements of Cash Flows; and (iv) notes to the Consolidated Financial Statements</w:t>
      </w:r>
    </w:p>
    <w:p>
      <w:pPr>
        <w:spacing w:after="0" w:line="99" w:lineRule="exact"/>
        <w:rPr>
          <w:sz w:val="20"/>
          <w:szCs w:val="20"/>
          <w:color w:val="auto"/>
        </w:rPr>
      </w:pPr>
    </w:p>
    <w:p>
      <w:pPr>
        <w:jc w:val="both"/>
        <w:ind w:left="660" w:hanging="607"/>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Chelmsford, Massachusetts, on May 7, 2015.</w:t>
      </w:r>
    </w:p>
    <w:p>
      <w:pPr>
        <w:spacing w:after="0" w:line="2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34290</wp:posOffset>
            </wp:positionV>
            <wp:extent cx="3507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4"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240" w:top="576" w:right="9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Systems, Inc.;</w:t>
      </w:r>
    </w:p>
    <w:p>
      <w:pPr>
        <w:spacing w:after="0" w:line="171" w:lineRule="exact"/>
        <w:rPr>
          <w:rFonts w:ascii="Times New Roman" w:cs="Times New Roman" w:eastAsia="Times New Roman" w:hAnsi="Times New Roman"/>
          <w:sz w:val="18"/>
          <w:szCs w:val="18"/>
          <w:color w:val="auto"/>
        </w:rPr>
      </w:pPr>
    </w:p>
    <w:p>
      <w:pPr>
        <w:ind w:left="1620" w:right="20" w:hanging="964"/>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620" w:right="80" w:hanging="964"/>
        <w:spacing w:after="0" w:line="313" w:lineRule="auto"/>
        <w:tabs>
          <w:tab w:leader="none" w:pos="1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620" w:right="100" w:hanging="964"/>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2760" w:right="220" w:hanging="1131"/>
        <w:spacing w:after="0" w:line="261"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2760" w:right="120" w:hanging="1131"/>
        <w:spacing w:after="0" w:line="266"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2760" w:right="120" w:hanging="1131"/>
        <w:spacing w:after="0" w:line="261"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1620" w:right="220" w:hanging="964"/>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2760" w:right="300" w:hanging="1131"/>
        <w:spacing w:after="0" w:line="282" w:lineRule="auto"/>
        <w:tabs>
          <w:tab w:leader="none" w:pos="2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2015</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Systems, Inc.;</w:t>
      </w:r>
    </w:p>
    <w:p>
      <w:pPr>
        <w:spacing w:after="0" w:line="171" w:lineRule="exact"/>
        <w:rPr>
          <w:rFonts w:ascii="Times New Roman" w:cs="Times New Roman" w:eastAsia="Times New Roman" w:hAnsi="Times New Roman"/>
          <w:sz w:val="18"/>
          <w:szCs w:val="18"/>
          <w:color w:val="auto"/>
        </w:rPr>
      </w:pPr>
    </w:p>
    <w:p>
      <w:pPr>
        <w:ind w:left="1620" w:right="20" w:hanging="964"/>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620" w:right="80" w:hanging="964"/>
        <w:spacing w:after="0" w:line="313" w:lineRule="auto"/>
        <w:tabs>
          <w:tab w:leader="none" w:pos="1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7"/>
          <w:szCs w:val="17"/>
          <w:color w:val="auto"/>
        </w:rPr>
      </w:pPr>
    </w:p>
    <w:p>
      <w:pPr>
        <w:ind w:left="1620" w:right="100" w:hanging="964"/>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2760" w:right="220" w:hanging="1131"/>
        <w:spacing w:after="0" w:line="261"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2760" w:right="120" w:hanging="1131"/>
        <w:spacing w:after="0" w:line="266"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2760" w:right="120" w:hanging="1131"/>
        <w:spacing w:after="0" w:line="261"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1620" w:right="220" w:hanging="964"/>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2760" w:hanging="1131"/>
        <w:spacing w:after="0" w:line="266"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2760" w:right="300" w:hanging="1131"/>
        <w:spacing w:after="0" w:line="282" w:lineRule="auto"/>
        <w:tabs>
          <w:tab w:leader="none" w:pos="2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2015</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57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Mercury Systems, Inc. (the “Company”) on Form 10-Q for the period ended March 31, 2015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2015</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372" w:lineRule="exact"/>
        <w:rPr>
          <w:sz w:val="20"/>
          <w:szCs w:val="20"/>
          <w:color w:val="auto"/>
        </w:rPr>
      </w:pPr>
    </w:p>
    <w:p>
      <w:pPr>
        <w:ind w:left="1780"/>
        <w:spacing w:after="0"/>
        <w:tabs>
          <w:tab w:leader="none" w:pos="2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79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emdash "/>
      <w:numFmt w:val="bullet"/>
      <w:start w:val="1"/>
    </w:lvl>
  </w:abstractNum>
  <w:abstractNum w:abstractNumId="3">
    <w:nsid w:val="1BEFD79F"/>
    <w:multiLevelType w:val="hybridMultilevel"/>
    <w:lvl w:ilvl="0">
      <w:lvlJc w:val="left"/>
      <w:lvlText w:val="%1"/>
      <w:numFmt w:val="decimal"/>
      <w:start w:val="941"/>
    </w:lvl>
  </w:abstractNum>
  <w:abstractNum w:abstractNumId="4">
    <w:nsid w:val="41A7C4C9"/>
    <w:multiLevelType w:val="hybridMultilevel"/>
    <w:lvl w:ilvl="0">
      <w:lvlJc w:val="left"/>
      <w:lvlText w:val="\emdash "/>
      <w:numFmt w:val="bullet"/>
      <w:start w:val="1"/>
    </w:lvl>
  </w:abstractNum>
  <w:abstractNum w:abstractNumId="5">
    <w:nsid w:val="6B68079A"/>
    <w:multiLevelType w:val="hybridMultilevel"/>
    <w:lvl w:ilvl="0">
      <w:lvlJc w:val="left"/>
      <w:lvlText w:val="\emdash "/>
      <w:numFmt w:val="bullet"/>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upperLetter"/>
      <w:start w:val="2"/>
    </w:lvl>
  </w:abstractNum>
  <w:abstractNum w:abstractNumId="8">
    <w:nsid w:val="519B500D"/>
    <w:multiLevelType w:val="hybridMultilevel"/>
    <w:lvl w:ilvl="0">
      <w:lvlJc w:val="left"/>
      <w:lvlText w:val="%1."/>
      <w:numFmt w:val="upperLetter"/>
      <w:start w:val="3"/>
    </w:lvl>
  </w:abstractNum>
  <w:abstractNum w:abstractNumId="9">
    <w:nsid w:val="431BD7B7"/>
    <w:multiLevelType w:val="hybridMultilevel"/>
    <w:lvl w:ilvl="0">
      <w:lvlJc w:val="left"/>
      <w:lvlText w:val="%1."/>
      <w:numFmt w:val="upperLetter"/>
      <w:start w:val="4"/>
    </w:lvl>
  </w:abstractNum>
  <w:abstractNum w:abstractNumId="10">
    <w:nsid w:val="3F2DBA31"/>
    <w:multiLevelType w:val="hybridMultilevel"/>
    <w:lvl w:ilvl="0">
      <w:lvlJc w:val="left"/>
      <w:lvlText w:val="%1."/>
      <w:numFmt w:val="upperLetter"/>
      <w:start w:val="5"/>
    </w:lvl>
  </w:abstractNum>
  <w:abstractNum w:abstractNumId="11">
    <w:nsid w:val="7C83E458"/>
    <w:multiLevelType w:val="hybridMultilevel"/>
    <w:lvl w:ilvl="0">
      <w:lvlJc w:val="left"/>
      <w:lvlText w:val="%1."/>
      <w:numFmt w:val="upperLetter"/>
      <w:start w:val="6"/>
    </w:lvl>
  </w:abstractNum>
  <w:abstractNum w:abstractNumId="12">
    <w:nsid w:val="257130A3"/>
    <w:multiLevelType w:val="hybridMultilevel"/>
    <w:lvl w:ilvl="0">
      <w:lvlJc w:val="left"/>
      <w:lvlText w:val="%1."/>
      <w:numFmt w:val="upperLetter"/>
      <w:start w:val="7"/>
    </w:lvl>
  </w:abstractNum>
  <w:abstractNum w:abstractNumId="13">
    <w:nsid w:val="62BBD95A"/>
    <w:multiLevelType w:val="hybridMultilevel"/>
    <w:lvl w:ilvl="0">
      <w:lvlJc w:val="left"/>
      <w:lvlText w:val="%1."/>
      <w:numFmt w:val="upperLetter"/>
      <w:start w:val="8"/>
    </w:lvl>
  </w:abstractNum>
  <w:abstractNum w:abstractNumId="14">
    <w:nsid w:val="436C6125"/>
    <w:multiLevelType w:val="hybridMultilevel"/>
    <w:lvl w:ilvl="0">
      <w:lvlJc w:val="left"/>
      <w:lvlText w:val="%1."/>
      <w:numFmt w:val="upperLetter"/>
      <w:start w:val="9"/>
    </w:lvl>
  </w:abstractNum>
  <w:abstractNum w:abstractNumId="15">
    <w:nsid w:val="628C895D"/>
    <w:multiLevelType w:val="hybridMultilevel"/>
    <w:lvl w:ilvl="0">
      <w:lvlJc w:val="left"/>
      <w:lvlText w:val="%1."/>
      <w:numFmt w:val="upperLetter"/>
      <w:start w:val="10"/>
    </w:lvl>
  </w:abstractNum>
  <w:abstractNum w:abstractNumId="16">
    <w:nsid w:val="333AB105"/>
    <w:multiLevelType w:val="hybridMultilevel"/>
    <w:lvl w:ilvl="0">
      <w:lvlJc w:val="left"/>
      <w:lvlText w:val="%1."/>
      <w:numFmt w:val="upperLetter"/>
      <w:start w:val="11"/>
    </w:lvl>
  </w:abstractNum>
  <w:abstractNum w:abstractNumId="17">
    <w:nsid w:val="721DA317"/>
    <w:multiLevelType w:val="hybridMultilevel"/>
    <w:lvl w:ilvl="0">
      <w:lvlJc w:val="left"/>
      <w:lvlText w:val="%1."/>
      <w:numFmt w:val="upperLetter"/>
      <w:start w:val="12"/>
    </w:lvl>
  </w:abstractNum>
  <w:abstractNum w:abstractNumId="18">
    <w:nsid w:val="2443A858"/>
    <w:multiLevelType w:val="hybridMultilevel"/>
    <w:lvl w:ilvl="0">
      <w:lvlJc w:val="left"/>
      <w:lvlText w:val="•"/>
      <w:numFmt w:val="bullet"/>
      <w:start w:val="1"/>
    </w:lvl>
    <w:lvl w:ilvl="1">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upperLetter"/>
      <w:start w:val="13"/>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2019-12-29T17:15:10Z</dcterms:created>
  <dcterms:modified xsi:type="dcterms:W3CDTF">2019-12-29T17:15:10Z</dcterms:modified>
</cp:coreProperties>
</file>