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SEPTEMBER 30, 2012</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04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MASSACHUSETTS</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310"/>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7"/>
              </w:rPr>
              <w:t>201 RIVERNECK ROAD</w:t>
            </w:r>
          </w:p>
        </w:tc>
        <w:tc>
          <w:tcPr>
            <w:tcW w:w="512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CHELMSFORD, MA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40" w:type="dxa"/>
            <w:vAlign w:val="bottom"/>
          </w:tcPr>
          <w:p>
            <w:pPr>
              <w:spacing w:after="0"/>
              <w:rPr>
                <w:sz w:val="24"/>
                <w:szCs w:val="24"/>
                <w:color w:val="auto"/>
              </w:rPr>
            </w:pPr>
          </w:p>
        </w:tc>
        <w:tc>
          <w:tcPr>
            <w:tcW w:w="5120" w:type="dxa"/>
            <w:vAlign w:val="bottom"/>
          </w:tcPr>
          <w:p>
            <w:pPr>
              <w:jc w:val="right"/>
              <w:ind w:right="290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4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October 31, 2012: 32,241,943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10820" w:type="dxa"/>
            <w:vAlign w:val="bottom"/>
            <w:gridSpan w:val="16"/>
            <w:vMerge w:val="restart"/>
          </w:tcPr>
          <w:p>
            <w:pPr>
              <w:spacing w:after="0"/>
              <w:rPr>
                <w:sz w:val="20"/>
                <w:szCs w:val="20"/>
                <w:color w:val="auto"/>
              </w:rPr>
            </w:pPr>
            <w:r>
              <w:rPr>
                <w:rFonts w:ascii="Arial" w:cs="Arial" w:eastAsia="Arial" w:hAnsi="Arial"/>
                <w:sz w:val="18"/>
                <w:szCs w:val="18"/>
                <w:color w:val="auto"/>
              </w:rPr>
              <w:t>PART I. FINANCIAL INFORMATION</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w:t>
            </w:r>
          </w:p>
        </w:tc>
        <w:tc>
          <w:tcPr>
            <w:tcW w:w="0" w:type="dxa"/>
            <w:vAlign w:val="bottom"/>
          </w:tcPr>
          <w:p>
            <w:pPr>
              <w:spacing w:after="0"/>
              <w:rPr>
                <w:sz w:val="1"/>
                <w:szCs w:val="1"/>
                <w:color w:val="auto"/>
              </w:rPr>
            </w:pPr>
          </w:p>
        </w:tc>
      </w:tr>
      <w:tr>
        <w:trPr>
          <w:trHeight w:val="194"/>
        </w:trPr>
        <w:tc>
          <w:tcPr>
            <w:tcW w:w="1082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52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 as of September 30, 2012 and June 30, 2012</w:t>
              </w:r>
            </w:hyperlink>
          </w:p>
        </w:tc>
        <w:tc>
          <w:tcPr>
            <w:tcW w:w="440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9600" w:type="dxa"/>
            <w:vAlign w:val="bottom"/>
            <w:gridSpan w:val="15"/>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Operations and Comprehensive (Loss) Income for the three months ended September 30, 2012 and</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2011</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6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three months ended September 30, 2012 and 2011</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3780" w:type="dxa"/>
            <w:vAlign w:val="bottom"/>
            <w:tcBorders>
              <w:top w:val="single" w:sz="8" w:color="0000EE"/>
            </w:tcBorders>
            <w:gridSpan w:val="4"/>
          </w:tcPr>
          <w:p>
            <w:pPr>
              <w:spacing w:after="0"/>
              <w:rPr>
                <w:sz w:val="24"/>
                <w:szCs w:val="24"/>
                <w:color w:val="auto"/>
              </w:rPr>
            </w:pPr>
          </w:p>
        </w:tc>
        <w:tc>
          <w:tcPr>
            <w:tcW w:w="274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330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40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300" w:type="dxa"/>
            <w:vAlign w:val="bottom"/>
            <w:gridSpan w:val="9"/>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720" w:type="dxa"/>
            <w:vAlign w:val="bottom"/>
            <w:gridSpan w:val="10"/>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60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4"/>
                <w:szCs w:val="24"/>
                <w:color w:val="auto"/>
              </w:rPr>
            </w:pPr>
          </w:p>
        </w:tc>
        <w:tc>
          <w:tcPr>
            <w:tcW w:w="740" w:type="dxa"/>
            <w:vAlign w:val="bottom"/>
            <w:tcBorders>
              <w:top w:val="single" w:sz="8" w:color="0000EE"/>
            </w:tcBorders>
            <w:gridSpan w:val="4"/>
          </w:tcPr>
          <w:p>
            <w:pPr>
              <w:spacing w:after="0"/>
              <w:rPr>
                <w:sz w:val="24"/>
                <w:szCs w:val="24"/>
                <w:color w:val="auto"/>
              </w:rPr>
            </w:pPr>
          </w:p>
        </w:tc>
        <w:tc>
          <w:tcPr>
            <w:tcW w:w="4460" w:type="dxa"/>
            <w:vAlign w:val="bottom"/>
            <w:gridSpan w:val="7"/>
          </w:tcPr>
          <w:p>
            <w:pPr>
              <w:jc w:val="right"/>
              <w:ind w:right="66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PART I. FINANCIAL INFORMATION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MERCURY COMPUTER SYSTEMS, INC.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 w:type="dxa"/>
            <w:vAlign w:val="bottom"/>
          </w:tcPr>
          <w:p>
            <w:pPr>
              <w:spacing w:after="0"/>
              <w:rPr>
                <w:sz w:val="24"/>
                <w:szCs w:val="24"/>
                <w:color w:val="auto"/>
              </w:rPr>
            </w:pPr>
          </w:p>
        </w:tc>
        <w:tc>
          <w:tcPr>
            <w:tcW w:w="862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CONSOLIDATED BALANCE SHEETS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620" w:type="dxa"/>
            <w:vAlign w:val="bottom"/>
          </w:tcPr>
          <w:p>
            <w:pPr>
              <w:jc w:val="center"/>
              <w:ind w:left="1412"/>
              <w:spacing w:after="0"/>
              <w:rPr>
                <w:sz w:val="20"/>
                <w:szCs w:val="20"/>
                <w:color w:val="auto"/>
              </w:rPr>
            </w:pPr>
            <w:r>
              <w:rPr>
                <w:rFonts w:ascii="Arial" w:cs="Arial" w:eastAsia="Arial" w:hAnsi="Arial"/>
                <w:sz w:val="18"/>
                <w:szCs w:val="18"/>
                <w:color w:val="auto"/>
                <w:w w:val="85"/>
              </w:rPr>
              <w:t>(In thousands, except share and per share data)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tcPr>
          <w:p>
            <w:pPr>
              <w:jc w:val="center"/>
              <w:ind w:left="1392"/>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660" w:type="dxa"/>
            <w:vAlign w:val="bottom"/>
            <w:tcBorders>
              <w:bottom w:val="single" w:sz="8" w:color="CCEEFF"/>
            </w:tcBorders>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 of allowance for doubtful accounts of $5 at September 30, 2012 and June 30, 2012</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40,503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 and cost in excess of billings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40,438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143,286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19,738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177,517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41,795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386,980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385,606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12,673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4,602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4,110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13,537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58,426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I)</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Common stock, $.01 par value; 85,000,000 shares authorized; 30,037,656 and 29,729,065 shares issued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outstanding at September 30, 2012 and June 30, 2012, respectively</w:t>
            </w: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225,384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101,532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328,554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333,104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386,980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49,428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revenues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29,038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14,533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10,039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31,574</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(11,184)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income, net</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(10,851)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Tax (benefit) provision</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(3,651)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Basic net (loss) earnings per share:</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earnings per share: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29,883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29,883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(loss) income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unrealized gain (loss) on investments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 acquired: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Accounts receivable, unbilled receivable, and cost in excess of billings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(67,721)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Increase in restricted cash</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(68,966)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offering 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Payments of acquired debt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(85,396)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115,964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30,568</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165,862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disclosures—non-cash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420"/>
              <w:spacing w:after="0"/>
              <w:rPr>
                <w:sz w:val="20"/>
                <w:szCs w:val="20"/>
                <w:color w:val="auto"/>
              </w:rPr>
            </w:pPr>
            <w:r>
              <w:rPr>
                <w:rFonts w:ascii="Arial" w:cs="Arial" w:eastAsia="Arial" w:hAnsi="Arial"/>
                <w:sz w:val="18"/>
                <w:szCs w:val="18"/>
                <w:color w:val="auto"/>
              </w:rPr>
              <w:t>Unvested stock options assumed from Micronetics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Mercury Computer Systems, Inc. (the “Company” or “Mercury”) is a best of breed provider of commercially developed, open sensor and Big Data processing systems, software and services for critical commercial, defense and intelligence applications. The Company’s solutions play a critical role in a wide range of applications, processing and transforming sensor data to information for storage, analysis and interpretation. The Company’s goal is to grow and build on its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the Company’s sub-systems receive, process, and store real-time radar, video, sonar and signals intelligence data. The Company provides radio frequency (“RF”) and microwave products for enhanced signal acquisitions and communications in military and commercial applications. Additionally, Mercury Federal Systems, the Company’s wholly owned subsidiary, focuses on direct and indirect contracts supporting the defense, intelligence, and homeland security agencies. The Company has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 systems. The Company’s products or solutions have been deployed in more than 300 different programs with over 25 different prime defense contractors. The Company delivers commercially developed technology and solutions that are based on open system architectures and widely adopted industry standards, and supports all of this with services and support capabilities.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2012 which are contained in the Company’s Annual Report on Form 10-K filed with the Securities and Exchange Commission (“SEC”) on August 22, 2012. The results for the three months ended September 30, 2012 are not necessarily indicative of the results to be expected for the full fiscal year.</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The Company relies upon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account for its revenue transactions. 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30% and 45% of total revenues in the three months ended September 30, 2012 and 2011, respectively.</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Per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29,883</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29,883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30,033</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Equity instruments to purchase 4,402 and 913 shares of common stock were not included in the calculation of diluted net earnings per share for the three months ended September 30, 2012 and 2011, respectively, because the equity instruments were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ICRONETICS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June 8, 2012, the Company and Wildcat Merger Sub Inc., a newly formed, wholly-owned subsidiary of the Company (the “Merger Sub”), entered into an Agreement and Plan of Merger (the “Merger Agreement”) with Micronetics, Inc. (“Micronetics”). On August 8, 2012, the transaction was closed. The Merger Sub merged with and into Micronetics with Micronetics continuing as the surviving company and wholly-owned subsidiary of the Company.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Headquartered in Hudson, NH, Micronetics is a leading designer and manufacturer of microwave and radio frequency (RF) subsystems and components for defense and commercial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cancelled and the holders of such options were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Mercury. The replacement stock options granted were determined based on a conversion ratio provided in the Merger Agreement. Micronetics existing bank debt was paid in full by Mercury on the closing date. Mercury funded the acquisition with cash on hand.</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net purchase price and its preliminary allocation for the acquisition of Micronetics:</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Cash paid to shareholders and to settle vested options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Value allocated to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Less cash acquired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tangible assets acquired and liabilities assumed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Fixed assets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Deferred taxes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Estimated fair value of identifiable intangible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assets acquired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Less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Amounts</w:t>
      </w:r>
    </w:p>
    <w:p>
      <w:pPr>
        <w:spacing w:after="0" w:line="208" w:lineRule="exact"/>
        <w:rPr>
          <w:sz w:val="20"/>
          <w:szCs w:val="20"/>
          <w:color w:val="auto"/>
        </w:rPr>
      </w:pPr>
    </w:p>
    <w:p>
      <w:pPr>
        <w:jc w:val="right"/>
        <w:ind w:left="300" w:right="540" w:hanging="317"/>
        <w:spacing w:after="0" w:line="286" w:lineRule="auto"/>
        <w:rPr>
          <w:sz w:val="20"/>
          <w:szCs w:val="20"/>
          <w:color w:val="auto"/>
        </w:rPr>
      </w:pPr>
      <w:r>
        <w:rPr>
          <w:rFonts w:ascii="Arial" w:cs="Arial" w:eastAsia="Arial" w:hAnsi="Arial"/>
          <w:sz w:val="16"/>
          <w:szCs w:val="16"/>
          <w:color w:val="auto"/>
        </w:rPr>
        <w:t>$69,830 513</w:t>
      </w:r>
    </w:p>
    <w:p>
      <w:pPr>
        <w:jc w:val="right"/>
        <w:ind w:right="480"/>
        <w:spacing w:after="0"/>
        <w:rPr>
          <w:sz w:val="20"/>
          <w:szCs w:val="20"/>
          <w:color w:val="auto"/>
        </w:rPr>
      </w:pPr>
      <w:r>
        <w:rPr>
          <w:rFonts w:ascii="Arial" w:cs="Arial" w:eastAsia="Arial" w:hAnsi="Arial"/>
          <w:sz w:val="18"/>
          <w:szCs w:val="18"/>
          <w:color w:val="auto"/>
        </w:rPr>
        <w:t>(2,109)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$ 2,109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3,584</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12,080</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5,301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2,893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(5,305)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(6,575)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6,035</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18,500</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45,808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jc w:val="right"/>
        <w:ind w:left="120" w:right="480" w:hanging="127"/>
        <w:spacing w:after="0" w:line="299" w:lineRule="auto"/>
        <w:rPr>
          <w:sz w:val="20"/>
          <w:szCs w:val="20"/>
          <w:color w:val="auto"/>
        </w:rPr>
      </w:pPr>
      <w:r>
        <w:rPr>
          <w:rFonts w:ascii="Arial" w:cs="Arial" w:eastAsia="Arial" w:hAnsi="Arial"/>
          <w:sz w:val="16"/>
          <w:szCs w:val="16"/>
          <w:color w:val="auto"/>
        </w:rPr>
        <w:t>$70,343 (2,109)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68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20"/>
          </w:cols>
          <w:pgMar w:left="240" w:top="459" w:right="259" w:bottom="1440" w:gutter="0" w:footer="0" w:header="0"/>
          <w:type w:val="continuous"/>
        </w:sectPr>
      </w:pPr>
    </w:p>
    <w:p>
      <w:pPr>
        <w:spacing w:after="0" w:line="25"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amounts above represent the preliminary fair value estimates as of September 30, 2012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goodwill of $45,808 arising from the Micronetics acquisition largely reflects the potential synergies and expansion of the Company’s service offerings across product segments and markets complementary to the Company’s existing products and markets. The Micronetics acquisition provides the Company with additional capability and expertise related to microwave and radio frequency technology. The acquisition is directly aligned with the Company’s strategy of expanding our capabilities, services and offerings along the sensor processing chain.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September 30, 2012, Micronetics’ revenue of $4,907 and net loss of $1,619 were included in the Company’s consolidated statements of operations. The Company has not furnished pro forma financial information relating to the Micronetics acquisition because such information is not material to the Company’s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the three months ended September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ACS</w:t>
            </w:r>
          </w:p>
        </w:tc>
        <w:tc>
          <w:tcPr>
            <w:tcW w:w="2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MFS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2012</w:t>
            </w:r>
          </w:p>
        </w:tc>
        <w:tc>
          <w:tcPr>
            <w:tcW w:w="1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$ 113,471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$19,150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Goodwill arising from the Micronetics acquisition</w:t>
            </w:r>
          </w:p>
        </w:tc>
        <w:tc>
          <w:tcPr>
            <w:tcW w:w="2380" w:type="dxa"/>
            <w:vAlign w:val="bottom"/>
            <w:gridSpan w:val="3"/>
          </w:tcPr>
          <w:p>
            <w:pPr>
              <w:jc w:val="right"/>
              <w:ind w:right="20"/>
              <w:spacing w:after="0"/>
              <w:rPr>
                <w:sz w:val="20"/>
                <w:szCs w:val="20"/>
                <w:color w:val="auto"/>
              </w:rPr>
            </w:pPr>
            <w:r>
              <w:rPr>
                <w:rFonts w:ascii="Arial" w:cs="Arial" w:eastAsia="Arial" w:hAnsi="Arial"/>
                <w:sz w:val="18"/>
                <w:szCs w:val="18"/>
                <w:color w:val="auto"/>
              </w:rPr>
              <w:t>45,808</w:t>
            </w:r>
          </w:p>
        </w:tc>
        <w:tc>
          <w:tcPr>
            <w:tcW w:w="2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45,808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adjustment for the KOR acquisition</w:t>
            </w:r>
          </w:p>
        </w:tc>
        <w:tc>
          <w:tcPr>
            <w:tcW w:w="16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Balance at September 30, 2012</w:t>
            </w:r>
          </w:p>
        </w:tc>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158,367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19,150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177,517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three months ended September 30, 2012, there were no triggering events, as defined by FASB ASC 350, which required an interim goodwill impairment test. The Company performs its annual goodwill impairment test in the fourth quarter of each fiscal year. The goodwill adjustment for the KOR acquisition is the result of changes in fair value estimates derived from additional information gained during the measurement period which ends December 30, 2012.</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30, 2012</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$43,770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(10,186)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$33,584</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(1,277)</w:t>
            </w:r>
          </w:p>
        </w:tc>
        <w:tc>
          <w:tcPr>
            <w:tcW w:w="580" w:type="dxa"/>
            <w:vAlign w:val="bottom"/>
          </w:tcPr>
          <w:p>
            <w:pPr>
              <w:jc w:val="right"/>
              <w:spacing w:after="0"/>
              <w:rPr>
                <w:sz w:val="20"/>
                <w:szCs w:val="20"/>
                <w:color w:val="auto"/>
              </w:rPr>
            </w:pPr>
            <w:r>
              <w:rPr>
                <w:rFonts w:ascii="Arial" w:cs="Arial" w:eastAsia="Arial" w:hAnsi="Arial"/>
                <w:sz w:val="18"/>
                <w:szCs w:val="18"/>
                <w:color w:val="auto"/>
              </w:rPr>
              <w:t>4,293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2,300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(910)</w:t>
            </w:r>
          </w:p>
        </w:tc>
        <w:tc>
          <w:tcPr>
            <w:tcW w:w="580" w:type="dxa"/>
            <w:vAlign w:val="bottom"/>
          </w:tcPr>
          <w:p>
            <w:pPr>
              <w:jc w:val="right"/>
              <w:spacing w:after="0"/>
              <w:rPr>
                <w:sz w:val="20"/>
                <w:szCs w:val="20"/>
                <w:color w:val="auto"/>
              </w:rPr>
            </w:pPr>
            <w:r>
              <w:rPr>
                <w:rFonts w:ascii="Arial" w:cs="Arial" w:eastAsia="Arial" w:hAnsi="Arial"/>
                <w:sz w:val="18"/>
                <w:szCs w:val="18"/>
                <w:color w:val="auto"/>
              </w:rPr>
              <w:t>1,390</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1.2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(15,430)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41,795</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$26,770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(9,217)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$17,553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6.9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(1,007)</w:t>
            </w:r>
          </w:p>
        </w:tc>
        <w:tc>
          <w:tcPr>
            <w:tcW w:w="580" w:type="dxa"/>
            <w:vAlign w:val="bottom"/>
          </w:tcPr>
          <w:p>
            <w:pPr>
              <w:jc w:val="right"/>
              <w:spacing w:after="0"/>
              <w:rPr>
                <w:sz w:val="20"/>
                <w:szCs w:val="20"/>
                <w:color w:val="auto"/>
              </w:rPr>
            </w:pPr>
            <w:r>
              <w:rPr>
                <w:rFonts w:ascii="Arial" w:cs="Arial" w:eastAsia="Arial" w:hAnsi="Arial"/>
                <w:sz w:val="18"/>
                <w:szCs w:val="18"/>
                <w:color w:val="auto"/>
              </w:rPr>
              <w:t>4,563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(588)</w:t>
            </w: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(13,642)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25,083</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vMerge w:val="restart"/>
          </w:tcPr>
          <w:p>
            <w:pPr>
              <w:jc w:val="right"/>
              <w:ind w:right="652"/>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amortization expense for acquired intangible assets remaining at September 30, 2012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210"/>
        </w:trPr>
        <w:tc>
          <w:tcPr>
            <w:tcW w:w="20" w:type="dxa"/>
            <w:vAlign w:val="bottom"/>
          </w:tcPr>
          <w:p>
            <w:pPr>
              <w:spacing w:after="0"/>
              <w:rPr>
                <w:sz w:val="18"/>
                <w:szCs w:val="18"/>
                <w:color w:val="auto"/>
              </w:rPr>
            </w:pPr>
          </w:p>
        </w:tc>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Micronetics acquisition. These assets are included in the Company’s gross and net carrying amounts as of September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$17,000</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1"/>
              </w:rPr>
              <w:t>(419)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$16,581</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6.0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Backlog</w:t>
            </w:r>
          </w:p>
        </w:tc>
        <w:tc>
          <w:tcPr>
            <w:tcW w:w="2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(222)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6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1.0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18,500</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17,859</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September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rPr>
              <w:t>Fair Value Measurements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6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200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18,049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$18,049</w:t>
            </w: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200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21,595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21,595</w:t>
            </w: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20" w:type="dxa"/>
            <w:vAlign w:val="bottom"/>
            <w:vMerge w:val="restart"/>
          </w:tcPr>
          <w:p>
            <w:pPr>
              <w:jc w:val="right"/>
              <w:ind w:right="752"/>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carrying values of cash and cash equivalents, including U.S. Treasury bills and money market funds, accounts receivable and payable, and accrued liabilities approximate fair value due to the short-term maturities of these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7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2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8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7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40,438</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25,845</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$14,593 increase of inventory was primarily due to inventory from the Micronetics acquisition, valued at $12,080 at the date of acquisition. There are no amounts in inventory relating to contracts having production cycles longer than one year.</w:t>
      </w:r>
    </w:p>
    <w:p>
      <w:pPr>
        <w:spacing w:after="0" w:line="20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of September 30, 2012, the Company had a loan and security agreement (the “Loan Agreement”) with Silicon Valley Bank that provided a $35,000 revolving line of credit (the “Revolver”), with interest payable monthly and the principal due at the February 11, 2014 maturity of the Revolver. The Company has had no borrowings under the Loan Agreement since inception and was in compliance with all covenants as of September 30, 2012.</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terminated the Loan Agreement on October 12, 2012, in connection with entering into a new senior unsecured revolving credit facility with a syndicate of commercial banks with KeyBank acting as administrative agent. See Note N Subsequent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U.S. Department of Justice (“DOJ”) conducted an investigation into the conduct of certain former employees of PDI (which was acquired by the Company in connection with the acquisition of KOR Electronics on December 30, 2011) in the 2008-2009 time frame, asserting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the foregoing, the Company is subject to litigation, claims, investigations and audits arising from time to time in the ordinary course of our business. Although legal proceedings are inherently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September 30, 2012, the Company has entered into non-cancelable purchase commitments for certain inventory components and services used in its normal operations. The purchase commitments covered by these agreements are for less than one year and aggregate to $15,004.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number of shares authorized for issuance under the Company’s 2005 Stock Incentive Plan , as amended and restated (the “2005 Plan”), is 6,092 shares at September 30, 2012.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792 shares available for future grant under the 2005 Plan at September 30, 2012. Subsequent to September 30, 2012, the Company’s shareholders approved an increase of 1,500 shares.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up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remains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2012 and 2011. Shares available for future purchase under the ESPP totaled 360 at September 30,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20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3"/>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(Years)</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23.70</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18.10</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August 8, 2012, the Company completed its acquisition of Micronetics. Pursuant to the terms of the Merger Agreement, all outstanding options to acquire shares of Micronetics common stock that were vested at the closing were cancelled and the holders of such options received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the Company. The replacement stock options granted were determined based on a conversion ratio provided in the Merger Agreement. The 271 of stock options granted in the table above reflect the replacement of the unvested Micronetics stock options as of August 8,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A</w:t>
      </w:r>
      <w:r>
        <w:rPr>
          <w:rFonts w:ascii="Arial" w:cs="Arial" w:eastAsia="Arial" w:hAnsi="Arial"/>
          <w:sz w:val="14"/>
          <w:szCs w:val="14"/>
          <w:color w:val="auto"/>
        </w:rPr>
        <w:t>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weighted-average key fair value results and assumptions for stock options granted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r>
      <w:tr>
        <w:trPr>
          <w:trHeight w:val="210"/>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of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Option life(1)</w:t>
            </w:r>
          </w:p>
        </w:tc>
        <w:tc>
          <w:tcPr>
            <w:tcW w:w="100" w:type="dxa"/>
            <w:vAlign w:val="bottom"/>
          </w:tcPr>
          <w:p>
            <w:pPr>
              <w:spacing w:after="0"/>
              <w:rPr>
                <w:sz w:val="18"/>
                <w:szCs w:val="18"/>
                <w:color w:val="auto"/>
              </w:rPr>
            </w:pPr>
          </w:p>
        </w:tc>
        <w:tc>
          <w:tcPr>
            <w:tcW w:w="1640" w:type="dxa"/>
            <w:vAlign w:val="bottom"/>
            <w:gridSpan w:val="2"/>
          </w:tcPr>
          <w:p>
            <w:pPr>
              <w:jc w:val="right"/>
              <w:ind w:right="932"/>
              <w:spacing w:after="0"/>
              <w:rPr>
                <w:sz w:val="20"/>
                <w:szCs w:val="20"/>
                <w:color w:val="auto"/>
              </w:rPr>
            </w:pPr>
            <w:r>
              <w:rPr>
                <w:rFonts w:ascii="Arial" w:cs="Arial" w:eastAsia="Arial" w:hAnsi="Arial"/>
                <w:sz w:val="18"/>
                <w:szCs w:val="18"/>
                <w:color w:val="auto"/>
                <w:w w:val="83"/>
              </w:rPr>
              <w:t>4.5 years</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Stock volatility(3)</w:t>
            </w:r>
          </w:p>
        </w:tc>
        <w:tc>
          <w:tcPr>
            <w:tcW w:w="100" w:type="dxa"/>
            <w:vAlign w:val="bottom"/>
          </w:tcPr>
          <w:p>
            <w:pPr>
              <w:spacing w:after="0"/>
              <w:rPr>
                <w:sz w:val="18"/>
                <w:szCs w:val="18"/>
                <w:color w:val="auto"/>
              </w:rPr>
            </w:pPr>
          </w:p>
        </w:tc>
        <w:tc>
          <w:tcPr>
            <w:tcW w:w="1640" w:type="dxa"/>
            <w:vAlign w:val="bottom"/>
            <w:gridSpan w:val="2"/>
          </w:tcPr>
          <w:p>
            <w:pPr>
              <w:jc w:val="right"/>
              <w:ind w:right="79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line="30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volatility arising from planned changes in the Company’s business operations.</w:t>
      </w:r>
    </w:p>
    <w:p>
      <w:pPr>
        <w:spacing w:after="0" w:line="9" w:lineRule="exact"/>
        <w:rPr>
          <w:sz w:val="20"/>
          <w:szCs w:val="20"/>
          <w:color w:val="auto"/>
        </w:rPr>
      </w:pPr>
    </w:p>
    <w:p>
      <w:pPr>
        <w:ind w:left="5620" w:right="3840" w:hanging="5612"/>
        <w:spacing w:after="0" w:line="517" w:lineRule="auto"/>
        <w:tabs>
          <w:tab w:leader="none" w:pos="448"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stock options were granted by the Company during the three months ended September 30, 2011. 14</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2012</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2,130</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months ended September 30, 2012 and 2011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1,675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tcPr>
          <w:p>
            <w:pPr>
              <w:spacing w:after="0"/>
              <w:rPr>
                <w:sz w:val="20"/>
                <w:szCs w:val="20"/>
                <w:color w:val="auto"/>
              </w:rPr>
            </w:pPr>
            <w:r>
              <w:rPr>
                <w:rFonts w:ascii="Arial" w:cs="Arial" w:eastAsia="Arial" w:hAnsi="Arial"/>
                <w:sz w:val="18"/>
                <w:szCs w:val="18"/>
                <w:color w:val="auto"/>
              </w:rPr>
              <w:t>Stock-based compensation expense before tax</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2,345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2,040</w:t>
            </w: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Net compensation expense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1,492</w:t>
            </w: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 Geographic Information and Significant Customers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presently organized in two operating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180" w:hanging="446"/>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Advanced Computing Solutions: this operating segment is focused on specialized, high-performance embedded, real-time digital signal and image processing solutions that encompass signal acquisition, including microwave front-end, digitalization, digital signal processing, exploitation processing, high capacity digital storage and communications, targeted to key market segments, including defense, communications and other commercial applications. With the addition of KOR, the ACS segment also designs and develops Digital Radio Frequency Memory (DRFM) units for a variety of modern EW applications, as well as radar environment simulation and test systems for defense applications.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Mercury Federal Systems: this operating segment is focused on services and support work with the Department of Defense and federal intelligence and homeland security agencies, including designing, engineering, and deploying new ISR capabilities to address present and emerging threats to U.S. forces. With the addition of PDI, the MFS segment also provides sophisticated analysis and exploitation, multi-sensor data fusion and enrichment, and data processing services for the U.S. intelligence community.</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Beginning with the three months ended March 31, 2012, the profitability measure employed by the Company and its chief operating decision maker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 The Company believes that adjusted EBITDA provides an additional basis for decision making and assessing segment performance than income (loss) from operations prior to stock compensation expense which was used prior to March 31, 2012.</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ACS</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MFS</w:t>
            </w:r>
          </w:p>
        </w:tc>
        <w:tc>
          <w:tcPr>
            <w:tcW w:w="5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80" w:type="dxa"/>
            <w:vAlign w:val="bottom"/>
            <w:tcBorders>
              <w:top w:val="single" w:sz="8" w:color="CCEEFF"/>
            </w:tcBorders>
            <w:shd w:val="clear" w:color="auto" w:fill="CCEEFF"/>
          </w:tcPr>
          <w:p>
            <w:pPr>
              <w:jc w:val="right"/>
              <w:ind w:right="2552"/>
              <w:spacing w:after="0" w:line="188"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29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30, 2012</w:t>
            </w:r>
          </w:p>
        </w:tc>
        <w:tc>
          <w:tcPr>
            <w:tcW w:w="2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37,808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9,916</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42,716</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9,924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(3,212)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80" w:type="dxa"/>
            <w:vAlign w:val="bottom"/>
          </w:tcPr>
          <w:p>
            <w:pPr>
              <w:jc w:val="right"/>
              <w:ind w:right="255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jc w:val="right"/>
              <w:ind w:right="255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30, 2011</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45,397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4,171</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4,171</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vMerge w:val="continue"/>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380" w:type="dxa"/>
            <w:vAlign w:val="bottom"/>
          </w:tcPr>
          <w:p>
            <w:pPr>
              <w:spacing w:after="0"/>
              <w:rPr>
                <w:sz w:val="24"/>
                <w:szCs w:val="24"/>
                <w:color w:val="auto"/>
              </w:rPr>
            </w:pPr>
          </w:p>
        </w:tc>
        <w:tc>
          <w:tcPr>
            <w:tcW w:w="2980" w:type="dxa"/>
            <w:vAlign w:val="bottom"/>
          </w:tcPr>
          <w:p>
            <w:pPr>
              <w:jc w:val="right"/>
              <w:ind w:right="147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Company’s net income, the most directly comparable GAAP financial measure, to its adjusted EBITDA: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8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income from continuing operations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$(7,200)</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$ 2,653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2,211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4,984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$ 1,638</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Europe</w:t>
            </w:r>
          </w:p>
        </w:tc>
        <w:tc>
          <w:tcPr>
            <w:tcW w:w="2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220" w:type="dxa"/>
            <w:vAlign w:val="bottom"/>
            <w:tcBorders>
              <w:top w:val="single" w:sz="8" w:color="CCEEFF"/>
            </w:tcBorders>
            <w:shd w:val="clear" w:color="auto" w:fill="CCEEFF"/>
          </w:tcPr>
          <w:p>
            <w:pPr>
              <w:jc w:val="right"/>
              <w:ind w:right="4392"/>
              <w:spacing w:after="0" w:line="188"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jc w:val="right"/>
              <w:ind w:right="43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30, 2012</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$47,635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345</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1,448</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(1,252)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48,812</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1,474</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(1,252)</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jc w:val="right"/>
              <w:ind w:right="4392"/>
              <w:spacing w:after="0" w:line="203" w:lineRule="exact"/>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HREE</w:t>
            </w:r>
            <w:r>
              <w:rPr>
                <w:rFonts w:ascii="Arial" w:cs="Arial" w:eastAsia="Arial" w:hAnsi="Arial"/>
                <w:sz w:val="18"/>
                <w:szCs w:val="18"/>
                <w:color w:val="auto"/>
                <w:w w:val="97"/>
              </w:rPr>
              <w:t xml:space="preserve"> M</w:t>
            </w:r>
            <w:r>
              <w:rPr>
                <w:rFonts w:ascii="Arial" w:cs="Arial" w:eastAsia="Arial" w:hAnsi="Arial"/>
                <w:sz w:val="14"/>
                <w:szCs w:val="14"/>
                <w:color w:val="auto"/>
                <w:w w:val="97"/>
              </w:rPr>
              <w:t>ONTHS</w:t>
            </w:r>
            <w:r>
              <w:rPr>
                <w:rFonts w:ascii="Arial" w:cs="Arial" w:eastAsia="Arial" w:hAnsi="Arial"/>
                <w:sz w:val="18"/>
                <w:szCs w:val="18"/>
                <w:color w:val="auto"/>
                <w:w w:val="97"/>
              </w:rPr>
              <w:t xml:space="preserve"> E</w:t>
            </w:r>
            <w:r>
              <w:rPr>
                <w:rFonts w:ascii="Arial" w:cs="Arial" w:eastAsia="Arial" w:hAnsi="Arial"/>
                <w:sz w:val="14"/>
                <w:szCs w:val="14"/>
                <w:color w:val="auto"/>
                <w:w w:val="97"/>
              </w:rPr>
              <w:t>NDED</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jc w:val="right"/>
              <w:ind w:right="43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EPTEMBER</w:t>
            </w:r>
            <w:r>
              <w:rPr>
                <w:rFonts w:ascii="Arial" w:cs="Arial" w:eastAsia="Arial" w:hAnsi="Arial"/>
                <w:sz w:val="18"/>
                <w:szCs w:val="18"/>
                <w:color w:val="auto"/>
              </w:rPr>
              <w:t xml:space="preserve"> 30, 2011</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$46,877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792</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$49,122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(2,459)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49,059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1,049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(2,459)</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U.S.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Europe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September 30, 2012</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$19,707</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$19,738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June 30, 2012</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$15,895</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$15,929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Sierra Nevada Corporation</w:t>
            </w:r>
          </w:p>
        </w:tc>
        <w:tc>
          <w:tcPr>
            <w:tcW w:w="15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Raytheon Company</w:t>
            </w:r>
          </w:p>
        </w:tc>
        <w:tc>
          <w:tcPr>
            <w:tcW w:w="1560" w:type="dxa"/>
            <w:vAlign w:val="bottom"/>
            <w:gridSpan w:val="2"/>
          </w:tcPr>
          <w:p>
            <w:pPr>
              <w:jc w:val="right"/>
              <w:ind w:right="7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15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560" w:type="dxa"/>
            <w:vAlign w:val="bottom"/>
            <w:gridSpan w:val="2"/>
          </w:tcPr>
          <w:p>
            <w:pPr>
              <w:jc w:val="right"/>
              <w:ind w:right="79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5620" w:right="4480" w:hanging="5612"/>
        <w:spacing w:after="0" w:line="525" w:lineRule="auto"/>
        <w:tabs>
          <w:tab w:leader="none" w:pos="2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that the amount is less than 10% of the Company’s revenues for the respective period. 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Although the Company typically has several customers from which it derives 10% or more of its revenue, the sales to each of these customers are spread across multiple programs and platforms. For the three months ended September 30, 2012, the Gorgon Stare program individually comprised 14% of the Company’s revenues. For the three month period ended September 30, 2011, only the Joint Strike Fighter program at 16% comprised 10% or more of the Company’s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recorded a tax benefit of $3,651 and tax expense of $1,314 for the three months ended September 30, 2012 and 2011, respectively, on a loss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continuing operations before taxes of $10,851 and income from continuing operations of $3,967 for the three months ended September 30, 2012 and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Income tax benefit for the three months ended September 30, 2012 differed from the federal statutory rate primarily due to the impact of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199 manufacturing deduction, state taxes and stock compensation. Income tax expense for the three months ended September 30, 2011 differed from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 primarily due to the impact of a Section 199 manufacturing deduction and research and development tax credits.</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2012.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Plan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first quarter of fiscal 2013, the Company announced a restructuring plan (“2013 Plan”) affecting the ACS business segment. The 2013 Plan was implemented to cope with reduced defense revenues and the near term uncertainties in the defense industry driven by the potential for sequestration. The 2013 Plan primarily consisted of involuntary separation costs related to the reduction in force which eliminated 142 positions largely in engineering, manufacturing and administrative functions. Restructuring expense of $4,984 was recognized for the three months ended September 30, 2012.</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the fourth quarter of fiscal 2012, the Company announced a restructuring plan (“2012 Plan”) affecting both the ACS and MFS business segments. The 2012 Plan primarily consisted of involuntary separation costs related to the reduction in force which eliminated 41 positions largely in engineering and manufacturing functions; and facility costs related to outsourcing of certain manufacturing activities at the Company’s Huntsville, Alabama site. Future restructuring expenses of approximately $647 associated with the 2012 Plan are expected in fiscal 2013 as the Company starts transitioning the manufacturing activities formerly conducted at the Huntsville, Alabama facility. This restructuring expense will affect the ACS business segment.</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business segment for the Company’s restructuring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Severance &amp;</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Facilities</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Related</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&amp; Other</w:t>
            </w:r>
          </w:p>
        </w:tc>
        <w:tc>
          <w:tcPr>
            <w:tcW w:w="3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ACS restructuring charges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306</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MFS restructuring charges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306</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(121)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185</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ACS restructuring charges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restructuring charges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color w:val="auto"/>
              </w:rPr>
              <w:t>Total provision</w:t>
            </w:r>
          </w:p>
        </w:tc>
        <w:tc>
          <w:tcPr>
            <w:tcW w:w="120" w:type="dxa"/>
            <w:vAlign w:val="bottom"/>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Reversals</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September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Subsequent Events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October 12, 2012, the Company entered into a credit agreement (the “Credit Agreement”) with a syndicate of commercial banks, with KeyBank National Association acting as the administrative agent. The Credit Agreement provides for a $200.0 million senior unsecured revolving line of credit (the “Revolver”). The Company can borrow up to $200.0 million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1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w:t>
      </w:r>
    </w:p>
    <w:p>
      <w:pPr>
        <w:spacing w:after="0" w:line="10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the Company is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borrowed under the Credit Agreement to date.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entering into the Credit Agreement, on October 12, 2012, the Company terminated its Loan and Security Agreement with Silicon Valley Bank dated February 12, 2010, as amended on March 30, 2011 (the “Loan Agreement”). The Loan Agreement provided for a $35.0 million revolving line of credit. The Company terminated the Loan Agreement early without penalty. Silicon Valley Bank released its security interests in the Company’s assets in connection with the termination of the Loan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including the potential for a continuing resolution for the defense budget, the potential for defense budget sequestration, and the budget uncertainty related to the Presidential election,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2012.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markets. Our solutions play a critical role in a wide range of applications, processing and transforming sensor data to information for storage, analysis and interpretation. Our goal is to grow and build on our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our sub-systems receive, process, and store real-time radar, video, sonar and signals intelligence data. We provide radio frequency (“RF”) and microwave products for enhanced signal acquisition and communications in military and commercial applications. Additionally, Mercury Federal Systems, our wholly owned subsidiary, focuses on direct and indirect contracts supporting the defense, intelligence, and homeland security agencies. We have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ballistic missile defense, ground mobile and force protection systems and tactical communications and network systems. We deliver commercially developed technology and solutions that are based on open system architectures and widely adopted industry standards, and support all of this with services and support capabilities.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September 30, 2012, we had 810 employees. Our revenue, net loss and adjusted EBITDA for the three month period ended September 30, 2012 were $49.4 million, ($7.2) million and $1.6 million, respectively. See the Non-GAAP Financial Measures section for a reconciliation of our adjusted EBITDA to net loss from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presently organized in the following two business segments: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segment is focused on specialized, high-performance embedded, real-time digital signal and image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solutions that encompass signal acquisition, including microwave front-end, digitization, digital signal processing, exploitation processing, high capacity digital storage and communications, targeted to key market segments, including defense, communications and other commercial applications. ACS’s open system architecture solutions span the full range of embedded technologies from board level products to fully integrated sub-systems. Our products utilize leading-edge processor and other technologies architected to address highly data-intensive applications that include signal, sensor and image processing within environmentally challenging and size, weight and power constrained military and commercial applications. In addition, ACS has a portfolio of RF and microwave sub-assemblies to address needs in EW, signal intelligence (“SIGINT”), electronic intelligence (“ELINT”), and high bandwidth communications subsystems.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We continue to innovate our technologies around challenging requirements and have technologies available today and planned for the future to address them as they evolve and become increasingly demanding.</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With the addition of KOR Electronics (“KOR”) in December 2011, we added a focus on the exploitation of RF signals. Leveraging our analog-to-digital and digital-to-analog technologies and expertise, KOR delivers innovative high end solutions and services to the defense communities:</w:t>
      </w:r>
    </w:p>
    <w:p>
      <w:pPr>
        <w:spacing w:after="0" w:line="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DRFM (Digital Radio Frequency Memory) products which offer state of the art performance at low cost, for EW applications;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radar and EW environment test and simulator products that are DRFM based and use modular and scalable building blocks including commercial-off-the-shelf hardware.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the acquisition of Micronetics, Inc. (“Micronetics”) in August 2012, we added a leading designer and manufacturer of microwave and RF subsystems and components for defense and commercial customers. The acquisition was directly aligned with our strategy of expanding our capabilities, services and offerings along the sensor processing chain.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September 30, 2012, ACS accounted for 80% of our total net revenues.</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Mercury Federal Systems, or MFS. </w:t>
      </w:r>
      <w:r>
        <w:rPr>
          <w:rFonts w:ascii="Arial" w:cs="Arial" w:eastAsia="Arial" w:hAnsi="Arial"/>
          <w:sz w:val="18"/>
          <w:szCs w:val="18"/>
          <w:color w:val="auto"/>
        </w:rPr>
        <w:t>This business segment is focused on services and support work with the DoD and federal intelligence and homeland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agencies, including designing, engineering, and deploying new ISR capabilities to address present and emerging threats to U.S. forces. With the addition of Paragon Dynamics, Inc. (“PDI”) in December 2011, our MFS segment also provides sophisticated analysis and exploitation, multi-sensor data fusion and enrichment, and data processing services for the U.S. intelligence community. MFS is part of our long-term strategy to expand our software and services presence and pursue growth within the intelligence community. MFS offers a wide range of engineering architecture and design services that enable clients to deploy leading edge computing capabilities for ISR applications on an accelerated time cycle. This business segment enables us to combine classified intellectual property with the commercially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developed application-ready sub-systems being developed by ACS, providing customers with platform-ready, affordable ISR sub-systems. For the three months ended September 30, 2012, MFS accounted for 20% of our total net revenues.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As a % of</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12"/>
                <w:szCs w:val="12"/>
                <w:color w:val="auto"/>
              </w:rPr>
            </w:pPr>
          </w:p>
        </w:tc>
        <w:tc>
          <w:tcPr>
            <w:tcW w:w="15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Net</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820" w:type="dxa"/>
            <w:vAlign w:val="bottom"/>
            <w:gridSpan w:val="4"/>
          </w:tcPr>
          <w:p>
            <w:pPr>
              <w:jc w:val="right"/>
              <w:ind w:right="193"/>
              <w:spacing w:after="0" w:line="148"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5"/>
              </w:rPr>
              <w:t>Revenue</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194"/>
              <w:spacing w:after="0" w:line="148" w:lineRule="exact"/>
              <w:rPr>
                <w:sz w:val="20"/>
                <w:szCs w:val="20"/>
                <w:color w:val="auto"/>
              </w:rPr>
            </w:pPr>
            <w:r>
              <w:rPr>
                <w:rFonts w:ascii="Arial" w:cs="Arial" w:eastAsia="Arial" w:hAnsi="Arial"/>
                <w:sz w:val="14"/>
                <w:szCs w:val="14"/>
                <w:b w:val="1"/>
                <w:bCs w:val="1"/>
                <w:color w:val="auto"/>
              </w:rPr>
              <w:t>2011</w:t>
            </w:r>
          </w:p>
        </w:tc>
        <w:tc>
          <w:tcPr>
            <w:tcW w:w="840" w:type="dxa"/>
            <w:vAlign w:val="bottom"/>
          </w:tcPr>
          <w:p>
            <w:pPr>
              <w:spacing w:after="0"/>
              <w:rPr>
                <w:sz w:val="12"/>
                <w:szCs w:val="12"/>
                <w:color w:val="auto"/>
              </w:rPr>
            </w:pPr>
          </w:p>
        </w:tc>
        <w:tc>
          <w:tcPr>
            <w:tcW w:w="760" w:type="dxa"/>
            <w:vAlign w:val="bottom"/>
            <w:gridSpan w:val="2"/>
          </w:tcPr>
          <w:p>
            <w:pPr>
              <w:jc w:val="center"/>
              <w:ind w:right="132"/>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4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49,428</w:t>
            </w:r>
          </w:p>
        </w:tc>
        <w:tc>
          <w:tcPr>
            <w:tcW w:w="2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80" w:type="dxa"/>
            <w:vAlign w:val="bottom"/>
            <w:gridSpan w:val="3"/>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49,122</w:t>
            </w:r>
          </w:p>
        </w:tc>
        <w:tc>
          <w:tcPr>
            <w:tcW w:w="840" w:type="dxa"/>
            <w:vAlign w:val="bottom"/>
            <w:tcBorders>
              <w:left w:val="single" w:sz="8" w:color="CCEEFF"/>
              <w:right w:val="single" w:sz="8" w:color="CCEEFF"/>
            </w:tcBorders>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29,038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19,206</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20,390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14,533</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10,039</w:t>
            </w:r>
          </w:p>
        </w:tc>
        <w:tc>
          <w:tcPr>
            <w:tcW w:w="5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11,865</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4,984</w:t>
            </w:r>
          </w:p>
        </w:tc>
        <w:tc>
          <w:tcPr>
            <w:tcW w:w="5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4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31,574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26,351</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0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(11,184)</w:t>
            </w:r>
          </w:p>
        </w:tc>
        <w:tc>
          <w:tcPr>
            <w:tcW w:w="5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3,565</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w:t>
            </w:r>
          </w:p>
        </w:tc>
        <w:tc>
          <w:tcPr>
            <w:tcW w:w="10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(10,851)</w:t>
            </w:r>
          </w:p>
        </w:tc>
        <w:tc>
          <w:tcPr>
            <w:tcW w:w="5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(22.0)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3,967</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(3,651)</w:t>
            </w:r>
          </w:p>
        </w:tc>
        <w:tc>
          <w:tcPr>
            <w:tcW w:w="540" w:type="dxa"/>
            <w:vAlign w:val="bottom"/>
          </w:tcPr>
          <w:p>
            <w:pPr>
              <w:spacing w:after="0"/>
              <w:rPr>
                <w:sz w:val="18"/>
                <w:szCs w:val="18"/>
                <w:color w:val="auto"/>
              </w:rPr>
            </w:pPr>
          </w:p>
        </w:tc>
        <w:tc>
          <w:tcPr>
            <w:tcW w:w="1080" w:type="dxa"/>
            <w:vAlign w:val="bottom"/>
            <w:gridSpan w:val="3"/>
          </w:tcPr>
          <w:p>
            <w:pPr>
              <w:jc w:val="right"/>
              <w:ind w:right="372"/>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1,314</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(7,200)</w:t>
            </w:r>
          </w:p>
        </w:tc>
        <w:tc>
          <w:tcPr>
            <w:tcW w:w="5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2,653</w:t>
            </w:r>
          </w:p>
        </w:tc>
        <w:tc>
          <w:tcPr>
            <w:tcW w:w="84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jc w:val="right"/>
              <w:ind w:right="192"/>
              <w:spacing w:after="0" w:line="148"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w w:val="76"/>
              </w:rPr>
              <w:t>$</w:t>
            </w:r>
          </w:p>
        </w:tc>
        <w:tc>
          <w:tcPr>
            <w:tcW w:w="124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5"/>
              </w:rPr>
              <w:t>Change</w:t>
            </w:r>
          </w:p>
        </w:tc>
        <w:tc>
          <w:tcPr>
            <w:tcW w:w="760" w:type="dxa"/>
            <w:vAlign w:val="bottom"/>
            <w:gridSpan w:val="2"/>
          </w:tcPr>
          <w:p>
            <w:pPr>
              <w:jc w:val="right"/>
              <w:ind w:right="112"/>
              <w:spacing w:after="0" w:line="148" w:lineRule="exact"/>
              <w:rPr>
                <w:sz w:val="20"/>
                <w:szCs w:val="20"/>
                <w:color w:val="auto"/>
              </w:rPr>
            </w:pPr>
            <w:r>
              <w:rPr>
                <w:rFonts w:ascii="Arial" w:cs="Arial" w:eastAsia="Arial" w:hAnsi="Arial"/>
                <w:sz w:val="14"/>
                <w:szCs w:val="14"/>
                <w:b w:val="1"/>
                <w:bCs w:val="1"/>
                <w:color w:val="auto"/>
                <w:w w:val="79"/>
              </w:rPr>
              <w:t>% Change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ACS</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37,808</w:t>
            </w: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ind w:right="142"/>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45,397</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(7,589)</w:t>
            </w:r>
          </w:p>
        </w:tc>
        <w:tc>
          <w:tcPr>
            <w:tcW w:w="8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MFS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9,916</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5,745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2,150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49,428</w:t>
            </w:r>
          </w:p>
        </w:tc>
        <w:tc>
          <w:tcPr>
            <w:tcW w:w="54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49,122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306</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revenues increased $0.3 million, or 1%, to $49.4 million during the three months ended September 30, 2012 as compared to the comparable period in fiscal 2012. International revenues represented approximately 4% and 5% of total revenues during the three months ended September 30, 2012 and 2011,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ACS revenues decreased $7.6 million, or 17%, during the three months ended September 30, 2012 as compared to the same period in fiscal 2012. This decrease was primarily driven by lower defense sales of $8.4 million which were slightly offset by a $0.8 million increase in commercial sales. Excluding the addition of KOR and Micronetics, defense revenues for the three months ended September 30, 2012 declined $17.7 million as a result of lower revenues in two particular programs year over year and a general slowdown in funding due to current constraints on U.S. defense spending and uncertainties surrounding the future defense budget.</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Net MFS revenues increased $5.7 million during the three months ended September 30, 2012 as compared to the same period in fiscal 2012. This increase was primarily driven by higher revenues from a wide area persistent surveillance contract and revenues contributed by PDI.</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Gross margin was 41.3% for the three months ended September 30, 2012, a change of 19.6% from the 60.9% gross margin achieved during the same period in fiscal 2012. The decrease in gross margin was primarily due to a shift in program revenue mix and as a result of our acquisitions of KOR, PDI, and Micronetics during the past year which realize lower gross margins, coupled with a revenue decline in our higher margin core ACS digital computing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Selling, general and administrative expenses increased $0.9 million, or 7%, to $14.5 million during the three months ended September 30, 2012, compared to $13.6 million during the comparable period in fiscal 2012. The increase was primarily due to a $0.8 million increase in employee compensation expense, including stock based compensation, primarily as a result of the KOR, PDI and Micronetics acquisitions. Selling, general and administrative expenses increased as a percentage of revenues to 29.4% during the three months ended September 30, 2012 from 27.8% during the same period in fiscal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decreased $1.8 million, or 15%, to $10.0 million during the three months ended September 30,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$11.9 million during the comparable period in fiscal 2012. The decrease was primarily due to cost reduction initiatives as a result of our fiscal 2012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 $0.6 million decrease in employee compensation expense, including stock-based compensation, a $0.6 million decrease in costs of prototype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materials, and $0.7 million in higher resource allocations to customer funded projects. These decreases were partially offset by the inclusion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KOR, PDI, and Micronetics.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Amortization of acquired intangible assets increased $1.0 million, to $1.8 million for the three months ended September 30, 2012 as compared to $0.8 million during the comparable period in fiscal 2012, primarily due to amortization of intangible assets from the KOR, PDI and Micronetics acquisitions completed after the first quarter of fiscal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was $5.0 million of restructuring expense recorded during the three months ended September 30, 2012. The restructuring plan implemented in the first quarter of fiscal 2013 consisted of involuntary separation costs related to the reduction in force which eliminated 35 positions at Micronetics and 107 positions primarily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from our corporate headquarters located in Chelmsford, Massachusetts. These 142 positions were largely from our engineering, administrative and manufacturing functions. The 2013 Plan was implemented to cope with reduced defense revenues and the near term uncertainties in the defense industry driven by the potential for sequestration. We expect to realize approximately $20.0 million in annualized savings from these cost reduction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incurred $0.2 million of acquisition costs and other related expenses during the three months ended September 30, 2012, in connection with the acquisition of Micronetics.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N</w:t>
      </w:r>
      <w:r>
        <w:rPr>
          <w:rFonts w:ascii="Arial" w:cs="Arial" w:eastAsia="Arial" w:hAnsi="Arial"/>
          <w:sz w:val="14"/>
          <w:szCs w:val="14"/>
          <w:color w:val="auto"/>
        </w:rPr>
        <w:t>ET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Other net income decreased $0.1 million, or 17%, to $0.3 million during the three months ended September 30, 2012, as compared to the same period in fiscal 2012. Other income consists of $0.3 million in amortization of the gain on the sale leaseback of our corporate headquarters located in Chelmsford, Massachusetts and foreign currency exchange gains and losses. Interest income and interest expense were deminimis.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recorded an income tax benefit of $3.7 million during the three months ended September 30, 2012 reflecting a 33.5% effective tax rate as compared to a $1.3 million income tax provision, reflecting a 34.1% effective tax rate for the same period in fiscal 2012. Our effective tax rate for the three months ended September 30, 2012 differed from the federal statutory tax rate of 35% primarily due to the impact of a Section 199 manufacturing deduction, state taxes and stock compensation. Our effective tax rate for the three months ended September 30, 2011 differed from the federal statutory rate primarily due to the impact of a Section 199 manufacturing deduction and research and development tax credits.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Adjusted EBITDA, the profitability measure for our segment reporting, for ACS decreased $8.6 million during the three months ended September 30, 2012 to $(0.4) million as compared to $8.2 million for the same period in fiscal 2012. The decrease in adjusted EBITDA is primarily driven by lower revenues of $7.6 million coupled with lower margins driven by a shift in program mix.</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Adjusted EBITDA for the MFS segment increased $1.0 million during the three months ended September 30, 2012 to $1.5 million as compared to $0.5 million for the same period in fiscal 2012. The increase in adjusted EBITDA was primarily due to a $5.7 million increase in revenues.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primary source of liquidity came from existing cash.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we are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 We have not borrowed under the Credit Agreement to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September 30, 2012, we had a loan and security agreement (the “Loan Agreement”) with Silicon Valley Bank that provided a $35 million revolving line of credit (the “Revolver”), with interest payable monthly and the principal due at the February 11, 2014 maturity of the Revolver. We had no borrowings under the Loan Agreement since inception and were in compliance with all covenants as of September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6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(9,949)</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(68,966)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(85,396)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30,568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165,862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cash and cash equivalents decreased by $85.4 million from June 30, 2012 to September 30, 2012, primarily as a result of the $67.7 million payment, net of cash acquired, to acquire Micronetics, $6.6 million payment to repay debt held by Micronetics immediately prior to its acquisition by us, and $9.9 million cash out flow from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the three months ended September 30, 2012, we used $9.9 million in cash for operating activities compared to $4.2 million in cash generated from operating activities during the same period in fiscal 2012. The $14.2 million increase in cash used in operating activities was primarily a result of lower comparable net income of $9.9 million and a $4.8 million smaller reduction in the change in receivables. Our ability to generate cash from operations in future periods will depend in large part on profitability, the rate of collection of accounts receivable, our inventory turns and our ability to manage other areas of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three months ended September 30, 2012, we used cash of $69.0 million in investing activities compared to $1.7 million used by investing activities during the same period in fiscal 2012. The $67.3 million increase in cash used in investing activities was primarily driven by the $67.7 million used to purchase Micronetics on August 8,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three months ended September 30, 2012, we used $6.5 million in financing activities compared to $0.4 million generated from financing activities during the same period in fiscal 2012. The $6.9 million change in cash from financing activities was primarily due to a $6.6 million payment to settle debt acquired as part of the Micronetics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80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8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$15,004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$ 15,004</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620" w:type="dxa"/>
            <w:vAlign w:val="bottom"/>
            <w:gridSpan w:val="3"/>
          </w:tcPr>
          <w:p>
            <w:pPr>
              <w:jc w:val="right"/>
              <w:ind w:right="240"/>
              <w:spacing w:after="0"/>
              <w:rPr>
                <w:sz w:val="20"/>
                <w:szCs w:val="20"/>
                <w:color w:val="auto"/>
              </w:rPr>
            </w:pPr>
            <w:r>
              <w:rPr>
                <w:rFonts w:ascii="Arial" w:cs="Arial" w:eastAsia="Arial" w:hAnsi="Arial"/>
                <w:sz w:val="18"/>
                <w:szCs w:val="18"/>
                <w:color w:val="auto"/>
              </w:rPr>
              <w:t>15,107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4,563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6,359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4,185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30,151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$ 19,607</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6,359</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4,185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vMerge w:val="restart"/>
          </w:tcPr>
          <w:p>
            <w:pPr>
              <w:jc w:val="right"/>
              <w:ind w:right="592"/>
              <w:spacing w:after="0"/>
              <w:rPr>
                <w:sz w:val="20"/>
                <w:szCs w:val="20"/>
                <w:color w:val="auto"/>
              </w:rPr>
            </w:pPr>
            <w:r>
              <w:rPr>
                <w:rFonts w:ascii="Arial" w:cs="Arial" w:eastAsia="Arial" w:hAnsi="Arial"/>
                <w:sz w:val="18"/>
                <w:szCs w:val="18"/>
                <w:color w:val="auto"/>
              </w:rPr>
              <w:t>27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a liability at September 30, 2012 of $2.6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approximately $15.0 million at September 30, 2012.</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Adjusted EBITDA, the profitability measure for our segment reporting,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8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income from continuing operations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$(7,200)</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$ 2,653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2,211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4,984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$ 1,638</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240" w:type="dxa"/>
            <w:vAlign w:val="bottom"/>
            <w:gridSpan w:val="3"/>
            <w:vMerge w:val="continue"/>
          </w:tcPr>
          <w:p>
            <w:pPr>
              <w:spacing w:after="0"/>
              <w:rPr>
                <w:sz w:val="11"/>
                <w:szCs w:val="11"/>
                <w:color w:val="auto"/>
              </w:rPr>
            </w:pPr>
          </w:p>
        </w:tc>
        <w:tc>
          <w:tcPr>
            <w:tcW w:w="4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(used in) provided by operating activities</w:t>
            </w:r>
          </w:p>
        </w:tc>
        <w:tc>
          <w:tcPr>
            <w:tcW w:w="4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(9,949)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(980)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(10,929)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340" w:type="dxa"/>
            <w:vAlign w:val="bottom"/>
            <w:vMerge w:val="restart"/>
          </w:tcPr>
          <w:p>
            <w:pPr>
              <w:jc w:val="right"/>
              <w:ind w:right="315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2012 to September 30,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2012.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September 30, 2012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U.S. Department of Justice (“DOJ”) conducted an investigation into the conduct of certain former employees of PDI (which was acquired by the Company in connection with the acquisition of KOR Electronics on December 30, 2011) in the 2008-2009 time frame, asserting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2012. There have been no material changes from the factors disclosed in our 2012 Annual Report on Form 10-K filed on August 22, 2012, although we may disclose changes to such factors or disclose additional factors from time to time in our future filings with the Securities and Exchange Commission.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26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520"/>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200"/>
              <w:spacing w:after="0"/>
              <w:rPr>
                <w:sz w:val="20"/>
                <w:szCs w:val="20"/>
                <w:color w:val="auto"/>
              </w:rPr>
            </w:pPr>
            <w:r>
              <w:rPr>
                <w:rFonts w:ascii="Arial" w:cs="Arial" w:eastAsia="Arial" w:hAnsi="Arial"/>
                <w:sz w:val="18"/>
                <w:szCs w:val="18"/>
                <w:color w:val="auto"/>
                <w:w w:val="90"/>
              </w:rPr>
              <w:t>Credit Agreement dated as of October 12, 2012 among Mercury Computer Systems, Inc., the lenders from time to time party thereto, KeyBank</w:t>
            </w:r>
          </w:p>
        </w:tc>
      </w:tr>
      <w:tr>
        <w:trPr>
          <w:trHeight w:val="216"/>
        </w:trPr>
        <w:tc>
          <w:tcPr>
            <w:tcW w:w="84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90"/>
              </w:rPr>
              <w:t>National Association, as the administrative agent, swing line lender, a letter of credit issuer and as joint lead arranger and joint bookrunner, TD</w:t>
            </w:r>
          </w:p>
        </w:tc>
      </w:tr>
      <w:tr>
        <w:trPr>
          <w:trHeight w:val="216"/>
        </w:trPr>
        <w:tc>
          <w:tcPr>
            <w:tcW w:w="84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94"/>
              </w:rPr>
              <w:t>Bank, N.A., as joint lead arranger, joint bookrunner and co-syndiation agent, U.S. Bank National Association, as joint lead arranger, joint</w:t>
            </w:r>
          </w:p>
        </w:tc>
      </w:tr>
      <w:tr>
        <w:trPr>
          <w:trHeight w:val="216"/>
        </w:trPr>
        <w:tc>
          <w:tcPr>
            <w:tcW w:w="84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89"/>
              </w:rPr>
              <w:t>bookrunner and co-syndiation agent and Sovereign Bank, N.A., as documentation agent (incorporated herein by reference to Exhibit 10.1 of the</w:t>
            </w:r>
          </w:p>
        </w:tc>
      </w:tr>
      <w:tr>
        <w:trPr>
          <w:trHeight w:val="222"/>
        </w:trPr>
        <w:tc>
          <w:tcPr>
            <w:tcW w:w="840" w:type="dxa"/>
            <w:vAlign w:val="bottom"/>
          </w:tcPr>
          <w:p>
            <w:pPr>
              <w:spacing w:after="0"/>
              <w:rPr>
                <w:sz w:val="19"/>
                <w:szCs w:val="19"/>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Company’s current report on Form 8-K filed on October 17, 2012)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200"/>
              <w:spacing w:after="0"/>
              <w:rPr>
                <w:sz w:val="20"/>
                <w:szCs w:val="20"/>
                <w:color w:val="auto"/>
              </w:rPr>
            </w:pPr>
            <w:r>
              <w:rPr>
                <w:rFonts w:ascii="Arial" w:cs="Arial" w:eastAsia="Arial" w:hAnsi="Arial"/>
                <w:sz w:val="18"/>
                <w:szCs w:val="18"/>
                <w:color w:val="auto"/>
                <w:w w:val="88"/>
              </w:rPr>
              <w:t>Mercury Computer Systems, Inc. Amended and Restated 2005 Stock Incentive Plan (incorporated herein by reference to Appendix A to Mercury</w:t>
            </w:r>
          </w:p>
        </w:tc>
      </w:tr>
      <w:tr>
        <w:trPr>
          <w:trHeight w:val="222"/>
        </w:trPr>
        <w:tc>
          <w:tcPr>
            <w:tcW w:w="840" w:type="dxa"/>
            <w:vAlign w:val="bottom"/>
          </w:tcPr>
          <w:p>
            <w:pPr>
              <w:spacing w:after="0"/>
              <w:rPr>
                <w:sz w:val="19"/>
                <w:szCs w:val="19"/>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Computer Systems, Inc.’s Definitive Proxy Statement filed with the Securities and Exchange Commission on August 31, 2012)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0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0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Sarbanes-Oxley Act of 2002</w:t>
            </w:r>
          </w:p>
        </w:tc>
      </w:tr>
      <w:tr>
        <w:trPr>
          <w:trHeight w:val="365"/>
        </w:trPr>
        <w:tc>
          <w:tcPr>
            <w:tcW w:w="840" w:type="dxa"/>
            <w:vAlign w:val="bottom"/>
          </w:tcPr>
          <w:p>
            <w:pPr>
              <w:spacing w:after="0"/>
              <w:rPr>
                <w:sz w:val="24"/>
                <w:szCs w:val="24"/>
                <w:color w:val="auto"/>
              </w:rPr>
            </w:pPr>
          </w:p>
        </w:tc>
        <w:tc>
          <w:tcPr>
            <w:tcW w:w="10420" w:type="dxa"/>
            <w:vAlign w:val="bottom"/>
          </w:tcPr>
          <w:p>
            <w:pPr>
              <w:ind w:left="478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920" w:right="380" w:hanging="919"/>
        <w:spacing w:after="0" w:line="306" w:lineRule="auto"/>
        <w:tabs>
          <w:tab w:leader="none" w:pos="9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the Form 10-Q for the quarter ended September 30, 2012 formatted in XBRL (eXtensible Business Reporting Language): (i) the Consolidated Balance Sheets; (ii) the Consolidated Statements of Operations; (iii) the Consolidated Statements of Cash Flows; and (iv)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460" w:right="2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5,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M. Bisson</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00"/>
          </w:cols>
          <w:pgMar w:left="240" w:top="459" w:right="11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September 30, 2012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upperLetter"/>
      <w:start w:val="8"/>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2019-12-09T12:47:02Z</dcterms:created>
  <dcterms:modified xsi:type="dcterms:W3CDTF">2019-12-09T12:47:02Z</dcterms:modified>
</cp:coreProperties>
</file>