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50 MINUTEMAN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ANDOVER,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01810</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vMerge w:val="restart"/>
          </w:tcPr>
          <w:p>
            <w:pPr>
              <w:ind w:left="400"/>
              <w:spacing w:after="0"/>
              <w:rPr>
                <w:sz w:val="20"/>
                <w:szCs w:val="20"/>
                <w:color w:val="auto"/>
              </w:rPr>
            </w:pPr>
            <w:r>
              <w:rPr>
                <w:rFonts w:ascii="Arial" w:cs="Arial" w:eastAsia="Arial" w:hAnsi="Arial"/>
                <w:sz w:val="18"/>
                <w:szCs w:val="18"/>
                <w:color w:val="auto"/>
              </w:rPr>
              <w:t>x</w:t>
            </w:r>
          </w:p>
        </w:tc>
        <w:tc>
          <w:tcPr>
            <w:tcW w:w="3340" w:type="dxa"/>
            <w:vAlign w:val="bottom"/>
            <w:vMerge w:val="restart"/>
          </w:tcPr>
          <w:p>
            <w:pPr>
              <w:ind w:left="8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5100" w:type="dxa"/>
            <w:vAlign w:val="bottom"/>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0460" w:type="dxa"/>
            <w:vAlign w:val="bottom"/>
            <w:gridSpan w:val="3"/>
          </w:tcPr>
          <w:p>
            <w:pPr>
              <w:ind w:left="400"/>
              <w:spacing w:after="0" w:line="207" w:lineRule="exact"/>
              <w:rPr>
                <w:sz w:val="20"/>
                <w:szCs w:val="20"/>
                <w:color w:val="auto"/>
              </w:rPr>
            </w:pPr>
            <w:r>
              <w:rPr>
                <w:rFonts w:ascii="Arial" w:cs="Arial" w:eastAsia="Arial" w:hAnsi="Arial"/>
                <w:sz w:val="18"/>
                <w:szCs w:val="18"/>
                <w:color w:val="auto"/>
                <w:w w:val="98"/>
              </w:rPr>
              <w:t xml:space="preserve">Indicate by check mark whether the registrant is a shell company (as defined by Rule 12b-2 of the Exchange Act).  Yes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No x</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20" w:type="dxa"/>
            <w:vAlign w:val="bottom"/>
            <w:gridSpan w:val="2"/>
          </w:tcPr>
          <w:p>
            <w:pPr>
              <w:ind w:left="400"/>
              <w:spacing w:after="0"/>
              <w:rPr>
                <w:sz w:val="20"/>
                <w:szCs w:val="20"/>
                <w:color w:val="auto"/>
              </w:rPr>
            </w:pPr>
            <w:r>
              <w:rPr>
                <w:rFonts w:ascii="Arial" w:cs="Arial" w:eastAsia="Arial" w:hAnsi="Arial"/>
                <w:sz w:val="18"/>
                <w:szCs w:val="18"/>
                <w:color w:val="auto"/>
              </w:rPr>
              <w:t>Shares of Common Stock outstanding as of October 31, 2017: 48,241,475 shares</w:t>
            </w:r>
          </w:p>
        </w:tc>
        <w:tc>
          <w:tcPr>
            <w:tcW w:w="3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1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as of September 30, 2017 and June 30, 2017</w:t>
              </w:r>
            </w:hyperlink>
          </w:p>
        </w:tc>
        <w:tc>
          <w:tcPr>
            <w:tcW w:w="320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8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for the three months ended September 30, 2017</w:t>
              </w:r>
            </w:hyperlink>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2016</w:t>
              </w:r>
            </w:hyperlink>
          </w:p>
        </w:tc>
        <w:tc>
          <w:tcPr>
            <w:tcW w:w="7860" w:type="dxa"/>
            <w:vAlign w:val="bottom"/>
            <w:gridSpan w:val="12"/>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74"/>
        </w:trPr>
        <w:tc>
          <w:tcPr>
            <w:tcW w:w="1840" w:type="dxa"/>
            <w:vAlign w:val="bottom"/>
          </w:tcPr>
          <w:p>
            <w:pPr>
              <w:spacing w:after="0"/>
              <w:rPr>
                <w:sz w:val="24"/>
                <w:szCs w:val="24"/>
                <w:color w:val="auto"/>
              </w:rPr>
            </w:pPr>
          </w:p>
        </w:tc>
        <w:tc>
          <w:tcPr>
            <w:tcW w:w="70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for the three months ended September 30, 2017 and 2016</w:t>
              </w:r>
            </w:hyperlink>
          </w:p>
        </w:tc>
        <w:tc>
          <w:tcPr>
            <w:tcW w:w="148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0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2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720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7920" w:type="dxa"/>
            <w:vAlign w:val="bottom"/>
            <w:gridSpan w:val="1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574"/>
        </w:trPr>
        <w:tc>
          <w:tcPr>
            <w:tcW w:w="18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776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669"/>
        </w:trPr>
        <w:tc>
          <w:tcPr>
            <w:tcW w:w="1840" w:type="dxa"/>
            <w:vAlign w:val="bottom"/>
          </w:tcPr>
          <w:p>
            <w:pPr>
              <w:spacing w:after="0"/>
              <w:rPr>
                <w:sz w:val="24"/>
                <w:szCs w:val="24"/>
                <w:color w:val="auto"/>
              </w:rPr>
            </w:pPr>
          </w:p>
        </w:tc>
        <w:tc>
          <w:tcPr>
            <w:tcW w:w="4300" w:type="dxa"/>
            <w:vAlign w:val="bottom"/>
            <w:gridSpan w:val="9"/>
          </w:tcPr>
          <w:p>
            <w:pPr>
              <w:ind w:left="37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06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6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tcPr>
          <w:p>
            <w:pPr>
              <w:jc w:val="center"/>
              <w:ind w:left="230"/>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2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26,074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41,637</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606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Accounts receivable, net of allowance for doubtful accounts of $55 and $83 at September 30, 2017 and June 30, 2017,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89,037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76,341</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32,413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37,332</w:t>
            </w:r>
          </w:p>
        </w:tc>
        <w:tc>
          <w:tcPr>
            <w:tcW w:w="0" w:type="dxa"/>
            <w:vAlign w:val="bottom"/>
          </w:tcPr>
          <w:p>
            <w:pPr>
              <w:spacing w:after="0"/>
              <w:rPr>
                <w:sz w:val="1"/>
                <w:szCs w:val="1"/>
                <w:color w:val="auto"/>
              </w:rPr>
            </w:pPr>
          </w:p>
        </w:tc>
      </w:tr>
      <w:tr>
        <w:trPr>
          <w:trHeight w:val="80"/>
        </w:trPr>
        <w:tc>
          <w:tcPr>
            <w:tcW w:w="7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6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93,274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81,071</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Prepaid income taxes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9,114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8,381</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assets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251,997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246,196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51,603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51,643</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2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Goodwill</w:t>
            </w:r>
          </w:p>
        </w:tc>
        <w:tc>
          <w:tcPr>
            <w:tcW w:w="1800" w:type="dxa"/>
            <w:vAlign w:val="bottom"/>
            <w:shd w:val="clear" w:color="auto" w:fill="CCEEFF"/>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384,200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380,846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126,501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129,037</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non-current assets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822,592</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815,745</w:t>
            </w:r>
          </w:p>
        </w:tc>
        <w:tc>
          <w:tcPr>
            <w:tcW w:w="0" w:type="dxa"/>
            <w:vAlign w:val="bottom"/>
          </w:tcPr>
          <w:p>
            <w:pPr>
              <w:spacing w:after="0"/>
              <w:rPr>
                <w:sz w:val="1"/>
                <w:szCs w:val="1"/>
                <w:color w:val="auto"/>
              </w:rPr>
            </w:pPr>
          </w:p>
        </w:tc>
      </w:tr>
      <w:tr>
        <w:trPr>
          <w:trHeight w:val="100"/>
        </w:trPr>
        <w:tc>
          <w:tcPr>
            <w:tcW w:w="720" w:type="dxa"/>
            <w:vAlign w:val="bottom"/>
            <w:tcBorders>
              <w:bottom w:val="single" w:sz="8" w:color="CCEEFF"/>
            </w:tcBorders>
          </w:tcPr>
          <w:p>
            <w:pPr>
              <w:spacing w:after="0"/>
              <w:rPr>
                <w:sz w:val="8"/>
                <w:szCs w:val="8"/>
                <w:color w:val="auto"/>
              </w:rPr>
            </w:pPr>
          </w:p>
        </w:tc>
        <w:tc>
          <w:tcPr>
            <w:tcW w:w="1800" w:type="dxa"/>
            <w:vAlign w:val="bottom"/>
            <w:tcBorders>
              <w:bottom w:val="single" w:sz="8" w:color="CCEEFF"/>
            </w:tcBorders>
          </w:tcPr>
          <w:p>
            <w:pPr>
              <w:spacing w:after="0"/>
              <w:rPr>
                <w:sz w:val="8"/>
                <w:szCs w:val="8"/>
                <w:color w:val="auto"/>
              </w:rPr>
            </w:pPr>
          </w:p>
        </w:tc>
        <w:tc>
          <w:tcPr>
            <w:tcW w:w="60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4"/>
                <w:szCs w:val="14"/>
                <w:b w:val="1"/>
                <w:bCs w:val="1"/>
                <w:color w:val="auto"/>
                <w:shd w:val="clear" w:color="auto" w:fill="CCEEFF"/>
              </w:rPr>
              <w:t>Liabilities and Shareholders’ Equity</w:t>
            </w:r>
          </w:p>
        </w:tc>
        <w:tc>
          <w:tcPr>
            <w:tcW w:w="6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Accounts payable</w:t>
            </w:r>
          </w:p>
        </w:tc>
        <w:tc>
          <w:tcPr>
            <w:tcW w:w="60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42,225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27,485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10,639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20,594</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Accrued compensation</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16,603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5,849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6,360</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current liabilities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75,316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72,845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Income taxes payable</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11,503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11,772</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liabilities</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88,324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90,328</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 (Note M)</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Shareholders’ equity:</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5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w w:val="93"/>
                <w:shd w:val="clear" w:color="auto" w:fill="CCEEFF"/>
              </w:rPr>
              <w:t>Common stock, $0.01 par value; 85,000,000 shares authorized; 46,735,814 and 46,303,075 shares issued and outstanding at September 30,</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w w:val="91"/>
                <w:shd w:val="clear" w:color="auto" w:fill="CCEEFF"/>
              </w:rPr>
              <w:t>2017 and June 30, 2017, respectively</w:t>
            </w:r>
          </w:p>
        </w:tc>
        <w:tc>
          <w:tcPr>
            <w:tcW w:w="60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575,737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584,795</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shd w:val="clear" w:color="auto" w:fill="CCEEFF"/>
              </w:rPr>
              <w:t>Retained earnings</w:t>
            </w:r>
          </w:p>
        </w:tc>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157,038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139,085</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3"/>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74"/>
        </w:trPr>
        <w:tc>
          <w:tcPr>
            <w:tcW w:w="720" w:type="dxa"/>
            <w:vAlign w:val="bottom"/>
            <w:tcBorders>
              <w:bottom w:val="single" w:sz="8" w:color="CCEEFF"/>
            </w:tcBorders>
          </w:tcPr>
          <w:p>
            <w:pPr>
              <w:spacing w:after="0"/>
              <w:rPr>
                <w:sz w:val="6"/>
                <w:szCs w:val="6"/>
                <w:color w:val="auto"/>
              </w:rPr>
            </w:pPr>
          </w:p>
        </w:tc>
        <w:tc>
          <w:tcPr>
            <w:tcW w:w="1800" w:type="dxa"/>
            <w:vAlign w:val="bottom"/>
            <w:tcBorders>
              <w:bottom w:val="single" w:sz="8" w:color="CCEEFF"/>
            </w:tcBorders>
          </w:tcPr>
          <w:p>
            <w:pPr>
              <w:spacing w:after="0"/>
              <w:rPr>
                <w:sz w:val="6"/>
                <w:szCs w:val="6"/>
                <w:color w:val="auto"/>
              </w:rPr>
            </w:pPr>
          </w:p>
        </w:tc>
        <w:tc>
          <w:tcPr>
            <w:tcW w:w="60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Total shareholders’ equity</w:t>
            </w:r>
          </w:p>
        </w:tc>
        <w:tc>
          <w:tcPr>
            <w:tcW w:w="6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734,268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725,417</w:t>
            </w: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606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7860" w:type="dxa"/>
            <w:vAlign w:val="bottom"/>
            <w:gridSpan w:val="2"/>
          </w:tcPr>
          <w:p>
            <w:pPr>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822,592</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815,745</w:t>
            </w: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6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5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106,069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87,649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48,205</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17,953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net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38,865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47,489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39,865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 plan,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10,283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81,691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77,314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1,351</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Mercury Systems, Inc. (the “Company” or “Mercury”) is a leading commercial provider of secure sensor and safety critical mission processing subsystems. Optimized for customer and mission success, its solutions power a wide variety of critical defense and intelligence programs. Headquartered in Andover, Massachusetts, it is pioneering a next-generation defense electronics business model specifically designed to meet the industry's current and emerging technology and business needs. The Company delivers affordable innovative solutions, rapid time-to-value and service and support primarily to defense prime contractor customers. The Company's products and solutions have been deployed in more than 300 programs with over 25 different defense prime contractors. Key programs include Aegis, Patriot, Surface Electronic Warfare Improvement Program ("SEWIP"), Gorgon Stare, Predator, F-16 SABR, F-35, E2D Hawkeye, Reaper and Paveway. The Company's organizational structure allows it to deliver capabilities that combine technology building blocks and deep domain expertise in the aerospace and defense sector.</w:t>
      </w:r>
    </w:p>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Generally Accepted Accounting Principles ("GAAP") in the United States of America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2017 which are contained in the Company’s Annual Report on Form 10-K filed with the Securities and Exchange Commission (“SEC”) on August 18, 2017. The results for the three months ended September 30, 2017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OREIGN</w:t>
      </w:r>
      <w:r>
        <w:rPr>
          <w:rFonts w:ascii="Arial" w:cs="Arial" w:eastAsia="Arial" w:hAnsi="Arial"/>
          <w:sz w:val="18"/>
          <w:szCs w:val="18"/>
          <w:color w:val="auto"/>
        </w:rPr>
        <w:t xml:space="preserve"> C</w:t>
      </w:r>
      <w:r>
        <w:rPr>
          <w:rFonts w:ascii="Arial" w:cs="Arial" w:eastAsia="Arial" w:hAnsi="Arial"/>
          <w:sz w:val="14"/>
          <w:szCs w:val="14"/>
          <w:color w:val="auto"/>
        </w:rPr>
        <w:t>URRENCY</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Local currencies are the functional currency for the Company’s subsidiaries in Switzerland, United Kingdom, Japan and Canada.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non-U.S. currency transactions are included in other income (expense), net in the Consolidated Statements of Operations and Comprehensive Income and were immaterial for all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38% and 35% of total revenues in the three months ended September 30, 2017 and 2016, respectively.</w:t>
      </w:r>
    </w:p>
    <w:p>
      <w:pPr>
        <w:spacing w:after="0" w:line="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17"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8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46,504</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38,865</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equity instruments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47,489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39,865</w:t>
            </w:r>
          </w:p>
        </w:tc>
      </w:tr>
      <w:tr>
        <w:trPr>
          <w:trHeight w:val="27"/>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104 and 22 shares of common stock were not included in the calculation of diluted net earnings per share for the three months ended September 30, 2017, and 2016, respectively, because the equity instruments were anti-dilutive.</w:t>
      </w:r>
    </w:p>
    <w:p>
      <w:pPr>
        <w:spacing w:after="0" w:line="139"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ICHLAND TECHNOLOGIES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July 3, 2017, the Company entered into a membership interest purchase agreement with Richland Technologies, L.L.C., ("RTL") pursuant to which, the Company acquired RTL on a cash-free, debt-free basis for a total purchase price of $6,000. The acquisition has an immaterial impact to the Company’s results of operations (contributed less than one percent of net revenue for the three months ended September 30, 2017), and accordingly the disclosures required per FASB ASC 805 have been excluded from the Form 10-Q filing. The Company recognized primarily intangible assets including customer relationships, developed technology and goodwill based on its preliminary purchase price allocation.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ELTA</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 2017, the Company entered into a membership interest purchase agreement with Delta Microwave, LLC ("Delta"), pursuant to which the Company acquired Delta on a cash-free, debt-free basis for a total purchase price of $40,500, subject to net working capital and net debt adjustments. Delta is a designer and manufacturer of high-value RF, microwave and millimeter wave sub-assemblies and components for the military, aerospace and space markets. The acquisition and transaction related expenses were funded with cash on hand.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Delta: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Consideration transferred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40,500</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purchase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Estimated 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957</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1,918</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Other current and 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93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Estimated fair value of net tangible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17,000</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Estimated goodwill</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40,500</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purchase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amounts above represent the preliminary fair value estimates as of September 30, 2017 and are subject to subsequent adjustment as the Company obtains additional information during the measurement period. The preliminary identifiable intangible asset estimates include customer relationships of $8,000 with a useful life of 9 years, developed technology of $5,900 with a useful life of 7 years and backlog of $3,100 with a useful life of 2 years. Any subsequent adjustments to these fair value estimates occurring during the measurement period will result in an adjustment to goodwill.</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goodwill of $17,960 largely reflects the potential synergies and expansion of the Company's offerings across product lines and markets complementary to the Company's existing products and markets. The Delta acquisition expands scale and breadth of the Company’s RF, microwave and millimeter wave capabilities, provides highly complementary program portfolio in missiles and munitions, deepens market penetration in core radar, electronic warfare ("EW"), and precision-guided munitions markets, and opens new growth opportunities in space launch, GPS, satellite communications and datalinks. The goodwill from this acquisition is reported under the AMS reporting unit.</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Since Delta was a limited liability company, the acquisition is treated as an asset purchase for tax purposes. The Company has estimated the tax value of the intangible assets from this transaction and is amortizing the amount over 15 years for tax purposes. As of September 30, 2017, the Company had $17,723 of goodwill deductible for tax purposes.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revenues and income before income taxes from Delta included in the Company's consolidated results for the three months ended September 30, 2017 were $5,532 and $587, respectively. The Company has not furnished pro forma financial information relating to Delta because such information is not material to the Company's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November 4, 2016, the Company and the shareholders of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leading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assurance. CES products and solutions are used on platforms such as aerial refueling tankers and multi-mission aircraft, as well as the several types of unmanned platforms.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CES: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Consideration transferred</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Cash paid at closing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39,123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Working capital adjustment</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Accounts receivable and cost in excess of billings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8,950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Fixed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4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Estimated fair value of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goodwill</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20,346</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Estimated fair value of net assets acquired</w:t>
            </w: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38,793</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September 30, 2017 and are subject to subsequent adjustment as the Company obtains additional information during the measurement period. The preliminary identifiable intangible asset estimates include customer relationships of $9,060 with a useful life of 9 years and developed technology of $5,662 with a useful life of 7 years. Any subsequent adjustments to these fair value estimates occurring during the measurement period will result in an adjustment to goodwill.</w:t>
      </w:r>
    </w:p>
    <w:p>
      <w:pPr>
        <w:spacing w:after="0" w:line="7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goodwill of $20,346 largely reflects the potential synergies and expansion of the Company's offerings across product lines and markets complementary to the Company's existing products and markets. CES provides the Company with capabilities in mission computing, safety-critical avionics and platform management that are in demand from its customers. These new capabilities will also substantially expand Mercury’s addressable market into commercial aerospace, defense platform management, command, control, communications, computers, and intelligence ("C4I") and mission computing markets that are aligned to Mercury’s existing market focus. The acquisition is directly aligned with the Company's strategy of expanding its capabilities, services and offerings along the sensor processing chain. The goodwill from this acquisition is reported under the SMP reporting unit.</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revenues and loss before income taxes from CES included in the Company's consolidated results for the three months ended September 30, 2017 were $6,319 and $352, respectively.</w:t>
      </w:r>
    </w:p>
    <w:p>
      <w:pPr>
        <w:spacing w:after="0" w:line="220" w:lineRule="exact"/>
        <w:rPr>
          <w:sz w:val="20"/>
          <w:szCs w:val="20"/>
          <w:color w:val="auto"/>
        </w:rPr>
      </w:pPr>
    </w:p>
    <w:p>
      <w:pPr>
        <w:ind w:left="840" w:hanging="751"/>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September 30, 2017:</w:t>
      </w:r>
    </w:p>
    <w:p>
      <w:pPr>
        <w:spacing w:after="0" w:line="33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8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September 30,</w:t>
            </w:r>
          </w:p>
        </w:tc>
        <w:tc>
          <w:tcPr>
            <w:tcW w:w="4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8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88"/>
                <w:shd w:val="clear" w:color="auto" w:fill="CCEEFF"/>
              </w:rPr>
              <w:t>Level 1</w:t>
            </w:r>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w w:val="88"/>
                <w:shd w:val="clear" w:color="auto" w:fill="CCEEFF"/>
              </w:rPr>
              <w:t>Level 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8"/>
                <w:shd w:val="clear" w:color="auto" w:fill="CCEEFF"/>
              </w:rPr>
              <w:t>Level 3</w:t>
            </w: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tcPr>
          <w:p>
            <w:pPr>
              <w:ind w:left="40"/>
              <w:spacing w:after="0"/>
              <w:rPr>
                <w:sz w:val="20"/>
                <w:szCs w:val="20"/>
                <w:color w:val="auto"/>
              </w:rPr>
            </w:pPr>
            <w:r>
              <w:rPr>
                <w:rFonts w:ascii="Arial" w:cs="Arial" w:eastAsia="Arial" w:hAnsi="Arial"/>
                <w:sz w:val="18"/>
                <w:szCs w:val="18"/>
                <w:color w:val="auto"/>
              </w:rPr>
              <w:t>Assets:</w:t>
            </w:r>
          </w:p>
        </w:tc>
        <w:tc>
          <w:tcPr>
            <w:tcW w:w="4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98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shd w:val="clear" w:color="auto" w:fill="CCEEFF"/>
              </w:rPr>
              <w:t>Certificates of deposit</w:t>
            </w:r>
          </w:p>
        </w:tc>
        <w:tc>
          <w:tcPr>
            <w:tcW w:w="4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4100" w:type="dxa"/>
            <w:vAlign w:val="bottom"/>
            <w:vMerge w:val="restart"/>
          </w:tcPr>
          <w:p>
            <w:pPr>
              <w:jc w:val="right"/>
              <w:ind w:right="19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jc w:val="both"/>
        <w:ind w:firstLine="432"/>
        <w:spacing w:after="0" w:line="297" w:lineRule="auto"/>
        <w:rPr>
          <w:sz w:val="20"/>
          <w:szCs w:val="20"/>
          <w:color w:val="auto"/>
        </w:rPr>
      </w:pPr>
      <w:r>
        <w:rPr>
          <w:rFonts w:ascii="Arial" w:cs="Arial" w:eastAsia="Arial" w:hAnsi="Arial"/>
          <w:sz w:val="16"/>
          <w:szCs w:val="16"/>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18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net realizable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22,567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9,859</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93,274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81,071</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changes in the carrying amount of goodwill by reporting unit for the three months ended September 30,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SMP</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AMS</w:t>
            </w: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MDS</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June 30, 2017</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380,846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arising from the RTL acquisition</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3,354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September 30,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384,200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In the three months ended September 30, 2017, there were no triggering events, as defined by FASB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which required an interim goodwill impairment test. The Company performs its annual goodwill impairment test in the fourth quarter of each fiscal year.</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Related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Restructuring liability at June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Cash paid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September 30,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three months ended September 30, 2017, the Company incurred net restructuring and other charges of $95. Restructuring and other charges are typically related to acquisitions and organizational redesign programs initiated as part of discrete post-acquisition integration activities.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any remaining severance obligations are expected to be paid within the next twelve months. The restructuring liability is classified as accrued expenses in the consolidated balance sheets.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recorded an income tax benefit of $8,381 and $1,259 on income from operations before income taxes of $9,572 and $2,560 for the three months ended September 30, 2017 and 2016, respectively. During the three months ended September 30, 2017, we recognized a discrete tax benefit of $7,873 related to excess tax benefits on stock-based compensation. The three months ended September 30, 2017 also included a discrete tax benefit of $4,075 derived from new information obtained about net operating loss carry-forwards of the entities acquired from Microsemi Corporation ("Carve-Out Business") in May 2016. The effective tax rate for the three months ended September 30, 2017 and 2016 differed from the federal statutory rate primarily due to federal research and development credits, domestic manufacturing deduction, excess tax benefits related to stock compensation, and state taxes.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2017.</w:t>
      </w:r>
    </w:p>
    <w:p>
      <w:pPr>
        <w:spacing w:after="0" w:line="24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ACILITY</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27, 2017, the Company amended its revolving credit facility to increase and extend the borrowing capacity of its existing revolving credit facility into a $400,000, 5-year revolving credit line expiring in June 2022 (“the Revolver”). As of September 30, 2017, the Company's outstanding balance of unamortized deferred financing costs was $6,324, which is being amortized to other (expense) income, net on a straight line basis over the new term of the Revolver.</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2017, the Company was in compliance with all covenants and conditions under the Revolver and there were no borrowings against the revolver. There were outstanding letters of credit of $2,622 as of September 30, 2017.</w:t>
      </w:r>
    </w:p>
    <w:p>
      <w:pPr>
        <w:spacing w:after="0" w:line="19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15,252 shares at September 30, 2017.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1,484 shares available for future grant under the 2005 Plan at September 30, 2017.</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Company's ongoing annual equity grant program for employees, the Company grants performance-based restricted stock awards to certain executives and employees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 based on its determination of the likelihood for reaching targets. The performance targets include: (i) the achievement of internal performance targets only, and (ii) the achievement of internal performance targets in relation to a peer group of companies.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2017 and 2016, respectively. Shares available for future purchase under the ESPP totaled 302 at September 30,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center"/>
              <w:ind w:left="32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center"/>
              <w:ind w:left="328"/>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3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13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2017:</w:t>
      </w:r>
    </w:p>
    <w:p>
      <w:pPr>
        <w:spacing w:after="0" w:line="284"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Non-vested Restricted Stock Awards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vMerge w:val="restart"/>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ind w:right="77"/>
              <w:spacing w:after="0" w:line="15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June 30, 2017</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1,564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recognizes expense for its share-based payment plans in the consolidated statements of operations for the three months ended September 30, 2017 and 2016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had $148 and $177 of capitalized stock-based compensation expense on the consolidated balance sheets as of September 30, 2017 and 2016, respectively.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39"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top w:val="single" w:sz="8" w:color="CCEEFF"/>
            </w:tcBorders>
            <w:shd w:val="clear" w:color="auto" w:fill="CCEEFF"/>
          </w:tcPr>
          <w:p>
            <w:pPr>
              <w:spacing w:after="0"/>
              <w:rPr>
                <w:sz w:val="23"/>
                <w:szCs w:val="23"/>
                <w:color w:val="auto"/>
              </w:rPr>
            </w:pPr>
          </w:p>
        </w:tc>
        <w:tc>
          <w:tcPr>
            <w:tcW w:w="76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0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43"/>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w:t>
            </w:r>
          </w:p>
        </w:tc>
        <w:tc>
          <w:tcPr>
            <w:tcW w:w="76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b w:val="1"/>
                <w:bCs w:val="1"/>
                <w:color w:val="auto"/>
              </w:rPr>
              <w:t>Pension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 w:type="dxa"/>
            <w:vAlign w:val="bottom"/>
            <w:vMerge w:val="continue"/>
          </w:tcPr>
          <w:p>
            <w:pPr>
              <w:spacing w:after="0"/>
              <w:rPr>
                <w:sz w:val="24"/>
                <w:szCs w:val="24"/>
                <w:color w:val="auto"/>
              </w:rPr>
            </w:pPr>
          </w:p>
        </w:tc>
        <w:tc>
          <w:tcPr>
            <w:tcW w:w="7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EFINED</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With the acquisition of CES on November 4, 2016, the Company assumed a pension plan (the "Plan") for its Swiss employees, which is administered by an independent pension fund. The Plan is mandated by Swiss law and meets the criteria for a defined benefit plan under ASC 715, </w:t>
      </w:r>
      <w:r>
        <w:rPr>
          <w:rFonts w:ascii="Arial" w:cs="Arial" w:eastAsia="Arial" w:hAnsi="Arial"/>
          <w:sz w:val="18"/>
          <w:szCs w:val="18"/>
          <w:i w:val="1"/>
          <w:iCs w:val="1"/>
          <w:color w:val="auto"/>
        </w:rPr>
        <w:t>Compensation—Retirement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Benefits </w:t>
      </w:r>
      <w:r>
        <w:rPr>
          <w:rFonts w:ascii="Arial" w:cs="Arial" w:eastAsia="Arial" w:hAnsi="Arial"/>
          <w:sz w:val="18"/>
          <w:szCs w:val="18"/>
          <w:color w:val="auto"/>
        </w:rPr>
        <w:t>(“ASC 715”), because participants of the Plan are entitled to a defined rate of return on contributions made. The independent pension fund is a multi-employer plan with unrestricted joint liability for all participating companies for which the Plan’s overfunding or underfunding is allocated to each participating company based on an allocation key determined by the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jc w:val="both"/>
        <w:ind w:firstLine="405"/>
        <w:spacing w:after="0" w:line="293" w:lineRule="auto"/>
        <w:rPr>
          <w:sz w:val="20"/>
          <w:szCs w:val="20"/>
          <w:color w:val="auto"/>
        </w:rPr>
      </w:pPr>
      <w:r>
        <w:rPr>
          <w:rFonts w:ascii="Arial" w:cs="Arial" w:eastAsia="Arial" w:hAnsi="Arial"/>
          <w:sz w:val="16"/>
          <w:szCs w:val="16"/>
          <w:color w:val="auto"/>
        </w:rPr>
        <w:t>The Company recognizes a net asset or liability for the Plan equal to the difference between the projected benefit obligation of the Plan and the fair value of the Plan’s assets as required by ASC 715. The funded status may vary from year to year due to changes in the fair value of the Plan’s assets and variations on the underlying assumptions of the projected benefit obligation of the Plan. The Plan's funded status at September 30, 2017 was a net liability of $6,552, which is recorded in other non-current liabilities on the consolidated balance sheets. The Company recorded a net gain of $30 in accumulated other comprehensive income during the three months ended September 30, 2017. The Company recognized net periodic benefit costs of $206 associated with the Plan for the three months ended September 30, 2017. The Company's total expected employer contributions to the Plan during fiscal 2018 are $516.</w:t>
      </w:r>
    </w:p>
    <w:p>
      <w:pPr>
        <w:spacing w:after="0" w:line="18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5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geographic distribution of the Company’s revenues as determined by order origination based on the country in which the Company's legal subsidiary is domiciled is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THREE MONTHS ENDED SEPTEMBER 30, 2017</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97,715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106,069</w:t>
            </w: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99,462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106,069</w:t>
            </w:r>
          </w:p>
        </w:tc>
      </w:tr>
      <w:tr>
        <w:trPr>
          <w:trHeight w:val="67"/>
        </w:trPr>
        <w:tc>
          <w:tcPr>
            <w:tcW w:w="4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THREE MONTHS ENDED SEPTEMBER 30, 2016</w:t>
            </w:r>
          </w:p>
        </w:tc>
        <w:tc>
          <w:tcPr>
            <w:tcW w:w="1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83,048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87,649</w:t>
            </w: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Inter-geographic revenues</w:t>
            </w:r>
          </w:p>
        </w:tc>
        <w:tc>
          <w:tcPr>
            <w:tcW w:w="1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86,334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87,649</w:t>
            </w: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recent years, the Company completed a series of acquisitions that changed its technological capabilities, applications and end markets. As these acquisitions and changes occurred, the Company increased the proportion of its revenue derived from the sale of components in different technological areas, and also increased the amount of revenue associated with combining technologies into more complex and diverse products including modules, sub-assemblies and integrated subsystems. The following tables present revenue consistent with the Company's strategy of expanding its technological capabilities and program content.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end user for the periods presented:</w:t>
      </w:r>
    </w:p>
    <w:p>
      <w:pPr>
        <w:spacing w:after="0" w:line="271"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Three Months Ended September</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Domestic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89,678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73,527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International/Foreign Military Sales (2)</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14,122</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106,069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87,649</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Domestic revenues consist of sales where the end user is within the U.S., as well as sales to prime defense contractor customers where the ultimate end user location is not defined.</w:t>
      </w:r>
    </w:p>
    <w:p>
      <w:pPr>
        <w:spacing w:after="0" w:line="13" w:lineRule="exact"/>
        <w:rPr>
          <w:rFonts w:ascii="Arial" w:cs="Arial" w:eastAsia="Arial" w:hAnsi="Arial"/>
          <w:sz w:val="14"/>
          <w:szCs w:val="14"/>
          <w:color w:val="auto"/>
        </w:rPr>
      </w:pPr>
    </w:p>
    <w:p>
      <w:pPr>
        <w:ind w:firstLine="8"/>
        <w:spacing w:after="0" w:line="255"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International/Foreign Military Sales consist of sales to U.S. prime defense contractor customers where the end user is known to be outside the U.S., foreign military sales through the U.S. government, and direct sales to non-U.S. based customers intended for end use outside of the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table below presents the Company's net revenue by end application for the periods presented:</w:t>
      </w:r>
    </w:p>
    <w:p>
      <w:pPr>
        <w:spacing w:after="0" w:line="271" w:lineRule="exact"/>
        <w:rPr>
          <w:sz w:val="20"/>
          <w:szCs w:val="20"/>
          <w:color w:val="auto"/>
        </w:rPr>
      </w:pPr>
    </w:p>
    <w:p>
      <w:pPr>
        <w:jc w:val="center"/>
        <w:ind w:left="9280"/>
        <w:spacing w:after="0"/>
        <w:rPr>
          <w:sz w:val="20"/>
          <w:szCs w:val="20"/>
          <w:color w:val="auto"/>
        </w:rPr>
      </w:pPr>
      <w:r>
        <w:rPr>
          <w:rFonts w:ascii="Arial" w:cs="Arial" w:eastAsia="Arial" w:hAnsi="Arial"/>
          <w:sz w:val="13"/>
          <w:szCs w:val="13"/>
          <w:b w:val="1"/>
          <w:bCs w:val="1"/>
          <w:color w:val="auto"/>
        </w:rPr>
        <w:t>Three Months Ended September</w:t>
      </w:r>
    </w:p>
    <w:p>
      <w:pPr>
        <w:spacing w:after="0" w:line="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Radar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36,540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37,489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Electronic Warfare (2)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(3)</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41,521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29,181</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87,649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Radar includes end-use applications where radio frequency signals are utilized to detect, track, and identify objects.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Electronic Warfare includes end-use applications comprising the offensive and defensive use of the electromagnetic spectrum.</w:t>
      </w:r>
    </w:p>
    <w:p>
      <w:pPr>
        <w:spacing w:after="0" w:line="1" w:lineRule="exact"/>
        <w:rPr>
          <w:rFonts w:ascii="Arial" w:cs="Arial" w:eastAsia="Arial" w:hAnsi="Arial"/>
          <w:sz w:val="14"/>
          <w:szCs w:val="14"/>
          <w:color w:val="auto"/>
        </w:rPr>
      </w:pPr>
    </w:p>
    <w:p>
      <w:pPr>
        <w:ind w:right="20" w:firstLine="8"/>
        <w:spacing w:after="0" w:line="255" w:lineRule="auto"/>
        <w:tabs>
          <w:tab w:leader="none" w:pos="207"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products include all end markets other than Radar and Electronic Warfare. Examples include but are not limited to various commercial and other end-use applications and technologies, as well as various component and other sales where the end use is not specified.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product grouping for the periods presented:</w:t>
      </w:r>
    </w:p>
    <w:p>
      <w:pPr>
        <w:spacing w:after="0" w:line="271"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Three Months Ended September</w:t>
      </w:r>
    </w:p>
    <w:p>
      <w:pPr>
        <w:spacing w:after="0" w:line="4"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30,</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76"/>
        </w:trPr>
        <w:tc>
          <w:tcPr>
            <w:tcW w:w="9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Components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32,812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19,832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Modules and Sub-assemblies (2)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36,592</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Integrated Subsystems (3)</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25,525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31,225</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87,649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8"/>
        <w:spacing w:after="0" w:line="247" w:lineRule="auto"/>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Components include technology elements typically performing a single, discrete technological function, which when physically 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1" w:lineRule="exact"/>
        <w:rPr>
          <w:rFonts w:ascii="Arial" w:cs="Arial" w:eastAsia="Arial" w:hAnsi="Arial"/>
          <w:sz w:val="14"/>
          <w:szCs w:val="14"/>
          <w:color w:val="auto"/>
        </w:rPr>
      </w:pPr>
    </w:p>
    <w:p>
      <w:pPr>
        <w:jc w:val="both"/>
        <w:ind w:firstLine="8"/>
        <w:spacing w:after="0" w:line="241" w:lineRule="auto"/>
        <w:tabs>
          <w:tab w:leader="none" w:pos="209" w:val="left"/>
        </w:tabs>
        <w:numPr>
          <w:ilvl w:val="0"/>
          <w:numId w:val="16"/>
        </w:numPr>
        <w:rPr>
          <w:rFonts w:ascii="Arial" w:cs="Arial" w:eastAsia="Arial" w:hAnsi="Arial"/>
          <w:sz w:val="14"/>
          <w:szCs w:val="14"/>
          <w:color w:val="auto"/>
        </w:rPr>
      </w:pPr>
      <w:r>
        <w:rPr>
          <w:rFonts w:ascii="Arial" w:cs="Arial" w:eastAsia="Arial" w:hAnsi="Arial"/>
          <w:sz w:val="14"/>
          <w:szCs w:val="14"/>
          <w:color w:val="auto"/>
        </w:rPr>
        <w:t>Modules and Sub-assemblies include combinations of multiple functional technology elements and/or components that 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(input-output) boards, multi-chip modules, integrated radio frequency and microwave multi-function assemblies, tuners, and transceivers.</w:t>
      </w:r>
    </w:p>
    <w:p>
      <w:pPr>
        <w:spacing w:after="0" w:line="1" w:lineRule="exact"/>
        <w:rPr>
          <w:rFonts w:ascii="Arial" w:cs="Arial" w:eastAsia="Arial" w:hAnsi="Arial"/>
          <w:sz w:val="14"/>
          <w:szCs w:val="14"/>
          <w:color w:val="auto"/>
        </w:rPr>
      </w:pPr>
    </w:p>
    <w:p>
      <w:pPr>
        <w:jc w:val="both"/>
        <w:ind w:firstLine="8"/>
        <w:spacing w:after="0" w:line="246" w:lineRule="auto"/>
        <w:tabs>
          <w:tab w:leader="none" w:pos="215"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Integrated Subsystems include multiple modules and/or subassemblies combined with a backplane or similar functional 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sub-assemblies sold as part of the same program for use in or with integrated subsystems sold by the Company.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September 30,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50,340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51,643</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p>
      <w:pPr>
        <w:ind w:left="9180"/>
        <w:spacing w:after="0"/>
        <w:rPr>
          <w:sz w:val="20"/>
          <w:szCs w:val="20"/>
          <w:color w:val="auto"/>
        </w:rPr>
      </w:pPr>
      <w:r>
        <w:rPr>
          <w:rFonts w:ascii="Arial" w:cs="Arial" w:eastAsia="Arial" w:hAnsi="Arial"/>
          <w:sz w:val="13"/>
          <w:szCs w:val="13"/>
          <w:b w:val="1"/>
          <w:bCs w:val="1"/>
          <w:color w:val="auto"/>
        </w:rPr>
        <w:t>Three Months Ended September 30,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12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37"/>
        </w:trPr>
        <w:tc>
          <w:tcPr>
            <w:tcW w:w="912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Lockheed Martin Corporation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Northrop Grumman Corporation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3880" w:hanging="5612"/>
        <w:spacing w:after="0" w:line="810"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 15</w:t>
      </w:r>
    </w:p>
    <w:p>
      <w:pPr>
        <w:sectPr>
          <w:pgSz w:w="11900" w:h="16838" w:orient="portrait"/>
          <w:cols w:equalWidth="0" w:num="1">
            <w:col w:w="11420"/>
          </w:cols>
          <w:pgMar w:left="240" w:top="692" w:right="239" w:bottom="1440" w:gutter="0" w:footer="0" w:header="0"/>
        </w:sectPr>
      </w:pPr>
    </w:p>
    <w:bookmarkStart w:id="15" w:name="page16"/>
    <w:bookmarkEnd w:id="15"/>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68" w:lineRule="exact"/>
        <w:rPr>
          <w:sz w:val="20"/>
          <w:szCs w:val="20"/>
          <w:color w:val="auto"/>
        </w:rPr>
      </w:pPr>
    </w:p>
    <w:p>
      <w:pPr>
        <w:ind w:left="9180"/>
        <w:spacing w:after="0"/>
        <w:rPr>
          <w:sz w:val="20"/>
          <w:szCs w:val="20"/>
          <w:color w:val="auto"/>
        </w:rPr>
      </w:pPr>
      <w:r>
        <w:rPr>
          <w:rFonts w:ascii="Arial" w:cs="Arial" w:eastAsia="Arial" w:hAnsi="Arial"/>
          <w:sz w:val="13"/>
          <w:szCs w:val="13"/>
          <w:b w:val="1"/>
          <w:bCs w:val="1"/>
          <w:color w:val="auto"/>
        </w:rPr>
        <w:t>Three Months Ended September 30,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1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237"/>
        </w:trPr>
        <w:tc>
          <w:tcPr>
            <w:tcW w:w="9120" w:type="dxa"/>
            <w:vAlign w:val="bottom"/>
          </w:tcPr>
          <w:p>
            <w:pPr>
              <w:ind w:left="40"/>
              <w:spacing w:after="0"/>
              <w:rPr>
                <w:sz w:val="20"/>
                <w:szCs w:val="20"/>
                <w:color w:val="auto"/>
              </w:rPr>
            </w:pPr>
            <w:r>
              <w:rPr>
                <w:rFonts w:ascii="Arial" w:cs="Arial" w:eastAsia="Arial" w:hAnsi="Arial"/>
                <w:sz w:val="18"/>
                <w:szCs w:val="18"/>
                <w:color w:val="auto"/>
              </w:rPr>
              <w:t>SEWIP</w:t>
            </w:r>
          </w:p>
        </w:tc>
        <w:tc>
          <w:tcPr>
            <w:tcW w:w="7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0"/>
                <w:szCs w:val="20"/>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Aegis</w:t>
            </w: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9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9860"/>
        <w:spacing w:after="0"/>
        <w:tabs>
          <w:tab w:leader="none" w:pos="110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39370</wp:posOffset>
            </wp:positionV>
            <wp:extent cx="14579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960" cy="26035"/>
                    </a:xfrm>
                    <a:prstGeom prst="rect">
                      <a:avLst/>
                    </a:prstGeom>
                    <a:noFill/>
                  </pic:spPr>
                </pic:pic>
              </a:graphicData>
            </a:graphic>
          </wp:anchor>
        </w:drawing>
      </w:r>
    </w:p>
    <w:p>
      <w:pPr>
        <w:spacing w:after="0" w:line="28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its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September 30, 2017, the Company has entered into non-cancelable purchase commitments for certain inventory components and services used in its normal operations. The purchase commitments covered by these agreements are for less than one year and aggregate to $53,978.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cyber-security regulations and requirements,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2017.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Mercury Systems, Inc. is a leading commercial provider of secure sensor and safety critical mission processing subsystems. Optimized for customer and mission success, our solutions power a wide variety of critical defense and intelligence programs. Headquartered in Andover, Massachusetts, we are pioneering a next-generation defense electronics business model designed to meet the industry’s current and emerging business needs. We deliver affordable innovative solutions, rapid time-to-value and service and support primarily to defense prime contractor customers. Our products and solutions have been deployed in more than 300 programs with over 25 different defense prime contractors. Key programs include Aegis, Patriot, Surface Electronic Warfare Improvement Program (“SEWIP”), Gorgon Stare, Predator, F-35, F-16 SABR, E2D Hawkeye, Reaper, and Paveway. Our organizational structure allows us to deliver capabilities that combine technology building blocks and deep domain expertise in defense sector.</w:t>
      </w:r>
    </w:p>
    <w:p>
      <w:pPr>
        <w:spacing w:after="0" w:line="5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provide significant capabilities relating to pre-integrated electronic warfare,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ind w:firstLine="432"/>
        <w:spacing w:after="0" w:line="257" w:lineRule="auto"/>
        <w:rPr>
          <w:sz w:val="20"/>
          <w:szCs w:val="20"/>
          <w:color w:val="auto"/>
        </w:rPr>
      </w:pPr>
      <w:r>
        <w:rPr>
          <w:rFonts w:ascii="Arial" w:cs="Arial" w:eastAsia="Arial" w:hAnsi="Arial"/>
          <w:sz w:val="18"/>
          <w:szCs w:val="18"/>
          <w:color w:val="auto"/>
        </w:rPr>
        <w:t>Since we conduct much of our business with our defense customers via commercial item sales,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September 30, 2017, we had 1,206 employees. Our consolidated revenues, net income, net earnings per share, adjusted earnings per share ("adjusted EPS"), and adjusted EBITDA for the three months ended September 30, 2017 were $106.1 million, $18.0 million, $0.38, $0.37, and $25.0 million, respectively. See the Non-GAAP Financial Measures section for a reconciliation to our most directly comparable GAAP financial measures.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Results of operations for the three month period ended September 30, 2016 does not include results for CES Creative Electronic Systems S.A. (“CES”),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Delta Microwave, LLC ("Delta") or Richland Technologies, L.L.C. ("RTL") since these businesses were acquired subsequent to September 30, 2016.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periods presented below are not directly comparable.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the three months ended September 30, 2016</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As a %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September 30, 2017</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Total Net</w:t>
            </w:r>
          </w:p>
        </w:tc>
        <w:tc>
          <w:tcPr>
            <w:tcW w:w="148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7"/>
              </w:rPr>
              <w:t>September 30, 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32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80" w:type="dxa"/>
            <w:vAlign w:val="bottom"/>
            <w:gridSpan w:val="7"/>
            <w:vMerge w:val="continue"/>
          </w:tcPr>
          <w:p>
            <w:pPr>
              <w:spacing w:after="0"/>
              <w:rPr>
                <w:sz w:val="13"/>
                <w:szCs w:val="13"/>
                <w:color w:val="auto"/>
              </w:rPr>
            </w:pPr>
          </w:p>
        </w:tc>
        <w:tc>
          <w:tcPr>
            <w:tcW w:w="11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Revenue</w:t>
            </w:r>
          </w:p>
        </w:tc>
        <w:tc>
          <w:tcPr>
            <w:tcW w:w="14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106,069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55,395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48,205</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Acquisition costs and other related expenses</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35,702</w:t>
            </w:r>
          </w:p>
        </w:tc>
        <w:tc>
          <w:tcPr>
            <w:tcW w:w="10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144"/>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60" w:type="dxa"/>
            <w:vAlign w:val="bottom"/>
            <w:gridSpan w:val="3"/>
          </w:tcPr>
          <w:p>
            <w:pPr>
              <w:jc w:val="right"/>
              <w:ind w:right="14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Tax benefit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60" w:type="dxa"/>
            <w:vAlign w:val="bottom"/>
            <w:gridSpan w:val="3"/>
          </w:tcPr>
          <w:p>
            <w:pPr>
              <w:jc w:val="right"/>
              <w:ind w:right="8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Net income</w:t>
            </w:r>
          </w:p>
        </w:tc>
        <w:tc>
          <w:tcPr>
            <w:tcW w:w="2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As a % of</w:t>
            </w:r>
          </w:p>
        </w:tc>
        <w:tc>
          <w:tcPr>
            <w:tcW w:w="120" w:type="dxa"/>
            <w:vAlign w:val="bottom"/>
          </w:tcPr>
          <w:p>
            <w:pPr>
              <w:spacing w:after="0"/>
              <w:rPr>
                <w:sz w:val="24"/>
                <w:szCs w:val="24"/>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5"/>
              </w:rPr>
              <w:t>As a %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Total Net</w:t>
            </w:r>
          </w:p>
        </w:tc>
        <w:tc>
          <w:tcPr>
            <w:tcW w:w="1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40" w:type="dxa"/>
            <w:vAlign w:val="bottom"/>
            <w:gridSpan w:val="2"/>
          </w:tcPr>
          <w:p>
            <w:pPr>
              <w:jc w:val="center"/>
              <w:ind w:left="94"/>
              <w:spacing w:after="0" w:line="149" w:lineRule="exact"/>
              <w:rPr>
                <w:sz w:val="20"/>
                <w:szCs w:val="20"/>
                <w:color w:val="auto"/>
              </w:rPr>
            </w:pPr>
            <w:r>
              <w:rPr>
                <w:rFonts w:ascii="Arial" w:cs="Arial" w:eastAsia="Arial" w:hAnsi="Arial"/>
                <w:sz w:val="14"/>
                <w:szCs w:val="14"/>
                <w:b w:val="1"/>
                <w:bCs w:val="1"/>
                <w:color w:val="auto"/>
                <w:w w:val="93"/>
              </w:rPr>
              <w:t>Total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Organic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93,498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87,649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200" w:type="dxa"/>
            <w:vAlign w:val="bottom"/>
            <w:gridSpan w:val="4"/>
          </w:tcPr>
          <w:p>
            <w:pPr>
              <w:ind w:left="40"/>
              <w:spacing w:after="0"/>
              <w:rPr>
                <w:sz w:val="20"/>
                <w:szCs w:val="20"/>
                <w:color w:val="auto"/>
              </w:rPr>
            </w:pPr>
            <w:r>
              <w:rPr>
                <w:rFonts w:ascii="Arial" w:cs="Arial" w:eastAsia="Arial" w:hAnsi="Arial"/>
                <w:sz w:val="18"/>
                <w:szCs w:val="18"/>
                <w:color w:val="auto"/>
              </w:rPr>
              <w:t>Acquired revenue</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12,571</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12,571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106,069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87,649</w:t>
            </w: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18,420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Total revenues increased $18.4 million, or 21%, to $106.1 million during the three months ended September 30, 2017 as compared to the same period in fiscal 2017 including "Acquired revenue" which represents net revenue from acquired businesses that have been part of Mercury for completion of four full quarters or less (and excludes any intercompany transactions). 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completion of four fiscal quarters, acquired businesses will be treated as organic for current and comparable historical periods. The increase in total revenues is primarily attributed to SEWIP, F-35 and F-16/SABR programs and the increase of $12.6 million of Acquired revenue. These increases were partially offset by lower revenues from a large ground based radar program and the Aegis program.</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revenues, which consist of foreign military sales through the U.S. government, sales to prime defense contractor customers where the ender user is known to be outside of the U.S., and direct sales to non-U.S. based customers, increased $2.3 million to $16.4 million during the three months ended September 30, 2017, compared to $14.1 million in the same period in the prior fiscal year. International revenues represented 15% and 16% of total revenues during the three months ended September 30, 2017 and 2016, respectively.</w:t>
      </w:r>
    </w:p>
    <w:p>
      <w:pPr>
        <w:spacing w:after="0" w:line="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Revenues associated with EW applications increased $7.0 million during the three months ended September 30, 2017 as compared to the same period in fiscal 2017 due primarily to the SEWIP program. Additionally, revenues from components and modules &amp; sub-assemblies increased by $13.0 million and $11.1 million, respectively, during the three months ended September 30, 2017 as compared to the same period in fiscal 2017, partially offset by a $5.7 million decrease in integrated subsystems. The components increase was driven primarily by missiles and munitions, including the PGK program, while the increase in modules and sub-assemblies was driven by the F-35 program and rackmount blade server related sales. The decline in integrated subsystems was primarily due to lower levels of revenues from a large ground based radar program and the Aegis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margin was 47.8% for the three months ended September 30, 2017, an increase of 280 basis points from the 45.0% gross margin achieved during the same period in fiscal 2017. The higher gross margin between years was driven by changes in product mix and the amortization of $2.1 million in inventory step-up in fiscal 2017 related to the entities acquired from Microsemi Corporation ("Carve-Out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increased $3.0 million, or 17%, to $20.6 million during the three months ended September 30, 2017, compared to $17.5 million in the same period in fiscal 2017. The increase was primarily related to higher compensation related costs due to added headcount from the acquisitions of CES, Delta and RTL. Selling, general and administrative expenses as a percentage of revenues decreased slightly for the three months ended September 30, 2017 as compared to the same period in fiscal 2017. The decrease was primarily due to higher revenues in the three months ended September 30, 2017, as compared to the same period in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Research and development expenses increased approximately $0.9 million, or 7%, to $13.7 million during the three months ended September 30, 2017, compared to $12.8 million during the same period in fiscal 2017. The increase was primarily due to increased headcount from the acquisitions of CES, Delta and RTL driving higher compensation related costs, partially offset by increased customer funded development.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charges decreased $0.2 million to $0.1 million during the three months ended September 30, 2017, compared to $0.3 million during the same period in fiscal 2017.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incurred $0.3 million of acquisition costs and other related expenses during the three months ended September 30, 2017, compared to $0.4 million during the same period in fiscal 2017. The acquisition costs and other related expenses we incurred during the three months ended September 30, 2017 relate to the acquisition of RTL, while fiscal 2017 expenses related to the acquisition of the CES. We expect to incur acquisition costs and other related expenses periodically in the future as we continue to seek acquisition opportunities to expand our capabilities and new end markets within the sensor processing chain.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less than $0.1 million of interest expense during the three months ended September 30, 2017 compared to $1.8 million same period in fiscal 2017. The decrease was driven by $1.3 million cash interest expense and $0.4 million of amortization of debt issuance costs related to our term loan which was repaid in the fourth quarter of fiscal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(E</w:t>
      </w:r>
      <w:r>
        <w:rPr>
          <w:rFonts w:ascii="Arial" w:cs="Arial" w:eastAsia="Arial" w:hAnsi="Arial"/>
          <w:sz w:val="14"/>
          <w:szCs w:val="14"/>
          <w:color w:val="auto"/>
        </w:rPr>
        <w:t>XPENSE</w:t>
      </w:r>
      <w:r>
        <w:rPr>
          <w:rFonts w:ascii="Arial" w:cs="Arial" w:eastAsia="Arial" w:hAnsi="Arial"/>
          <w:sz w:val="18"/>
          <w:szCs w:val="18"/>
          <w:color w:val="auto"/>
        </w:rPr>
        <w:t>)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(expense) income, net decreased $1.4 million to $(0.8) million during the three months ended September 30, 2017, as compared to $0.6 million in the same period in fiscal 2017. The decrease was primarily driven by increased financing and registration fees of $0.5 million during the three months ended September 30, 2017 and a $0.3 million gain related to the amortization of the gain on the sale leaseback of our former headquarters in fiscal 2017. The gain was fully amortized in fiscal 2017. Additionally, there was less than $0.1 million foreign exchange gain during the three months ended September 30, 2017, as compared to $0.4 million during the same period in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recorded income tax benefit of $8.4 million and $1.3 million for the three months ended September 30, 2017 and 2016, respectively. During the three months ended September 30, 2017, we recognized a discrete tax benefit of $7.9 million related to excess tax benefits on stock-based compensation. The three months ended September 30, 2017 also included a discrete tax benefit of $4.1 million derived from new information obtained about net operating loss carry-forwards of the entities acquired from Carve-Out Business in May 2016. Our effective tax rate for the three months ended September 30, 2017 and 2016 differed from the federal statutory tax rate of 35% primarily due to these items, as well as federal research and development credits, domestic manufacturing deduction, excess tax benefits related to stock compensation, and state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Our primary sources of liquidity come from existing cash and cash generated from operations, our revolving credit facility and our ability to raise capital under our universal shelf registration statement. Our near-term fixed commitments for cash expenditures consist primarily of payments under operating leases and inventory purchase commitments. We do not currently have any material commitments for capital expenditures.</w:t>
      </w:r>
    </w:p>
    <w:p>
      <w:pPr>
        <w:spacing w:after="0" w:line="5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and cash equivalents, our available revolving credit facility, cash generated from operations, and our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August 28, 2017, we filed a shelf registration statement on Form S-3ASR with the SEC. The shelf registration statement, which was effective upon filing with the SEC, registered each of the following securities: debt securities, preferred stock, common stock, warrants and units. We intend to use the proceeds from financings using the shelf registration statement for general corporate purposes, which may include the following:</w:t>
      </w:r>
    </w:p>
    <w:p>
      <w:pPr>
        <w:spacing w:after="0" w:line="57" w:lineRule="exact"/>
        <w:rPr>
          <w:sz w:val="20"/>
          <w:szCs w:val="20"/>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jc w:val="both"/>
        <w:ind w:left="60" w:firstLine="432"/>
        <w:spacing w:after="0" w:line="255" w:lineRule="auto"/>
        <w:rPr>
          <w:sz w:val="20"/>
          <w:szCs w:val="20"/>
          <w:color w:val="auto"/>
        </w:rPr>
      </w:pPr>
      <w:r>
        <w:rPr>
          <w:rFonts w:ascii="Arial" w:cs="Arial" w:eastAsia="Arial" w:hAnsi="Arial"/>
          <w:sz w:val="18"/>
          <w:szCs w:val="18"/>
          <w:color w:val="auto"/>
        </w:rPr>
        <w:t>We have an unlimited amount available under the shelf registration statement. Additionally, as part of the shelf registration statement, we have entered into an equity distribution agreement which allows us to sell an aggregate of up to $200.0 million of our common stock from time to time through our agents. The actual dollar amount and number of shares of common stock we sell pursuant to the equity distribution agreement will be dependent on, among other things, market conditions and our fund raising requirements. The agents may sell the common stock by any method deemed to be an “at the market offering” as defined in Rule 415 of the Securities Act, including without limitation sales made directly on NASDAQ, on any other existing trading market for the common stock or to or through a market maker. In addition, our common stock may be offered and sold by such other methods, including privately negotiated transactions, as we and the agents may agree.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2017, we amended our revolving credit facility ("the Revolver"), increasing and extending the facility into a $400.0 million, 5-year revolving credit line expiring in June 2022. In connection with the amendment, we repaid the remaining outstanding principal of and interest on our term loan using cash on hand. The Revolver remained undrawn at September 30, 2017, other than for outstanding letters of credit. See Note I in the accompanying consolidated financial statements for further discussion of the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4"/>
              </w:rPr>
              <w:t>As of and For the Three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7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shd w:val="clear" w:color="auto" w:fill="CCEEFF"/>
              </w:rPr>
              <w:t>(In thousands)</w:t>
            </w:r>
          </w:p>
        </w:tc>
        <w:tc>
          <w:tcPr>
            <w:tcW w:w="74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37"/>
        </w:trPr>
        <w:tc>
          <w:tcPr>
            <w:tcW w:w="836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8,028</w:t>
            </w: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(8,548)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77,314</w:t>
            </w: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cash and cash equivalents decreased by $15.6 million from June 30, 2017 to September 30, 2017, primarily as the result of $13.5 million used in the retirement of common stock used to settle individual employees' tax liabilities associated with vesting of restricted stock awards, $6.0 million used in acquisition activities and $3.6 million invested in purchases of property and equipment. These decreases were partially offset by $8.0 million provided by operating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three months ended September 30, 2017, we generated $8.0 million in cash from operating activities, a decrease of $2.3 million when compared to the same period in fiscal 2017. The decrease in cash generated by operating activities was primarily a result of $17.9 million less collections from accounts receivables, $11.0 million higher inventory purchases and $11.2 million increase in income taxes payable. The decrease in cash generated by operating activities was partially offset by generating $20.2 million more cash from the timing of payables and $14.1 million of higher net income.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September 30, 2017, we used $10.0 million in investing activities compared to $6.2 million during the same period in fiscal 2017. The increase was primarily driven by $6.0 million used in the acquisition of RTL, partially offset by $2.4 million in lower purchases of property and equipment during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September 30, 2017, we used $13.5 million in financing activities compared to $8.5 million during the same period in fiscal 2017. The $5.0 million increase in cash used by financing activities was primarily due to $13.5 million used in the retirement of common stock used to settle individual employees' tax liabilities associated with vesting of restricted stock awards as compared to $6.1 million used in the same period of fiscal 2017, primarily driven by increased stock price. Fiscal 2017 also included a debt principal payment of $2.5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6,961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12,902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43,467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127,126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60,939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43,467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$54.0 million at September 30, 2017.</w:t>
      </w:r>
    </w:p>
    <w:p>
      <w:pPr>
        <w:spacing w:after="0" w:line="12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September 30, 2017 of $0.8 million for uncertain tax positions that have been taken or are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3"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products. Such provisions generally survive termination or expiration of the agreements. The potential amount of future payments we could be required to make under these indemnification provisions is, in some instances, unlimited.</w:t>
      </w:r>
    </w:p>
    <w:p>
      <w:pPr>
        <w:spacing w:after="0" w:line="62"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individual employees’ tax liability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our periodic communications, we discuss certain important measures that are not calculated according to U.S. generally accepted accounting principles (“GAAP”), adjusted EBITDA, adjusted income, adjusted earnings per share ("adjusted EPS") and free cash flow.</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Adjusted EBITDA is defined as net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and other non-cash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shd w:val="clear" w:color="auto" w:fill="CCEEFF"/>
              </w:rPr>
              <w:t>(In thousands)</w:t>
            </w:r>
          </w:p>
        </w:tc>
        <w:tc>
          <w:tcPr>
            <w:tcW w:w="744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37"/>
        </w:trPr>
        <w:tc>
          <w:tcPr>
            <w:tcW w:w="836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17,953</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Interest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4,602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Restructuring and other charges (1)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Fair value adjustments from purchase accounting (2)</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Litigation and settlement expense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Stock-based and other non-cash compensation expense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right="20" w:firstLine="8"/>
        <w:spacing w:after="0" w:line="255" w:lineRule="auto"/>
        <w:tabs>
          <w:tab w:leader="none" w:pos="209"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September 30, 2017 relate to CES and Delta inventory step-up amortization. Fair value adjustments from purchase accounting for the three months ended September 30, 2016 relate to the Carve-Out Business inventory step-up amortization.</w:t>
      </w:r>
    </w:p>
    <w:p>
      <w:pPr>
        <w:spacing w:after="0" w:line="8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and stock-based and other non-cash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8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ind w:right="20" w:firstLine="432"/>
        <w:spacing w:after="0" w:line="277" w:lineRule="auto"/>
        <w:rPr>
          <w:sz w:val="20"/>
          <w:szCs w:val="20"/>
          <w:color w:val="auto"/>
        </w:rPr>
      </w:pPr>
      <w:r>
        <w:rPr>
          <w:rFonts w:ascii="Arial" w:cs="Arial" w:eastAsia="Arial" w:hAnsi="Arial"/>
          <w:sz w:val="18"/>
          <w:szCs w:val="18"/>
          <w:color w:val="auto"/>
        </w:rPr>
        <w:t>The following table reconciles net income and diluted earnings per share, the most directly comparable GAAP measures, to adjusted income and adjusted EPS: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shd w:val="clear" w:color="auto" w:fill="CCEEFF"/>
              </w:rPr>
              <w:t>(In thousands, except per share data)</w:t>
            </w:r>
          </w:p>
        </w:tc>
        <w:tc>
          <w:tcPr>
            <w:tcW w:w="4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bottom w:val="single" w:sz="8" w:color="CCEEFF"/>
            </w:tcBorders>
            <w:shd w:val="clear" w:color="auto" w:fill="CCEEFF"/>
          </w:tcPr>
          <w:p>
            <w:pPr>
              <w:spacing w:after="0"/>
              <w:rPr>
                <w:sz w:val="23"/>
                <w:szCs w:val="23"/>
                <w:color w:val="auto"/>
              </w:rPr>
            </w:pPr>
          </w:p>
        </w:tc>
      </w:tr>
      <w:tr>
        <w:trPr>
          <w:trHeight w:val="237"/>
        </w:trPr>
        <w:tc>
          <w:tcPr>
            <w:tcW w:w="70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Net income and diluted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4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4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Restructuring and other charges (1)</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Acquisition and financing costs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Stock-based and other non-cash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Impact to income taxes (3)</w:t>
            </w: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(6,085)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Adjusted income and adjusted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0.37</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 weighted-average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47,489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right="20" w:firstLine="8"/>
        <w:spacing w:after="0" w:line="241" w:lineRule="auto"/>
        <w:tabs>
          <w:tab w:leader="none" w:pos="209"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September 30, 2017 relate to CES and Delta inventory step-up amortization. Fair value adjustments from purchase accounting for the three months ended September 30, 2016 relate to the Carve-Out Business inventory step-up amortization.</w:t>
      </w:r>
    </w:p>
    <w:p>
      <w:pPr>
        <w:ind w:firstLine="8"/>
        <w:spacing w:after="0" w:line="293" w:lineRule="auto"/>
        <w:tabs>
          <w:tab w:leader="none" w:pos="206"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6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can be valuable indicators of our operating performance and liquidity.</w:t>
      </w:r>
    </w:p>
    <w:p>
      <w:pPr>
        <w:spacing w:after="0" w:line="6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shd w:val="clear" w:color="auto" w:fill="CCEEFF"/>
              </w:rPr>
              <w:t>(In thousands)</w:t>
            </w:r>
          </w:p>
        </w:tc>
        <w:tc>
          <w:tcPr>
            <w:tcW w:w="744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37"/>
        </w:trPr>
        <w:tc>
          <w:tcPr>
            <w:tcW w:w="836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8,028</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the Company on July 1, 2018, and we do not plan to early adopt this ASU. The standard permits the use of either the retrospective or cumulative effect transition method. We currently intend to use the retrospective transition method upon adoption of the standard. In prior years we have made significant investments in our data reporting infrastructure in order to support the reporting requirements of the standard. Throughout fiscal 2018, we will continue to enhance our infrastructure to capture each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the specific disclosure requirements detailed in the standard. We are continuing to evaluate the future impact that the adoption of the standard will have on our consolidated financial statements and preparing for additional disclosure requirements.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 amendment of the FASB Accounting Standards Codification. This ASU requires lessees to recognize a right-of-use asset and lease liability for most lease arrangements. The new standard is effective for the Company on July 1, 2019. The standard mandates a modified retrospective transition method for all entities and early adoption is permitted. We are evaluating the effect that ASU 2016-02 will have on our consolidated financial statements and related disclosures.</w:t>
      </w:r>
    </w:p>
    <w:p>
      <w:pPr>
        <w:spacing w:after="0" w:line="7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5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5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an amendment of the FASB Accounting Standards Codification.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We do not expect this guidance to have a material impact to our consolidated financial statements.</w:t>
      </w:r>
    </w:p>
    <w:p>
      <w:pPr>
        <w:spacing w:after="0" w:line="5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Retirement Benefits (Topic 715): Improving the Presentation of Net Periodic</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Cost and Net Periodic Postretirement Benefit Cost</w:t>
      </w:r>
      <w:r>
        <w:rPr>
          <w:rFonts w:ascii="Arial" w:cs="Arial" w:eastAsia="Arial" w:hAnsi="Arial"/>
          <w:sz w:val="17"/>
          <w:szCs w:val="17"/>
          <w:color w:val="auto"/>
        </w:rPr>
        <w:t>, an amendment of the FASB Accounting Standards Codification. This ASU requires employers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 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We are evaluating the effect that ASU 2017-07 will have on our consolidated financial statements and related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Effective July 1, 2017, we adopted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value less an approximately normal profit margin when measuring inventory. Such adoption has not and will not have any impact to our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2017 to September 30, 2017.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2017.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September 30, 2017 that has materially affected, or is reasonably likely to materially affect, our internal control over financial reporting. However, management is in the process of integrating the recently acquired CES, Delta and RTL into our overall internal control over financial reporting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2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2017. There have been no material changes from the factors disclosed in our 2017 Annual Report on Form 10-K filed on August 18, 2017,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3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Certification of the Company’s Chief Executive Officer pursuant to Section 302 of the Sarbanes-Oxley Act of 2002</w:t>
              </w:r>
            </w:hyperlink>
          </w:p>
        </w:tc>
        <w:tc>
          <w:tcPr>
            <w:tcW w:w="680" w:type="dxa"/>
            <w:vAlign w:val="bottom"/>
          </w:tcPr>
          <w:p>
            <w:pPr>
              <w:spacing w:after="0"/>
              <w:rPr>
                <w:sz w:val="17"/>
                <w:szCs w:val="17"/>
                <w:color w:val="auto"/>
              </w:rPr>
            </w:pPr>
          </w:p>
        </w:tc>
      </w:tr>
      <w:tr>
        <w:trPr>
          <w:trHeight w:val="574"/>
        </w:trPr>
        <w:tc>
          <w:tcPr>
            <w:tcW w:w="320" w:type="dxa"/>
            <w:vAlign w:val="bottom"/>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the Company’s Chief Financial Officer pursuant to Section 302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9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574"/>
        </w:trPr>
        <w:tc>
          <w:tcPr>
            <w:tcW w:w="228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9000" w:type="dxa"/>
            <w:vAlign w:val="bottom"/>
            <w:gridSpan w:val="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the Company’s Chief Executive Officer and Chief Financial Officer pursuant to Section 906 of the Sarbanes-</w:t>
              </w:r>
            </w:hyperlink>
          </w:p>
        </w:tc>
      </w:tr>
      <w:tr>
        <w:trPr>
          <w:trHeight w:val="196"/>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60" w:type="dxa"/>
            <w:vAlign w:val="bottom"/>
          </w:tcPr>
          <w:p>
            <w:pPr>
              <w:spacing w:after="0"/>
              <w:rPr>
                <w:sz w:val="17"/>
                <w:szCs w:val="17"/>
                <w:color w:val="auto"/>
              </w:rPr>
            </w:pPr>
          </w:p>
        </w:tc>
        <w:tc>
          <w:tcPr>
            <w:tcW w:w="90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Oxley Act of 2002</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r>
      <w:tr>
        <w:trPr>
          <w:trHeight w:val="600"/>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1"/>
              </w:rPr>
              <w:t>The following materials from the Company’s Quarterly Report on the Form 10-Q for the quarter ended September 30, 2017</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Andover, Massachusetts, on November 2, 2017.</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240" w:top="580" w:right="9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September 30, 2017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2"/>
    </w:lvl>
  </w:abstractNum>
  <w:abstractNum w:abstractNumId="4">
    <w:nsid w:val="41A7C4C9"/>
    <w:multiLevelType w:val="hybridMultilevel"/>
    <w:lvl w:ilvl="0">
      <w:lvlJc w:val="left"/>
      <w:lvlText w:val="%1."/>
      <w:numFmt w:val="upperLetter"/>
      <w:start w:val="3"/>
    </w:lvl>
  </w:abstractNum>
  <w:abstractNum w:abstractNumId="5">
    <w:nsid w:val="6B68079A"/>
    <w:multiLevelType w:val="hybridMultilevel"/>
    <w:lvl w:ilvl="0">
      <w:lvlJc w:val="left"/>
      <w:lvlText w:val="%1."/>
      <w:numFmt w:val="upperLetter"/>
      <w:start w:val="4"/>
    </w:lvl>
  </w:abstractNum>
  <w:abstractNum w:abstractNumId="6">
    <w:nsid w:val="4E6AFB66"/>
    <w:multiLevelType w:val="hybridMultilevel"/>
    <w:lvl w:ilvl="0">
      <w:lvlJc w:val="left"/>
      <w:lvlText w:val="%1."/>
      <w:numFmt w:val="upperLetter"/>
      <w:start w:val="5"/>
    </w:lvl>
  </w:abstractNum>
  <w:abstractNum w:abstractNumId="7">
    <w:nsid w:val="25E45D32"/>
    <w:multiLevelType w:val="hybridMultilevel"/>
    <w:lvl w:ilvl="0">
      <w:lvlJc w:val="left"/>
      <w:lvlText w:val="%1."/>
      <w:numFmt w:val="upperLetter"/>
      <w:start w:val="6"/>
    </w:lvl>
  </w:abstractNum>
  <w:abstractNum w:abstractNumId="8">
    <w:nsid w:val="519B500D"/>
    <w:multiLevelType w:val="hybridMultilevel"/>
    <w:lvl w:ilvl="0">
      <w:lvlJc w:val="left"/>
      <w:lvlText w:val="%1."/>
      <w:numFmt w:val="upperLetter"/>
      <w:start w:val="7"/>
    </w:lvl>
  </w:abstractNum>
  <w:abstractNum w:abstractNumId="9">
    <w:nsid w:val="431BD7B7"/>
    <w:multiLevelType w:val="hybridMultilevel"/>
    <w:lvl w:ilvl="0">
      <w:lvlJc w:val="left"/>
      <w:lvlText w:val="%1."/>
      <w:numFmt w:val="upperLetter"/>
      <w:start w:val="8"/>
    </w:lvl>
  </w:abstractNum>
  <w:abstractNum w:abstractNumId="10">
    <w:nsid w:val="3F2DBA31"/>
    <w:multiLevelType w:val="hybridMultilevel"/>
    <w:lvl w:ilvl="0">
      <w:lvlJc w:val="left"/>
      <w:lvlText w:val="%1."/>
      <w:numFmt w:val="upperLetter"/>
      <w:start w:val="9"/>
    </w:lvl>
  </w:abstractNum>
  <w:abstractNum w:abstractNumId="11">
    <w:nsid w:val="7C83E458"/>
    <w:multiLevelType w:val="hybridMultilevel"/>
    <w:lvl w:ilvl="0">
      <w:lvlJc w:val="left"/>
      <w:lvlText w:val="%1."/>
      <w:numFmt w:val="upperLetter"/>
      <w:start w:val="10"/>
    </w:lvl>
  </w:abstractNum>
  <w:abstractNum w:abstractNumId="12">
    <w:nsid w:val="257130A3"/>
    <w:multiLevelType w:val="hybridMultilevel"/>
    <w:lvl w:ilvl="0">
      <w:lvlJc w:val="left"/>
      <w:lvlText w:val="%1."/>
      <w:numFmt w:val="upperLetter"/>
      <w:start w:val="12"/>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upperLetter"/>
      <w:start w:val="13"/>
    </w:lvl>
  </w:abstractNum>
  <w:abstractNum w:abstractNumId="19">
    <w:nsid w:val="2D1D5AE9"/>
    <w:multiLevelType w:val="hybridMultilevel"/>
    <w:lvl w:ilvl="0">
      <w:lvlJc w:val="left"/>
      <w:lvlText w:val="%1."/>
      <w:numFmt w:val="upperLetter"/>
      <w:start w:val="1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2019-12-29T03:20:29Z</dcterms:created>
  <dcterms:modified xsi:type="dcterms:W3CDTF">2019-12-29T03:20:29Z</dcterms:modified>
</cp:coreProperties>
</file>