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SEPTEMBER 30, 2011</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10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8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October 31, 2011: 30,610,532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gridSpan w:val="7"/>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00" w:type="dxa"/>
            <w:vAlign w:val="bottom"/>
            <w:gridSpan w:val="9"/>
            <w:vMerge w:val="restart"/>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7"/>
            <w:vMerge w:val="continue"/>
          </w:tcPr>
          <w:p>
            <w:pPr>
              <w:spacing w:after="0"/>
              <w:rPr>
                <w:sz w:val="13"/>
                <w:szCs w:val="13"/>
                <w:color w:val="auto"/>
              </w:rPr>
            </w:pPr>
          </w:p>
        </w:tc>
        <w:tc>
          <w:tcPr>
            <w:tcW w:w="7900" w:type="dxa"/>
            <w:vAlign w:val="bottom"/>
            <w:gridSpan w:val="9"/>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3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6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518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 as of September 30, 2011 and June 30, 2011</w:t>
              </w:r>
            </w:hyperlink>
          </w:p>
        </w:tc>
        <w:tc>
          <w:tcPr>
            <w:tcW w:w="420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September 30, 2011 and 2010</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686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Cash Flows for the three months ended September 30, 2011 and 2010</w:t>
              </w:r>
            </w:hyperlink>
          </w:p>
        </w:tc>
        <w:tc>
          <w:tcPr>
            <w:tcW w:w="2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51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Controls and Procedures</w:t>
              </w:r>
            </w:hyperlink>
          </w:p>
        </w:tc>
        <w:tc>
          <w:tcPr>
            <w:tcW w:w="76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PART II. OTHER INFORMATION</w:t>
              </w:r>
            </w:hyperlink>
          </w:p>
        </w:tc>
        <w:tc>
          <w:tcPr>
            <w:tcW w:w="82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80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Risk Factors</w:t>
              </w:r>
            </w:hyperlink>
          </w:p>
        </w:tc>
        <w:tc>
          <w:tcPr>
            <w:tcW w:w="850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Exhibits</w:t>
              </w:r>
            </w:hyperlink>
          </w:p>
        </w:tc>
        <w:tc>
          <w:tcPr>
            <w:tcW w:w="880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Signatures</w:t>
              </w:r>
            </w:hyperlink>
          </w:p>
        </w:tc>
        <w:tc>
          <w:tcPr>
            <w:tcW w:w="864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5180" w:type="dxa"/>
            <w:vAlign w:val="bottom"/>
            <w:gridSpan w:val="11"/>
          </w:tcPr>
          <w:p>
            <w:pPr>
              <w:ind w:left="434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PART I. FINANCIAL INFORMATION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b w:val="1"/>
                <w:bCs w:val="1"/>
                <w:color w:val="auto"/>
                <w:w w:val="98"/>
              </w:rPr>
              <w:t>MERCURY COMPUTER SYSTEMS, INC.</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 w:type="dxa"/>
            <w:vAlign w:val="bottom"/>
          </w:tcPr>
          <w:p>
            <w:pPr>
              <w:spacing w:after="0"/>
              <w:rPr>
                <w:sz w:val="24"/>
                <w:szCs w:val="24"/>
                <w:color w:val="auto"/>
              </w:rPr>
            </w:pPr>
          </w:p>
        </w:tc>
        <w:tc>
          <w:tcPr>
            <w:tcW w:w="862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CONSOLIDATED BALANCE SHEETS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620" w:type="dxa"/>
            <w:vAlign w:val="bottom"/>
          </w:tcPr>
          <w:p>
            <w:pPr>
              <w:jc w:val="center"/>
              <w:ind w:left="1412"/>
              <w:spacing w:after="0"/>
              <w:rPr>
                <w:sz w:val="20"/>
                <w:szCs w:val="20"/>
                <w:color w:val="auto"/>
              </w:rPr>
            </w:pPr>
            <w:r>
              <w:rPr>
                <w:rFonts w:ascii="Arial" w:cs="Arial" w:eastAsia="Arial" w:hAnsi="Arial"/>
                <w:sz w:val="18"/>
                <w:szCs w:val="18"/>
                <w:color w:val="auto"/>
                <w:w w:val="85"/>
              </w:rPr>
              <w:t>(In thousands, except share and per share data)</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660" w:type="dxa"/>
            <w:vAlign w:val="bottom"/>
            <w:tcBorders>
              <w:bottom w:val="single" w:sz="8" w:color="CCEEFF"/>
            </w:tcBorders>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165,862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80" w:type="dxa"/>
            <w:vAlign w:val="bottom"/>
            <w:gridSpan w:val="2"/>
          </w:tcPr>
          <w:p>
            <w:pPr>
              <w:ind w:left="440"/>
              <w:spacing w:after="0"/>
              <w:rPr>
                <w:sz w:val="20"/>
                <w:szCs w:val="20"/>
                <w:color w:val="auto"/>
              </w:rPr>
            </w:pPr>
            <w:r>
              <w:rPr>
                <w:rFonts w:ascii="Arial" w:cs="Arial" w:eastAsia="Arial" w:hAnsi="Arial"/>
                <w:sz w:val="18"/>
                <w:szCs w:val="18"/>
                <w:color w:val="auto"/>
                <w:w w:val="93"/>
              </w:rPr>
              <w:t>Accounts receivable, net of allowance for doubtful accounts of $27 and $17 at September 30, 2011 and June 30, 2011,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38,128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Unbilled receivables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24,502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241,203</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14,221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15,906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354,814</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31,672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3,652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5,764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48,132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 (Note H)</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80" w:type="dxa"/>
            <w:vAlign w:val="bottom"/>
          </w:tcPr>
          <w:p>
            <w:pPr>
              <w:spacing w:after="0"/>
              <w:rPr>
                <w:sz w:val="18"/>
                <w:szCs w:val="18"/>
                <w:color w:val="auto"/>
              </w:rPr>
            </w:pPr>
          </w:p>
        </w:tc>
        <w:tc>
          <w:tcPr>
            <w:tcW w:w="12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$.01 par value; 85,000,000 shares authorized; 29,405,518 and 29,143,738 shares issued and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 w:type="dxa"/>
            <w:vAlign w:val="bottom"/>
            <w:shd w:val="clear" w:color="auto" w:fill="CCEEFF"/>
          </w:tcPr>
          <w:p>
            <w:pPr>
              <w:spacing w:after="0"/>
              <w:rPr>
                <w:sz w:val="19"/>
                <w:szCs w:val="19"/>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2011 and June 30, 2011, respectively</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216,309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88,766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1,313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306,682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354,814</w:t>
            </w:r>
          </w:p>
        </w:tc>
        <w:tc>
          <w:tcPr>
            <w:tcW w:w="5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49,122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19,206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29,916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30,660</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13,645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14,197</w:t>
            </w:r>
          </w:p>
        </w:tc>
        <w:tc>
          <w:tcPr>
            <w:tcW w:w="0" w:type="dxa"/>
            <w:vAlign w:val="bottom"/>
          </w:tcPr>
          <w:p>
            <w:pPr>
              <w:spacing w:after="0"/>
              <w:rPr>
                <w:sz w:val="1"/>
                <w:szCs w:val="1"/>
                <w:color w:val="auto"/>
              </w:rPr>
            </w:pPr>
          </w:p>
        </w:tc>
      </w:tr>
      <w:tr>
        <w:trPr>
          <w:trHeight w:val="216"/>
        </w:trPr>
        <w:tc>
          <w:tcPr>
            <w:tcW w:w="970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11,865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10,899</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9700" w:type="dxa"/>
            <w:vAlign w:val="bottom"/>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26,351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3,565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3,967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2,653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29,277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22,944</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30,033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23,411</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investments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2,671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Provision for deferred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6,541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Prepaid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marketable securities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investing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employee stock plans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Payments of deferred offering costs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162,875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56,241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165,862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82,239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period for: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(1,631)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disclosures—non-cash activities:</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Mercury Computer Systems, Inc. (the “Company” or “Mercury”) designs, manufactures and markets commercially-developed, high-performance embedded, real-time digital signal and image processing sub-systems and software for specialized defense and commercial computing markets. The Company’s solutions play a critical role in a wide range of applications, transforming sensor data to information for analysis and interpretation. In military reconnaissance and surveillance platforms, the Company’s sub-systems process real-time radar, video, sonar and signals intelligence data. The Company provides microwave products for enhanced communications capabilities in military and commercial applications. Additionally, the Company entered the prime defense contracting market space in fiscal 2008 through the creation of its wholly-owned subsidiary, Mercury Federal Systems, Inc. (“MFS”), to focus on reaching the federal intelligence and homeland security agencies.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 reconnaissance, ballistic missile defense, ground mobile and force protection systems and tactical communications and network systems. The Company’s products or solutions have been deployed in approximately 300 different programs with over 25 different prime defense contractors.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 AND</w:t>
      </w:r>
      <w:r>
        <w:rPr>
          <w:rFonts w:ascii="Arial" w:cs="Arial" w:eastAsia="Arial" w:hAnsi="Arial"/>
          <w:sz w:val="18"/>
          <w:szCs w:val="18"/>
          <w:color w:val="auto"/>
        </w:rPr>
        <w:t xml:space="preserve"> P</w:t>
      </w:r>
      <w:r>
        <w:rPr>
          <w:rFonts w:ascii="Arial" w:cs="Arial" w:eastAsia="Arial" w:hAnsi="Arial"/>
          <w:sz w:val="14"/>
          <w:szCs w:val="14"/>
          <w:color w:val="auto"/>
        </w:rPr>
        <w:t>RINCIPLES OF</w:t>
      </w:r>
      <w:r>
        <w:rPr>
          <w:rFonts w:ascii="Arial" w:cs="Arial" w:eastAsia="Arial" w:hAnsi="Arial"/>
          <w:sz w:val="18"/>
          <w:szCs w:val="18"/>
          <w:color w:val="auto"/>
        </w:rPr>
        <w:t xml:space="preserve"> C</w:t>
      </w:r>
      <w:r>
        <w:rPr>
          <w:rFonts w:ascii="Arial" w:cs="Arial" w:eastAsia="Arial" w:hAnsi="Arial"/>
          <w:sz w:val="14"/>
          <w:szCs w:val="14"/>
          <w:color w:val="auto"/>
        </w:rPr>
        <w:t>ONSOLIDATION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2011 which are contained in the Company’s Annual Report on Form 10-K filed with the Securities and Exchange Commission (“SEC”) on August 18, 2011. The results for the three months ended September 30, 2011 are not necessarily indicative of the results to be expected for the full fiscal year.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performance-, cancellation-, termination- or refund-type provisions. Total revenue recognized under multiple-deliverable revenue arrangements was approximately 45% and 55% of total revenues in the three months ended September 30, 2011 and 2010, respectively. Approximately 50% of the Company’s multiple-deliverable revenue arrangements typically ship complete within the same quarter.</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deliverable within the Company’s multiple-deliverable revenue arrangements is accounted for as a separate unit of accounting under the guidance of Financial Accounting Standards Board (“FASB”) Accounting Standards Update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could be resold by the customer. Further, the Company’s revenue arrangements generally do not include a general right of return relative to delivered products.</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allocates arrangement consideration to each deliverable in an arrangement based on its relative selling price. The Company determines the selling price of its deliverables based on the following hierarchy: (1) vendor-specific objective evidence (“VSOE”) if available; (2) third-party evidence (“TPE”) if VSOE is not available; and (3) best estimated selling price (“BESP”) if neither VSOE nor TPE is available. The Company is not able to establish TPE due to the nature of the markets in which the Company competes, and, as such, the Company determines selling price using VSOE or BESP.</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determination of BESP involves a weighting of several factors based on the specific facts and circumstances of the arrangement. Specifically, the Company considers the cost to produce the deliverable, the anticipated margin on that deliverable, the selling price and profit margin for similar parts, the Company’s ongoing pricing strategy and policies (as evident in the price list as established and updated on a regular basis), the value of any enhancements that have been built into the deliverable and the characteristics of the varying markets in which the deliverable is sold. The Company will determine BESP for deliverables in future agreements based on the specific facts and circumstances of each arrangement.</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are analyzed on a more frequent basis if a significant change in the Company’s business necessitates a more timely analysis or if the Company experiences significant fluctuations in the selling prices of its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were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shares outstanding</w:t>
            </w:r>
          </w:p>
        </w:tc>
        <w:tc>
          <w:tcPr>
            <w:tcW w:w="4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29,277</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4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20" w:type="dxa"/>
            <w:vAlign w:val="bottom"/>
            <w:vMerge w:val="restart"/>
          </w:tcPr>
          <w:p>
            <w:pPr>
              <w:jc w:val="right"/>
              <w:ind w:right="3432"/>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Equity instruments to purchase 913 and 1,576 shares of common stock were not included in the calculation of diluted net earnings per share for the three months ended September 30, 2011 and 2010, respectively, because the equity instruments were anti-dilutive.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I</w:t>
      </w:r>
      <w:r>
        <w:rPr>
          <w:rFonts w:ascii="Arial" w:cs="Arial" w:eastAsia="Arial" w:hAnsi="Arial"/>
          <w:sz w:val="14"/>
          <w:szCs w:val="14"/>
          <w:color w:val="auto"/>
        </w:rPr>
        <w:t>SSUED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September 2011, the FASB issued ASU 2011-08, </w:t>
      </w:r>
      <w:r>
        <w:rPr>
          <w:rFonts w:ascii="Arial" w:cs="Arial" w:eastAsia="Arial" w:hAnsi="Arial"/>
          <w:sz w:val="18"/>
          <w:szCs w:val="18"/>
          <w:i w:val="1"/>
          <w:iCs w:val="1"/>
          <w:color w:val="auto"/>
        </w:rPr>
        <w:t>Intangibles—Goodwill and Other (Topic 350): Testing Goodwill for Impairment</w:t>
      </w:r>
      <w:r>
        <w:rPr>
          <w:rFonts w:ascii="Arial" w:cs="Arial" w:eastAsia="Arial" w:hAnsi="Arial"/>
          <w:sz w:val="18"/>
          <w:szCs w:val="18"/>
          <w:color w:val="auto"/>
        </w:rPr>
        <w:t>, an amendment of the FASB Accounting Standards Codification. The ASU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does not need to perform the two-step impairment test. The ASU is effective for annual and interim goodwill impairment tests performed for fiscal years beginning after December 15, 2011. This guidance is not expected to have a material impact to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12, 2011, the Company entered into a stock purchase agreement (the “Stock Purchase Agreement”) with LNX Corporation (“LNX’), the holders of the equity interests of LNX, and Lamberto Raffaelli, as the sellers’ representative (collectively, the “Sellers”). Pursuant to the Stock Purchase Agreement, the Company completed its purchase of all of the outstanding equity interests in LNX, and LNX became a wholly-owned subsidiary of the Company. Based in Salem, NH, LNX designs and builds next generation radio frequency receivers for signal intelligence, communication intelligence as well as electronic attack applications. LNX is included in the Advanced Computing Solutions (“ACS”) business unit.</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Company acquired LNX for a purchase price of $31,000 paid in cash, plus an earnout of up to $5,000 payable in cash, based upon achievement of financial targets during calendar years 2011 and 2012. The purchase price was subject to post-closing adjustment based on a determination of LNX’s closing net working capital. The Company funded the purchase price with cash on hand. The Company acquired LNX free of bank debt. Immediately prior to the consummation of the acquisition, LNX divested its non-defense global procurement business. The Company determined the fair value of the contingent consideration as part of the LNX acquisition based on the probability of LNX attaining the specified financial targets and assigned a fair value of $4,828 to the liability. As of September 30, 2011, the Company expects to achieve the financial targets and to pay the full earnout. In accordance with the Stock Purchase Agreement, $6,200 of the purchase price was placed into escrow to support the post-closing working capital adjustment and the sellers’ indemnification obligations, of which $1,523 was released to the Sellers and $27 was released to the Company in March 2011, upon the final calculation of net working capital. The remaining escrow is available for indemnification claims through August 2012.</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allocation of the purchase price to the net assets and liabilities acquired is subject to subsequent adjustment as the Company obtains additional information during the measurement period and finalizes its fair value estimates. Any subsequent adjustments to these fair value estimates occurring during the measurement period will result in an adjustment to goodwill or income, as applicable. There were no material adjustments to the initial fair value estimates.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incurred $25 in acquisition costs and other related expenses during the three months ended September 30, 2011, which were expensed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 and Acquired Intangible Assets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carrying amount of goodwill at September 30, 2011 and June 30, 2011 was $79,558. In the three months ended September 30, 2011, there were no triggering events, as defined by FASB Accounting Standard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Codification (“ASC”) 350, Intangibles—Goodwill and Other (“FASB ASC 350”) which required an interim goodwill impairment test. The Company performs its annual goodwill impairment test in the fourth quarter of each fiscal year.</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ACS and MFS. As of June 30, 2011, ACS was the only reporting unit that had a goodwill balance, and as such, the annual impairment analysis was performed for this reporting unit only.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Gross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September 30, 2011</w:t>
            </w: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$18,300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(7,823)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$10,477</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6.7 years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5.5 years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Completed technologies</w:t>
            </w:r>
          </w:p>
        </w:tc>
        <w:tc>
          <w:tcPr>
            <w:tcW w:w="580" w:type="dxa"/>
            <w:vAlign w:val="bottom"/>
          </w:tcPr>
          <w:p>
            <w:pPr>
              <w:jc w:val="right"/>
              <w:spacing w:after="0"/>
              <w:rPr>
                <w:sz w:val="20"/>
                <w:szCs w:val="20"/>
                <w:color w:val="auto"/>
              </w:rPr>
            </w:pPr>
            <w:r>
              <w:rPr>
                <w:rFonts w:ascii="Arial" w:cs="Arial" w:eastAsia="Arial" w:hAnsi="Arial"/>
                <w:sz w:val="18"/>
                <w:szCs w:val="18"/>
                <w:color w:val="auto"/>
              </w:rPr>
              <w:t>2,900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(348)</w:t>
            </w:r>
          </w:p>
        </w:tc>
        <w:tc>
          <w:tcPr>
            <w:tcW w:w="580" w:type="dxa"/>
            <w:vAlign w:val="bottom"/>
          </w:tcPr>
          <w:p>
            <w:pPr>
              <w:jc w:val="right"/>
              <w:spacing w:after="0"/>
              <w:rPr>
                <w:sz w:val="20"/>
                <w:szCs w:val="20"/>
                <w:color w:val="auto"/>
              </w:rPr>
            </w:pPr>
            <w:r>
              <w:rPr>
                <w:rFonts w:ascii="Arial" w:cs="Arial" w:eastAsia="Arial" w:hAnsi="Arial"/>
                <w:sz w:val="18"/>
                <w:szCs w:val="18"/>
                <w:color w:val="auto"/>
              </w:rPr>
              <w:t>2,552</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2.0 years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(300)</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26,565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(10,659)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15,906</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June 30, 2011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$18,300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$10,770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6.7 years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4,045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(1,622)</w:t>
            </w:r>
          </w:p>
        </w:tc>
        <w:tc>
          <w:tcPr>
            <w:tcW w:w="580" w:type="dxa"/>
            <w:vAlign w:val="bottom"/>
          </w:tcPr>
          <w:p>
            <w:pPr>
              <w:jc w:val="right"/>
              <w:spacing w:after="0"/>
              <w:rPr>
                <w:sz w:val="20"/>
                <w:szCs w:val="20"/>
                <w:color w:val="auto"/>
              </w:rPr>
            </w:pPr>
            <w:r>
              <w:rPr>
                <w:rFonts w:ascii="Arial" w:cs="Arial" w:eastAsia="Arial" w:hAnsi="Arial"/>
                <w:sz w:val="18"/>
                <w:szCs w:val="18"/>
                <w:color w:val="auto"/>
              </w:rPr>
              <w:t>2,423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5.5 years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Backlog</w:t>
            </w:r>
          </w:p>
        </w:tc>
        <w:tc>
          <w:tcPr>
            <w:tcW w:w="580" w:type="dxa"/>
            <w:vAlign w:val="bottom"/>
          </w:tcPr>
          <w:p>
            <w:pPr>
              <w:jc w:val="right"/>
              <w:spacing w:after="0"/>
              <w:rPr>
                <w:sz w:val="20"/>
                <w:szCs w:val="20"/>
                <w:color w:val="auto"/>
              </w:rPr>
            </w:pPr>
            <w:r>
              <w:rPr>
                <w:rFonts w:ascii="Arial" w:cs="Arial" w:eastAsia="Arial" w:hAnsi="Arial"/>
                <w:sz w:val="18"/>
                <w:szCs w:val="18"/>
                <w:color w:val="auto"/>
              </w:rPr>
              <w:t>800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(188)</w:t>
            </w:r>
          </w:p>
        </w:tc>
        <w:tc>
          <w:tcPr>
            <w:tcW w:w="580" w:type="dxa"/>
            <w:vAlign w:val="bottom"/>
          </w:tcPr>
          <w:p>
            <w:pPr>
              <w:jc w:val="right"/>
              <w:spacing w:after="0"/>
              <w:rPr>
                <w:sz w:val="20"/>
                <w:szCs w:val="20"/>
                <w:color w:val="auto"/>
              </w:rPr>
            </w:pPr>
            <w:r>
              <w:rPr>
                <w:rFonts w:ascii="Arial" w:cs="Arial" w:eastAsia="Arial" w:hAnsi="Arial"/>
                <w:sz w:val="18"/>
                <w:szCs w:val="18"/>
                <w:color w:val="auto"/>
              </w:rPr>
              <w:t>612</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2.0 years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26,545</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(9,843)</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16,702</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amortization expense for acquired intangible assets remaining at September 30, 2011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5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2013</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2015</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Thereafter</w:t>
            </w:r>
          </w:p>
        </w:tc>
        <w:tc>
          <w:tcPr>
            <w:tcW w:w="5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6000" w:type="dxa"/>
            <w:vAlign w:val="bottom"/>
            <w:gridSpan w:val="2"/>
            <w:shd w:val="clear" w:color="auto" w:fill="CCEEFF"/>
          </w:tcPr>
          <w:p>
            <w:pPr>
              <w:ind w:left="59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900" w:type="dxa"/>
            <w:vAlign w:val="bottom"/>
            <w:vMerge w:val="restart"/>
          </w:tcPr>
          <w:p>
            <w:pPr>
              <w:jc w:val="right"/>
              <w:ind w:right="429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Fair Value of Financial Instruments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measures at fair value certain financial assets and liabilities, including cash equivalents, restricted cash and contingent consideration. FASB ASC 820, </w:t>
      </w:r>
      <w:r>
        <w:rPr>
          <w:rFonts w:ascii="Arial" w:cs="Arial" w:eastAsia="Arial" w:hAnsi="Arial"/>
          <w:sz w:val="16"/>
          <w:szCs w:val="16"/>
          <w:i w:val="1"/>
          <w:iCs w:val="1"/>
          <w:color w:val="auto"/>
        </w:rPr>
        <w:t>Fair Value Measurement and Disclosures</w:t>
      </w:r>
      <w:r>
        <w:rPr>
          <w:rFonts w:ascii="Arial" w:cs="Arial" w:eastAsia="Arial" w:hAnsi="Arial"/>
          <w:sz w:val="16"/>
          <w:szCs w:val="16"/>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18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financial assets and liabilities measured at fair value on a recurring basis at September 30, 2011: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4"/>
                <w:szCs w:val="14"/>
                <w:b w:val="1"/>
                <w:bCs w:val="1"/>
                <w:color w:val="auto"/>
              </w:rPr>
              <w:t>Fair Value Measurements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2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Level 1</w:t>
            </w: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58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156,040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156,040</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ind w:left="8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159,040</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159,040</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4,877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4,877</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carrying values of cash and cash equivalents, accounts receivable and payable, and accrued liabilities approximate fair value due to the short-term maturities of these assets and liabilities.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determines the fair value of the contingent consideration related to the LNX acquisition based on the probability of LNX attaining specific financial targets using an appropriate discount rate to present value the liability. The following table provides a rollforward of the fair value of the contingent consideration, whose fair values were determined by Level 3 inputs: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2011</w:t>
            </w:r>
          </w:p>
        </w:tc>
        <w:tc>
          <w:tcPr>
            <w:tcW w:w="5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w w:val="96"/>
              </w:rPr>
              <w:t>Recognition of accretion expense in operating expenses</w:t>
            </w:r>
          </w:p>
        </w:tc>
        <w:tc>
          <w:tcPr>
            <w:tcW w:w="5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5180" w:type="dxa"/>
            <w:vAlign w:val="bottom"/>
            <w:gridSpan w:val="2"/>
            <w:shd w:val="clear" w:color="auto" w:fill="CCEEFF"/>
          </w:tcPr>
          <w:p>
            <w:pPr>
              <w:ind w:left="50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40" w:type="dxa"/>
            <w:vAlign w:val="bottom"/>
            <w:vMerge w:val="restart"/>
          </w:tcPr>
          <w:p>
            <w:pPr>
              <w:jc w:val="right"/>
              <w:ind w:right="4372"/>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7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8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r>
      <w:tr>
        <w:trPr>
          <w:trHeight w:val="222"/>
        </w:trPr>
        <w:tc>
          <w:tcPr>
            <w:tcW w:w="830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24,502</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18,540</w:t>
            </w:r>
          </w:p>
        </w:tc>
        <w:tc>
          <w:tcPr>
            <w:tcW w:w="1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a loan and security agreement (the “Loan Agreement”) with Silicon Valley Bank that provides a $35,000 revolving line of credit (the “Revolver”), with interest payable monthly and the principal due at the February 11, 2014 maturity of the Revolver. The Loan Agreement provides for conventional affirmative and negative covenants, including a minimum quick ratio of 1.0 to 1.0 and a $15,000 minimum trailing four quarter cash flow covenant through and including June 30, 2012 (with $17,500 of minimum cash flow required thereafter).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ability of the Company and its subsidiaries to incur additional debt. The interest rates include various rate options that are available to the Company. The rates are calculated using a combination of conventional base rate measures plus a margin over those rates. The base rates consist of LIBOR rates and prime rates. The actual rates will depend on the level of these underlying rates plus a margin based on the Company’s leverage at the time of borrowing. Borrowings are secured by a first-priority security interest in all of the Company’s domestic assets, including intellectual property, but limited to 65% of the voting stock of foreign subsidiaries. The Company’s MFS and LNX subsidiaries are guarantors and have granted a security interest in their assets in favor of Silicon Valley Bank. The Company has had no borrowings under the Loan Agreement since inception and was in compliance with all covenants as of September 30, 2011.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4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 connection with the divestitures of the Company’s former VI, VSG, Biotech and ES/PS businesses, which occurred in January 2009, June 2009, September 2008, and May 2008, respectively,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The Company’s indemnification obligations related to divested businesses are generally subject to caps and expire at various defined future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September 30, 2011, the remaining minimum commitment related to this agreement was $1,599, which is the 35% penalty on the remaining inventory balance. As of September 30, 2011, the Company has recorded an accrued liability of approximately $586 for the 35% penalty it anticipates paying for unpurchased inventory.</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 of September 30, 2011, the Company has entered into non-cancelable purchase commitments for certain inventory components and services used in its normal operations. The purchase commitments covered by these agreements are for less than one year and aggregate to approximately $16,695.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jc w:val="both"/>
        <w:ind w:right="20" w:firstLine="456"/>
        <w:spacing w:after="0" w:line="318" w:lineRule="auto"/>
        <w:rPr>
          <w:sz w:val="20"/>
          <w:szCs w:val="20"/>
          <w:color w:val="auto"/>
        </w:rPr>
      </w:pPr>
      <w:r>
        <w:rPr>
          <w:rFonts w:ascii="Arial" w:cs="Arial" w:eastAsia="Arial" w:hAnsi="Arial"/>
          <w:sz w:val="15"/>
          <w:szCs w:val="15"/>
          <w:color w:val="auto"/>
        </w:rPr>
        <w:t>The number of shares authorized for issuance under the Company’s 2005 Stock Incentive Plan, as amended and restated (the “2005 Plan”) is 5,092 shares, which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2,156 shares available for future grant under the 2005 Plan at September 30, 2011.</w:t>
      </w:r>
    </w:p>
    <w:p>
      <w:pPr>
        <w:spacing w:after="0" w:line="10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1,100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with a total share cap during each six-month offering period. There were no shares issued under the ESPP during the three months ended September 30, 2011 and 2010. Shares available for future purchase under the ESPP totaled 164 at September 30,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0"/>
              </w:rPr>
              <w:t>Options Outstanding</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172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36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 Term</w:t>
            </w: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3"/>
              </w:rPr>
              <w:t>Exercise Price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(Years)</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13.70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Cancelled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16.41</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Cancelled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18.70</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14.39</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00" w:type="dxa"/>
            <w:vAlign w:val="bottom"/>
            <w:shd w:val="clear" w:color="auto" w:fill="CCEEFF"/>
          </w:tcPr>
          <w:p>
            <w:pPr>
              <w:spacing w:after="0"/>
              <w:rPr>
                <w:sz w:val="18"/>
                <w:szCs w:val="18"/>
                <w:color w:val="auto"/>
              </w:rPr>
            </w:pPr>
          </w:p>
        </w:tc>
      </w:tr>
      <w:tr>
        <w:trPr>
          <w:trHeight w:val="20"/>
        </w:trPr>
        <w:tc>
          <w:tcPr>
            <w:tcW w:w="57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9000" w:type="dxa"/>
            <w:vAlign w:val="bottom"/>
            <w:gridSpan w:val="10"/>
          </w:tcPr>
          <w:p>
            <w:pPr>
              <w:spacing w:after="0"/>
              <w:rPr>
                <w:sz w:val="20"/>
                <w:szCs w:val="20"/>
                <w:color w:val="auto"/>
              </w:rPr>
            </w:pPr>
            <w:r>
              <w:rPr>
                <w:rFonts w:ascii="Arial" w:cs="Arial" w:eastAsia="Arial" w:hAnsi="Arial"/>
                <w:sz w:val="18"/>
                <w:szCs w:val="18"/>
                <w:color w:val="auto"/>
                <w:w w:val="96"/>
              </w:rPr>
              <w:t>The following table summarizes the status of the Company’s non-vested restricted stock awards since June 30, 2010: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7"/>
          </w:tcPr>
          <w:p>
            <w:pPr>
              <w:ind w:left="30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Borders>
              <w:top w:val="single" w:sz="8" w:color="auto"/>
            </w:tcBorders>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90"/>
              </w:rPr>
              <w:t>Number</w:t>
            </w:r>
          </w:p>
        </w:tc>
        <w:tc>
          <w:tcPr>
            <w:tcW w:w="3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1"/>
              </w:rPr>
              <w:t>Shares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(279)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2011</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Company recognized the full impact of its share-based payment plans in the consolidated statements of operations for the three months ended September 30, 2011 and 2010 in accordance with FASB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(“FASB ASC 718”), and did not capitalize any such costs on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consolidated balance sheets, as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stock-based compensation expenses included in the Company’s consolidated statement of operations: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1,675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8"/>
                <w:szCs w:val="18"/>
                <w:color w:val="auto"/>
              </w:rPr>
              <w:t>Stock-based compensation expense before tax</w:t>
            </w: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2,040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1,290</w:t>
            </w:r>
          </w:p>
        </w:tc>
      </w:tr>
      <w:tr>
        <w:trPr>
          <w:trHeight w:val="218"/>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Net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1,321</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Operating Segment, Geographic Information and Significant Customers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organized in two business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4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Computing Solutions (“ACS”). This business unit is focused on specialized, high performance signal end-to-end processing solutions that encompass signal acquisition including microwave front-end, digitalization, computing, storage and communications, targeted to key market segments, including defense, communications and other commercial application.</w:t>
      </w:r>
    </w:p>
    <w:p>
      <w:pPr>
        <w:spacing w:after="0" w:line="59"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Mercury Federal Systems (“MFS”)</w:t>
      </w:r>
      <w:r>
        <w:rPr>
          <w:rFonts w:ascii="Arial" w:cs="Arial" w:eastAsia="Arial" w:hAnsi="Arial"/>
          <w:sz w:val="18"/>
          <w:szCs w:val="18"/>
          <w:i w:val="1"/>
          <w:iCs w:val="1"/>
          <w:color w:val="auto"/>
        </w:rPr>
        <w:t>.</w:t>
      </w:r>
      <w:r>
        <w:rPr>
          <w:rFonts w:ascii="Arial" w:cs="Arial" w:eastAsia="Arial" w:hAnsi="Arial"/>
          <w:sz w:val="18"/>
          <w:szCs w:val="18"/>
          <w:color w:val="auto"/>
        </w:rPr>
        <w:t xml:space="preserve"> This business unit is focused on services and support work with the Department of Defense and federal intelligence and homeland security agencies, including designing and engineering new ISR capabilities to address present and emerging threats to U.S. forces.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chief operating decision maker (“CODM”) for making decisions about allocating resources to segments and assessing segment performance was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reported in the consolidated statements of operations.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ACS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4"/>
              </w:rPr>
              <w:t>MFS</w:t>
            </w:r>
          </w:p>
        </w:tc>
        <w:tc>
          <w:tcPr>
            <w:tcW w:w="140" w:type="dxa"/>
            <w:vAlign w:val="bottom"/>
          </w:tcPr>
          <w:p>
            <w:pPr>
              <w:spacing w:after="0"/>
              <w:rPr>
                <w:sz w:val="14"/>
                <w:szCs w:val="14"/>
                <w:color w:val="auto"/>
              </w:rPr>
            </w:pPr>
          </w:p>
        </w:tc>
        <w:tc>
          <w:tcPr>
            <w:tcW w:w="11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Expense</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40" w:type="dxa"/>
            <w:vAlign w:val="bottom"/>
            <w:tcBorders>
              <w:top w:val="single" w:sz="8" w:color="CCEEFF"/>
            </w:tcBorders>
            <w:shd w:val="clear" w:color="auto" w:fill="CCEEFF"/>
          </w:tcPr>
          <w:p>
            <w:pPr>
              <w:jc w:val="right"/>
              <w:ind w:right="2812"/>
              <w:spacing w:after="0" w:line="188"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lef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30, 2011</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$45,397</w:t>
            </w:r>
          </w:p>
        </w:tc>
        <w:tc>
          <w:tcPr>
            <w:tcW w:w="120" w:type="dxa"/>
            <w:vAlign w:val="bottom"/>
          </w:tcPr>
          <w:p>
            <w:pPr>
              <w:spacing w:after="0"/>
              <w:rPr>
                <w:sz w:val="18"/>
                <w:szCs w:val="18"/>
                <w:color w:val="auto"/>
              </w:rPr>
            </w:pPr>
          </w:p>
        </w:tc>
        <w:tc>
          <w:tcPr>
            <w:tcW w:w="1000" w:type="dxa"/>
            <w:vAlign w:val="bottom"/>
            <w:gridSpan w:val="6"/>
          </w:tcPr>
          <w:p>
            <w:pPr>
              <w:jc w:val="right"/>
              <w:ind w:right="140"/>
              <w:spacing w:after="0"/>
              <w:rPr>
                <w:sz w:val="20"/>
                <w:szCs w:val="20"/>
                <w:color w:val="auto"/>
              </w:rPr>
            </w:pPr>
            <w:r>
              <w:rPr>
                <w:rFonts w:ascii="Arial" w:cs="Arial" w:eastAsia="Arial" w:hAnsi="Arial"/>
                <w:sz w:val="18"/>
                <w:szCs w:val="18"/>
                <w:color w:val="auto"/>
              </w:rPr>
              <w:t>$4,171</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47,329</w:t>
            </w:r>
          </w:p>
        </w:tc>
        <w:tc>
          <w:tcPr>
            <w:tcW w:w="120" w:type="dxa"/>
            <w:vAlign w:val="bottom"/>
          </w:tcPr>
          <w:p>
            <w:pPr>
              <w:spacing w:after="0"/>
              <w:rPr>
                <w:sz w:val="19"/>
                <w:szCs w:val="19"/>
                <w:color w:val="auto"/>
              </w:rPr>
            </w:pPr>
          </w:p>
        </w:tc>
        <w:tc>
          <w:tcPr>
            <w:tcW w:w="1000" w:type="dxa"/>
            <w:vAlign w:val="bottom"/>
            <w:gridSpan w:val="6"/>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4,171</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(2,378)</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5,046</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493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(2,040)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2,656</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30, 2010</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$50,475</w:t>
            </w:r>
          </w:p>
        </w:tc>
        <w:tc>
          <w:tcPr>
            <w:tcW w:w="120" w:type="dxa"/>
            <w:vAlign w:val="bottom"/>
          </w:tcPr>
          <w:p>
            <w:pPr>
              <w:spacing w:after="0"/>
              <w:rPr>
                <w:sz w:val="18"/>
                <w:szCs w:val="18"/>
                <w:color w:val="auto"/>
              </w:rPr>
            </w:pPr>
          </w:p>
        </w:tc>
        <w:tc>
          <w:tcPr>
            <w:tcW w:w="1000" w:type="dxa"/>
            <w:vAlign w:val="bottom"/>
            <w:gridSpan w:val="6"/>
          </w:tcPr>
          <w:p>
            <w:pPr>
              <w:jc w:val="right"/>
              <w:ind w:right="140"/>
              <w:spacing w:after="0"/>
              <w:rPr>
                <w:sz w:val="20"/>
                <w:szCs w:val="20"/>
                <w:color w:val="auto"/>
              </w:rPr>
            </w:pPr>
            <w:r>
              <w:rPr>
                <w:rFonts w:ascii="Arial" w:cs="Arial" w:eastAsia="Arial" w:hAnsi="Arial"/>
                <w:sz w:val="18"/>
                <w:szCs w:val="18"/>
                <w:color w:val="auto"/>
              </w:rPr>
              <w:t>$1,854</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51,883</w:t>
            </w:r>
          </w:p>
        </w:tc>
        <w:tc>
          <w:tcPr>
            <w:tcW w:w="120" w:type="dxa"/>
            <w:vAlign w:val="bottom"/>
          </w:tcPr>
          <w:p>
            <w:pPr>
              <w:spacing w:after="0"/>
              <w:rPr>
                <w:sz w:val="19"/>
                <w:szCs w:val="19"/>
                <w:color w:val="auto"/>
              </w:rPr>
            </w:pPr>
          </w:p>
        </w:tc>
        <w:tc>
          <w:tcPr>
            <w:tcW w:w="1000" w:type="dxa"/>
            <w:vAlign w:val="bottom"/>
            <w:gridSpan w:val="6"/>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1,854</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7,865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(1,290)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1,738</w:t>
            </w: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400" w:type="dxa"/>
            <w:vAlign w:val="bottom"/>
            <w:gridSpan w:val="14"/>
          </w:tcPr>
          <w:p>
            <w:pPr>
              <w:ind w:left="460"/>
              <w:spacing w:after="0"/>
              <w:rPr>
                <w:sz w:val="20"/>
                <w:szCs w:val="20"/>
                <w:color w:val="auto"/>
              </w:rPr>
            </w:pPr>
            <w:r>
              <w:rPr>
                <w:rFonts w:ascii="Arial" w:cs="Arial" w:eastAsia="Arial" w:hAnsi="Arial"/>
                <w:sz w:val="18"/>
                <w:szCs w:val="18"/>
                <w:color w:val="auto"/>
                <w:w w:val="91"/>
              </w:rPr>
              <w:t>The geographic distribution of the Company’s revenues from continuing operations is summarized as follows: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1"/>
              </w:rPr>
              <w:t>Europe</w:t>
            </w:r>
          </w:p>
        </w:tc>
        <w:tc>
          <w:tcPr>
            <w:tcW w:w="1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40" w:type="dxa"/>
            <w:vAlign w:val="bottom"/>
            <w:tcBorders>
              <w:top w:val="single" w:sz="8" w:color="CCEEFF"/>
            </w:tcBorders>
            <w:shd w:val="clear" w:color="auto" w:fill="CCEEFF"/>
          </w:tcPr>
          <w:p>
            <w:pPr>
              <w:jc w:val="right"/>
              <w:ind w:right="2812"/>
              <w:spacing w:after="0" w:line="188"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left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30, 2011</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$46,877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792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1,453</w:t>
            </w:r>
          </w:p>
        </w:tc>
        <w:tc>
          <w:tcPr>
            <w:tcW w:w="5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(2,459)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49,059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w w:val="84"/>
              </w:rPr>
              <w:t>1,049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1,473</w:t>
            </w:r>
          </w:p>
        </w:tc>
        <w:tc>
          <w:tcPr>
            <w:tcW w:w="5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(2,459)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shd w:val="clear" w:color="auto" w:fill="CCEEFF"/>
          </w:tcPr>
          <w:p>
            <w:pPr>
              <w:jc w:val="right"/>
              <w:ind w:right="2812"/>
              <w:spacing w:after="0" w:line="203"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30, 2010</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$50,663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w w:val="84"/>
              </w:rPr>
              <w:t>1,054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(2,193)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52,119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w w:val="84"/>
              </w:rPr>
              <w:t>1,698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5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(2,193)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Europe</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Asia Pacific</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9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September 30, 2011</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$14,196</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$14,221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June 30, 2011</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$15,390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704</w:t>
            </w:r>
          </w:p>
        </w:tc>
        <w:tc>
          <w:tcPr>
            <w:tcW w:w="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ind w:left="420"/>
              <w:spacing w:after="0"/>
              <w:rPr>
                <w:sz w:val="20"/>
                <w:szCs w:val="20"/>
                <w:color w:val="auto"/>
              </w:rPr>
            </w:pPr>
            <w:r>
              <w:rPr>
                <w:rFonts w:ascii="Arial" w:cs="Arial" w:eastAsia="Arial" w:hAnsi="Arial"/>
                <w:sz w:val="18"/>
                <w:szCs w:val="18"/>
                <w:color w:val="auto"/>
                <w:w w:val="86"/>
              </w:rPr>
              <w:t>$16,118</w:t>
            </w:r>
          </w:p>
        </w:tc>
        <w:tc>
          <w:tcPr>
            <w:tcW w:w="100" w:type="dxa"/>
            <w:vAlign w:val="bottom"/>
          </w:tcPr>
          <w:p>
            <w:pPr>
              <w:spacing w:after="0"/>
              <w:rPr>
                <w:sz w:val="19"/>
                <w:szCs w:val="19"/>
                <w:color w:val="auto"/>
              </w:rPr>
            </w:pPr>
          </w:p>
        </w:tc>
      </w:tr>
      <w:tr>
        <w:trPr>
          <w:trHeight w:val="370"/>
        </w:trPr>
        <w:tc>
          <w:tcPr>
            <w:tcW w:w="5980" w:type="dxa"/>
            <w:vAlign w:val="bottom"/>
            <w:gridSpan w:val="3"/>
          </w:tcPr>
          <w:p>
            <w:pPr>
              <w:ind w:left="460"/>
              <w:spacing w:after="0"/>
              <w:rPr>
                <w:sz w:val="20"/>
                <w:szCs w:val="20"/>
                <w:color w:val="auto"/>
              </w:rPr>
            </w:pPr>
            <w:r>
              <w:rPr>
                <w:rFonts w:ascii="Arial" w:cs="Arial" w:eastAsia="Arial" w:hAnsi="Arial"/>
                <w:sz w:val="18"/>
                <w:szCs w:val="18"/>
                <w:color w:val="auto"/>
              </w:rPr>
              <w:t>Identifiable long-lived assets exclude goodwill and intangible assets.</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120" w:type="dxa"/>
            <w:vAlign w:val="bottom"/>
            <w:gridSpan w:val="8"/>
          </w:tcPr>
          <w:p>
            <w:pPr>
              <w:ind w:left="460"/>
              <w:spacing w:after="0"/>
              <w:rPr>
                <w:sz w:val="20"/>
                <w:szCs w:val="20"/>
                <w:color w:val="auto"/>
              </w:rPr>
            </w:pPr>
            <w:r>
              <w:rPr>
                <w:rFonts w:ascii="Arial" w:cs="Arial" w:eastAsia="Arial" w:hAnsi="Arial"/>
                <w:sz w:val="18"/>
                <w:szCs w:val="18"/>
                <w:color w:val="auto"/>
                <w:w w:val="88"/>
              </w:rPr>
              <w:t>Customers comprising 10% or more of the Company’s revenues for the periods shown below are as follows: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gridSpan w:val="10"/>
          </w:tcPr>
          <w:p>
            <w:pPr>
              <w:jc w:val="center"/>
              <w:ind w:right="66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Raytheon Company</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Northrop Grumman Corporation</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ind w:left="260"/>
              <w:spacing w:after="0"/>
              <w:rPr>
                <w:sz w:val="20"/>
                <w:szCs w:val="20"/>
                <w:color w:val="auto"/>
              </w:rPr>
            </w:pPr>
            <w:r>
              <w:rPr>
                <w:rFonts w:ascii="Arial" w:cs="Arial" w:eastAsia="Arial" w:hAnsi="Arial"/>
                <w:sz w:val="18"/>
                <w:szCs w:val="18"/>
                <w:color w:val="auto"/>
                <w:w w:val="99"/>
              </w:rPr>
              <w:t>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Lockheed Martin Corporation</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KLA-Tencor Corporation</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ind w:left="260"/>
              <w:spacing w:after="0"/>
              <w:rPr>
                <w:sz w:val="20"/>
                <w:szCs w:val="20"/>
                <w:color w:val="auto"/>
              </w:rPr>
            </w:pPr>
            <w:r>
              <w:rPr>
                <w:rFonts w:ascii="Arial" w:cs="Arial" w:eastAsia="Arial" w:hAnsi="Arial"/>
                <w:sz w:val="18"/>
                <w:szCs w:val="18"/>
                <w:color w:val="auto"/>
                <w:w w:val="99"/>
              </w:rPr>
              <w:t>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ASML Holding N.V.</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w w:val="79"/>
              </w:rPr>
              <w:t>10</w:t>
            </w:r>
          </w:p>
        </w:tc>
        <w:tc>
          <w:tcPr>
            <w:tcW w:w="2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ind w:left="260"/>
              <w:spacing w:after="0"/>
              <w:rPr>
                <w:sz w:val="20"/>
                <w:szCs w:val="20"/>
                <w:color w:val="auto"/>
              </w:rPr>
            </w:pPr>
            <w:r>
              <w:rPr>
                <w:rFonts w:ascii="Arial" w:cs="Arial" w:eastAsia="Arial" w:hAnsi="Arial"/>
                <w:sz w:val="18"/>
                <w:szCs w:val="18"/>
                <w:color w:val="auto"/>
                <w:w w:val="99"/>
              </w:rPr>
              <w:t>74%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the amount is less than 10% of the Company’s revenues for the respective period.</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the Company typically has several customers from which it derives 10% or more of its revenue, the sales to each of these customers are spread across multiple programs and platforms. For the three months ended September 30, 2011, only the Joint Strike Fighter program at 16% comprised more than 10% of the Company’s revenues. For the three months ended September 30, 2010, no single program comprised 10% or more of the Company’s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Income Taxes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recorded tax expense of $1,314 and $2,077 for the three months ended September 30, 2011 and 2010, respectively, on income from continuing operations before taxes of $3,967 and $5,759 for the three months ended September 30, 2011 and 2010, respectively. Income tax expense for the three months ended September 30, 2011 differed from the federal statutory rate primarily due to the impact of a Section 199 manufacturing deduction and research and development tax credits. Income tax expense for the three months ended September 30, 2010 differed from the federal statutory rate primarily due to the impact of a Section 199 manufacturing deduction.</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 material changes in the Company’s unrecognized tax positions occurred during the three months ended September 30, 2011. The Company does not expect there to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Subsequent Events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“anticipate,” “continue,” “estimate,” “project,” “intend,” “likely,” “probable,”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and the timing of such funding,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2011.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image processing sub-systems and software for specialized defense and commercial computing markets. Our solutions play a critical role in a wide range of applications, transforming sensor data to information for analysis and interpretation. In military reconnaissance and surveillance platforms, our sub-systems process real-time radar, video, sonar and signals intelligence, or SIGINT, data. We provide microwave products for enhanced communications capabilities in military and commercial applications. Additionally, we entered the prime defense contracting market space in fiscal 2008 through the creation of our wholly-owned subsidiary, Mercury Federal Systems, Inc., to focus on reaching the federal intelligence and homeland security agencies.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 reconnaissance, ballistic missile defense, ground mobile and force protection systems and tactical communications and network systems. Our products or solutions have been deployed in approximately 300 different programs with over 25 different prime defense contractors.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September 30, 2011, we had 604 employees and, for the three months ended September 30, 2011, we had revenues of $49.1 million and income from continuing operations of $2.7 million.</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 xml:space="preserve">Advanced Computing Solutions, or ACS. </w:t>
      </w:r>
      <w:r>
        <w:rPr>
          <w:rFonts w:ascii="Arial" w:cs="Arial" w:eastAsia="Arial" w:hAnsi="Arial"/>
          <w:sz w:val="18"/>
          <w:szCs w:val="18"/>
          <w:color w:val="auto"/>
        </w:rPr>
        <w:t>This business unit is focused on specialized, high performance signal end-to-end processing solutions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encompass signal acquisition including microwave front-end,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digitalization, computing, storage and communications, targeted to key market segments, including defense, communications and other commercial application. ACS’s open system architecture solutions span the full range of embedded technologies from board level products to fully integrated sub-systems. Our products utilize leading-edge processor technologies architected to address highly data-intensive applications that include signal, sensor and image processing within environmentally constrained military and commercial applications. In addition, ACS now has a portfolio of microwave sub-assemblies to address needs in EW, SIGINT, electronic intelligence, or ELINT, and high bandwidth communications subsystems.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products are highly optimized for size, weight and power, as well as for the performance and ruggedization requirements of our customers. Customized design and sub-systems integration services extend our capabilities to tailor solutions to meet the specialized requirements of our customers. For the three months ended September 30, 2011, ACS accounted for 92% of our total net revenues.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unit is focused on services and support work with the Department of Defense, or the DoD,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intelligence and homeland security agencies, including designing and engineering new intelligence, surveillance and reconnaissance, or ISR, capabilities to address present and emerging threats to U.S. forces. MFS is part of our long-term strategy to expand our software and services presence and pursue growth in platform-ready ISR sub-systems, particularly those with classified intellectual property. MFS offers a wide range of engineering architecture and design services that enable clients to deploy leading edge computing capabilities for ISR systems on an accelerated time cycle. This business unit enables us to combine classified intellectual property with the commercially developed application-ready sub-systems being developed by ACS, providing customers with platform-ready, affordable ISR sub-systems. For the three months ended September 30, 2011, MFS accounted for 8% of our total net revenues.</w:t>
      </w:r>
    </w:p>
    <w:p>
      <w:pPr>
        <w:spacing w:after="0" w:line="11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 As an industry, we are dealing with a federal continuing budget resolution and longer-term uncertainties in the defense budget. Although the federal government is expected to pass a budget by the end of calendar 2011, the possibility of the government operating under a continuing resolution beyond calendar 2011 cannot be ruled out.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As a %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1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Total Net</w:t>
            </w:r>
          </w:p>
        </w:tc>
        <w:tc>
          <w:tcPr>
            <w:tcW w:w="300" w:type="dxa"/>
            <w:vAlign w:val="bottom"/>
          </w:tcPr>
          <w:p>
            <w:pPr>
              <w:spacing w:after="0"/>
              <w:rPr>
                <w:sz w:val="12"/>
                <w:szCs w:val="12"/>
                <w:color w:val="auto"/>
              </w:rPr>
            </w:pPr>
          </w:p>
        </w:tc>
        <w:tc>
          <w:tcPr>
            <w:tcW w:w="130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2"/>
                <w:szCs w:val="12"/>
                <w:color w:val="auto"/>
              </w:rPr>
            </w:pPr>
          </w:p>
        </w:tc>
        <w:tc>
          <w:tcPr>
            <w:tcW w:w="76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92"/>
              <w:spacing w:after="0" w:line="148"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32"/>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49,122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100.0%</w:t>
            </w:r>
          </w:p>
        </w:tc>
        <w:tc>
          <w:tcPr>
            <w:tcW w:w="30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52,108</w:t>
            </w:r>
          </w:p>
        </w:tc>
        <w:tc>
          <w:tcPr>
            <w:tcW w:w="4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21,448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30,660</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14,197</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10,899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5,245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5,759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3,682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3,630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160" w:type="dxa"/>
            <w:vAlign w:val="bottom"/>
            <w:vMerge w:val="restart"/>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5"/>
              </w:rPr>
              <w:t>September 30,</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98"/>
              <w:spacing w:after="0" w:line="148"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tcPr>
          <w:p>
            <w:pPr>
              <w:jc w:val="right"/>
              <w:ind w:right="800"/>
              <w:spacing w:after="0" w:line="148" w:lineRule="exact"/>
              <w:rPr>
                <w:sz w:val="20"/>
                <w:szCs w:val="20"/>
                <w:color w:val="auto"/>
              </w:rPr>
            </w:pPr>
            <w:r>
              <w:rPr>
                <w:rFonts w:ascii="Arial" w:cs="Arial" w:eastAsia="Arial" w:hAnsi="Arial"/>
                <w:sz w:val="14"/>
                <w:szCs w:val="14"/>
                <w:b w:val="1"/>
                <w:bCs w:val="1"/>
                <w:color w:val="auto"/>
                <w:w w:val="76"/>
              </w:rPr>
              <w:t>$ Change</w:t>
            </w:r>
          </w:p>
        </w:tc>
        <w:tc>
          <w:tcPr>
            <w:tcW w:w="880" w:type="dxa"/>
            <w:vAlign w:val="bottom"/>
            <w:gridSpan w:val="3"/>
          </w:tcPr>
          <w:p>
            <w:pPr>
              <w:jc w:val="right"/>
              <w:ind w:right="172"/>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45,397</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50,475</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1"/>
              </w:rPr>
              <w:t>$(5,078)</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MFS</w:t>
            </w:r>
          </w:p>
        </w:tc>
        <w:tc>
          <w:tcPr>
            <w:tcW w:w="1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4,171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32"/>
              <w:spacing w:after="0"/>
              <w:rPr>
                <w:sz w:val="20"/>
                <w:szCs w:val="20"/>
                <w:color w:val="auto"/>
              </w:rPr>
            </w:pPr>
            <w:r>
              <w:rPr>
                <w:rFonts w:ascii="Arial" w:cs="Arial" w:eastAsia="Arial" w:hAnsi="Arial"/>
                <w:sz w:val="18"/>
                <w:szCs w:val="18"/>
                <w:color w:val="auto"/>
                <w:w w:val="84"/>
              </w:rPr>
              <w:t>2,317</w:t>
            </w:r>
          </w:p>
        </w:tc>
        <w:tc>
          <w:tcPr>
            <w:tcW w:w="480" w:type="dxa"/>
            <w:vAlign w:val="bottom"/>
          </w:tcPr>
          <w:p>
            <w:pPr>
              <w:spacing w:after="0"/>
              <w:rPr>
                <w:sz w:val="18"/>
                <w:szCs w:val="18"/>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33"/>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(225)</w:t>
            </w:r>
          </w:p>
        </w:tc>
        <w:tc>
          <w:tcPr>
            <w:tcW w:w="4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22"/>
        </w:trPr>
        <w:tc>
          <w:tcPr>
            <w:tcW w:w="550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49,122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4"/>
          </w:tcPr>
          <w:p>
            <w:pPr>
              <w:jc w:val="right"/>
              <w:ind w:right="1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(2,986)</w:t>
            </w:r>
          </w:p>
        </w:tc>
        <w:tc>
          <w:tcPr>
            <w:tcW w:w="48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revenues decreased $3.0 million, or 6%, to $49.1 million during the three months ended September 30, 2011 as compared to the comparable period in fiscal 2011. International revenues represented approximately 5% and 4% of total revenues during the three months ended September 30, 2011 and 2010, respectively.</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Net ACS revenues decreased $5.1 million, or 10%, during the three months ended September 30, 2011 as compared to the same period in fiscal 2011. This decrease was primarily driven by lower commercial sales of $10.3 million which were partially offset by a $5.0 million increase in defense sales.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MFS revenues increased $2.3 million during the three months ended September 30, 2011 as compared to the same period in fiscal 2011. This increase was primarily driven by higher revenues from a wide area persistent surveillance contract.</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Net Other revenues decreased $0.2 million during the three months ended September 30, 2011 as compared to the same period in fiscal 2011. Net Other revenue is attributable to development programs where the revenue is recognized in both segments under contract accounting, and reflects the reconciliation to our consolidated results.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Gross margin was 60.9% for the three months ended September 30, 2011, an increase of 210 basis points from the 58.8% gross margin achieved during the same period in fiscal 2011. The increase in gross margin was primarily due to a favorable shift in program mix including $1.8 million of royalty revenues. These higher margins were partially offset by increases in manufacturing variances, inventory provisions, and scrap.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Selling, general and administrative expenses decreased $0.6 million, or 4%, to $13.6 million during the three months ended September 30, 2011, compared to $14.2 million during the comparable period in fiscal 2011. The decrease was primarily due to a $0.6 million decrease in variable compensation expense, a $0.4 million decrease in distributor costs, a $0.2 million decrease in consultant expense and a $0.2 million decrease in recruiting expense. These decreases were partially offset by a $0.5 million increase in stock based compensation and a $0.2 million increase in depreciation expense. Selling, general and administrative expenses increased as a percentage of revenues to 27.8% during the three months ended September 30, 2011 from 27.2% during the same period in fiscal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Research and development expenses increased $1.0 million, or 9%, to $11.9 million during the three months ended September 30, 2011, compared to $10.9 million during the comparable period in fiscal 2011. The increase was primarily due to a $1.4 million increase in employee compensation expense, including stock-based compensation. The increase was also driven by an increase in headcount as a result of the LNX acquisition in January 2011. The employee compensation expense increases were partially offset by a $0.6 million decrease in costs of prototype and development materials and a $0.2 million decrease in variable compensation expenses. Research and development continues to be a focus of our business with approximately 24.1% and 20.9% of our revenues dedicated to research and development activities during the three months ended September 30, 2011 and 2010,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Amortization of acquired intangible assets increased $0.5 million, to $0.8 million for the three months ended September 30, 2011 as compared to $0.3 million during the comparable period in fiscal 2011, primarily due to amortization of intangible assets from the LNX acquisition completed during the third quarter of fiscal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incurred a minimal amount of acquisition costs and other related expenses during three months ended September 30, 2011, incurred in connection with the acquisition of LNX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Interest income for the three months ended September 30, 2011 and 2010 were minimal due to the near zero percent yield on our U.S. treasury bills and money market accounts.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incurred a minimal amount of interest expense for the three months ended September 30, 2011 and 2010, which primarily consisted of finance charges related to capital lease obligations.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N</w:t>
      </w:r>
      <w:r>
        <w:rPr>
          <w:rFonts w:ascii="Arial" w:cs="Arial" w:eastAsia="Arial" w:hAnsi="Arial"/>
          <w:sz w:val="14"/>
          <w:szCs w:val="14"/>
          <w:color w:val="auto"/>
        </w:rPr>
        <w:t>ET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Other net income decreased $0.1 million, or 22%, to $0.4 million during the three months ended September 30, 2011, as compared to the same period in fiscal 2011. Other income consists of $0.3 million in amortization of the gain on the sale leaseback of our corporate headquarters located in Chelmsford, Massachusetts and $0.1 million foreign currency exchange gains. The $0.1 million decrease is primarily associated with a $0.1 million foreign currency exchange gain during the three months ended September 30, 2011 as compared to a $0.2 million foreign currency exchange gain for the same period in fiscal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recorded a provision for income taxes of $1.3 million during the three months ended September 30, 2011 reflecting a 34.1% effective tax rate as compared to 35.9% effective tax rate for the same period in fiscal 2011. Our effective tax rate for the three months ended September 30, 2011 differed from the federal statutory tax rate of 35% primarily due to the impact of a Section 199 manufacturing deduction and research and development tax credits. Our effective tax rate for the three months ended September 30, 2010 differed from the federal statutory rate primarily due to the impact of a Section 199 manufacturing deduction.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Operating profit for ACS decreased $2.9 million during the three months ended September 30, 2011 to $5.0 million as compared to $7.9 million for the same period in fiscal 2011. The decrease in operating profit was primarily driven by lower revenues of $5.1 million.</w:t>
      </w:r>
    </w:p>
    <w:p>
      <w:pPr>
        <w:spacing w:after="0" w:line="132" w:lineRule="exact"/>
        <w:rPr>
          <w:sz w:val="20"/>
          <w:szCs w:val="20"/>
          <w:color w:val="auto"/>
        </w:rPr>
      </w:pPr>
    </w:p>
    <w:p>
      <w:pPr>
        <w:jc w:val="both"/>
        <w:ind w:right="500" w:firstLine="456"/>
        <w:spacing w:after="0" w:line="256" w:lineRule="auto"/>
        <w:rPr>
          <w:sz w:val="20"/>
          <w:szCs w:val="20"/>
          <w:color w:val="auto"/>
        </w:rPr>
      </w:pPr>
      <w:r>
        <w:rPr>
          <w:rFonts w:ascii="Arial" w:cs="Arial" w:eastAsia="Arial" w:hAnsi="Arial"/>
          <w:sz w:val="18"/>
          <w:szCs w:val="18"/>
          <w:color w:val="auto"/>
        </w:rPr>
        <w:t>Results from operations of the MFS segment increased $1.0 million during the three months ended September 30, 2011 to operating income of $0.5 million. The increase in results from operations was primarily due to a $2.3 million increase in revenues. Additionally MFS received a higher gross margin percentage of 19% during the three months ended September 30, 2011 compared to a 7% gross margin for the same period in fiscal 2011 while lowering its administrative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J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our periodic communications, we discuss two important measures that are not calculated according to U.S. generally accepted accounting principles (“GAAP”), adjusted EBITDA and free cash flow. 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0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our income from continuing operations, the most directly comparable GAAP financial measure to our adjusted EBITDA: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29"/>
        </w:trPr>
        <w:tc>
          <w:tcPr>
            <w:tcW w:w="8820" w:type="dxa"/>
            <w:vAlign w:val="bottom"/>
            <w:gridSpan w:val="3"/>
            <w:vMerge w:val="continue"/>
          </w:tcPr>
          <w:p>
            <w:pPr>
              <w:spacing w:after="0"/>
              <w:rPr>
                <w:sz w:val="11"/>
                <w:szCs w:val="11"/>
                <w:color w:val="auto"/>
              </w:rPr>
            </w:pPr>
          </w:p>
        </w:tc>
        <w:tc>
          <w:tcPr>
            <w:tcW w:w="5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$ 2,653</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$ 3,682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1,855</w:t>
            </w:r>
          </w:p>
        </w:tc>
        <w:tc>
          <w:tcPr>
            <w:tcW w:w="54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adjustments from purchase accounting</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cost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$ 8,729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cash provided by operating activities, the most directly comparable GAAP financial measure to free cash flow.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tcPr>
          <w:p>
            <w:pPr>
              <w:spacing w:after="0"/>
              <w:rPr>
                <w:sz w:val="14"/>
                <w:szCs w:val="14"/>
                <w:color w:val="auto"/>
              </w:rPr>
            </w:pPr>
          </w:p>
        </w:tc>
        <w:tc>
          <w:tcPr>
            <w:tcW w:w="1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82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5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$ 4,216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$ 9,350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27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(1,646)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7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$ 2,570</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primary source of liquidity came from existing cash and cash generated from operations.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our current plans and business conditions, we believe that existing cash, cash equivalents, available line of credit with Silicon Valley Bank, and cash generated from operations will be sufficient to satisfy our anticipated cash requirements for at least the next twelve months. However, additional cash may be required for certain future acquisitions. To the extent existing resources and cash from operations are insufficient to support our acquisition activities; we may need to raise additional funds through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have a loan and security agreement (the “Loan Agreement”) with Silicon Valley Bank that provides a $35 million revolving line of credit (the “Revolver”), with interest payable monthly and the principal due at the February 11, 2014 maturity of the Revolver. The Loan Agreement provides for conventional affirmative and negative covenants, including a minimum quick ratio of 1.0 to 1.0 and a $15 million minimum trailing four quarter cash flow covenant through and including June 30, 2012 (with $17.5 million of minimum cash flow required thereafter). The minimum cash flow covenant is calculated as our trailing-four quarter adjusted EBITDA as defined in the Loan Agreement. In addition, the Loan Agreement contains certain customary representations and warranties and limits our and our subsidiaries’ ability to incur liens, dispose of assets, carry out certain mergers and acquisitions, make investments and capital expenditures and defines events of default and limitations on the ability of us and our subsidiaries to incur additional debt. The interest rates include various rate options that are available to us. The rates are calculated using a combination of conventional base rate measures plus a margin over those rates. The base rates consist of LIBOR rates and prime rates. The actual rates will depend on the level of these underlying rates plus a margin based on our leverage at the time of borrowing. Borrowings are secured by a first-priority security interest in all of our domestic assets, including intellectual property, but limited to 65% of the voting stock of foreign subsidiaries. Our MFS and LNX subsidiaries are guarantors and have granted a security interest in their assets in favor of Silicon Valley Bank. We have had no borrowings under the Loan Agreement since inception and were in compliance with all covenants as of September 30,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As of and for the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321"/>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460" w:type="dxa"/>
            <w:vAlign w:val="bottom"/>
            <w:vMerge w:val="restart"/>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4,216</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165,862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80" w:type="dxa"/>
            <w:vAlign w:val="bottom"/>
          </w:tcPr>
          <w:p>
            <w:pPr>
              <w:jc w:val="right"/>
              <w:ind w:right="319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cash and cash equivalents increased by $3.0 million from June 30, 2011 to September 30, 2011, primarily as a result of the $4.2 million generated by operating activities, and $0.5 million generated from stock related activities from employee stock plans, offset by $1.7 million in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During the three months ended September 30, 2011, we generated $4.2 million in cash from operations compared to $9.4 million generated from operating activities during the same period in fiscal 2011. The $5.2 million decrease in cash generated from operations was largely driven by $1.0 million in comparative lower net income, a $4.8 million increase in cash used for inventory, a $2.1 million increase in cash used for accounts payable and accrued expenses, a $1.1 million decrease in cash generated from prepaid income taxes, a $1.0 million increase in cash used for income tax payable, and a $1.8 million increase in cash used for deferred revenue, customer advances and other non-current liabilities. These uses of cash were offset by a $2.2 million increase in cash received from accounts receivable, a $1.5 million increase in cash generated from other non-current assets, a $0.6 million increase in cash generated from prepaid expenses and other current assets, a $0.9 million increase in depreciation and amortization expenses, a $0.8 million increase in stock-based compensation, and a $0.6 million increase in deferred income tax provision and other non-cash items. Our ability to generate cash from operations in future periods will depend in large part on profitability, the rate of collection of accounts receivable, our inventory turns and our ability to manage other areas of working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During the three months ended September 30, 2011, we used cash of $1.7 million in investing activities compared to $15.9 million generated by investing activities during the same period in fiscal 2011. The $17.6 million decrease in cash generated from investing activities was primarily the result of exercising the put option to sell our auction rated securities balance to UBS at par. The transaction was settled on July 1, 2010 when we received $18.0 million in cash.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there was a $0.1 million increase in purchases of property and equipment, offset by a $0.5 million decrease in payments for intangible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three months ended September 30, 2011, we generated $0.4 million in cash from financing activities compared to $0.8 million generated from financing activities during the same period in fiscal 2011. The $0.4 million decrease in cash generated from financing activities was primarily due to a $0.2 million decrease in proceeds from employee stock plans and a $0.1 million decrease in excess tax benefit from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20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3"/>
              </w:rPr>
              <w:t>Less Than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2-3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110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jc w:val="right"/>
              <w:ind w:right="38"/>
              <w:spacing w:after="0" w:line="148" w:lineRule="exact"/>
              <w:rPr>
                <w:sz w:val="20"/>
                <w:szCs w:val="20"/>
                <w:color w:val="auto"/>
              </w:rPr>
            </w:pPr>
            <w:r>
              <w:rPr>
                <w:rFonts w:ascii="Arial" w:cs="Arial" w:eastAsia="Arial" w:hAnsi="Arial"/>
                <w:sz w:val="14"/>
                <w:szCs w:val="14"/>
                <w:b w:val="1"/>
                <w:bCs w:val="1"/>
                <w:color w:val="auto"/>
              </w:rPr>
              <w:t>1 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4"/>
                <w:szCs w:val="14"/>
                <w:color w:val="auto"/>
              </w:rPr>
            </w:pPr>
          </w:p>
        </w:tc>
        <w:tc>
          <w:tcPr>
            <w:tcW w:w="420" w:type="dxa"/>
            <w:vAlign w:val="bottom"/>
          </w:tcPr>
          <w:p>
            <w:pPr>
              <w:jc w:val="right"/>
              <w:ind w:right="18"/>
              <w:spacing w:after="0" w:line="148" w:lineRule="exact"/>
              <w:rPr>
                <w:sz w:val="20"/>
                <w:szCs w:val="20"/>
                <w:color w:val="auto"/>
              </w:rPr>
            </w:pPr>
            <w:r>
              <w:rPr>
                <w:rFonts w:ascii="Arial" w:cs="Arial" w:eastAsia="Arial" w:hAnsi="Arial"/>
                <w:sz w:val="14"/>
                <w:szCs w:val="14"/>
                <w:b w:val="1"/>
                <w:bCs w:val="1"/>
                <w:color w:val="auto"/>
                <w:w w:val="7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2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$16,695</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$ 16,695</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440" w:type="dxa"/>
            <w:vAlign w:val="bottom"/>
            <w:gridSpan w:val="3"/>
          </w:tcPr>
          <w:p>
            <w:pPr>
              <w:jc w:val="right"/>
              <w:ind w:right="520"/>
              <w:spacing w:after="0"/>
              <w:rPr>
                <w:sz w:val="20"/>
                <w:szCs w:val="20"/>
                <w:color w:val="auto"/>
              </w:rPr>
            </w:pPr>
            <w:r>
              <w:rPr>
                <w:rFonts w:ascii="Arial" w:cs="Arial" w:eastAsia="Arial" w:hAnsi="Arial"/>
                <w:sz w:val="18"/>
                <w:szCs w:val="18"/>
                <w:color w:val="auto"/>
              </w:rPr>
              <w:t>13,600</w:t>
            </w:r>
          </w:p>
        </w:tc>
        <w:tc>
          <w:tcPr>
            <w:tcW w:w="600" w:type="dxa"/>
            <w:vAlign w:val="bottom"/>
          </w:tcPr>
          <w:p>
            <w:pPr>
              <w:jc w:val="right"/>
              <w:spacing w:after="0"/>
              <w:rPr>
                <w:sz w:val="20"/>
                <w:szCs w:val="20"/>
                <w:color w:val="auto"/>
              </w:rPr>
            </w:pPr>
            <w:r>
              <w:rPr>
                <w:rFonts w:ascii="Arial" w:cs="Arial" w:eastAsia="Arial" w:hAnsi="Arial"/>
                <w:sz w:val="18"/>
                <w:szCs w:val="18"/>
                <w:color w:val="auto"/>
              </w:rPr>
              <w:t>3,068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4,977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3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3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156</w:t>
            </w: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4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32,050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$ 21,502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4,993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4,379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 liability at September 30, 2011 of $1.8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for less than one year and aggregated approximately $16.7 million at September 30, 2011.</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Under the terms of this supply agreement, we were required to and paid an advance of approximately $1.9 million of the $6.5 million. Further, upon expiration of the agreement on August 31, 2012, if we do not purchase the full $6.5 million in inventory, we may be required to pay a penalty equal to 35% of the remaining inventory balance. As of September 30, 2011, the remaining minimum commitment related to this agreement was $1.6 million, which is the 35% “penalty” on the remaining inventory balance. While we expect to continue to purchase this inventory through the expiration of the agreement, we do not expect to purchase the full $6.5 million noted above. As of September 30, 2011, we have recorded an accrued liability of approximately $0.6 million for the 35% penalty we anticipate paying for unpurchased inventory.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provided indemnification to the buyers of our former businesses. Our indemnification obligations generally cover the buyers for damages resulting from breaches of representations, warranties and covenants 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Other than the indemnification relating to the divestitures of our former businesses which have finite terms, our lease commitments incurred in the normal course of business and certain other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September 2011, the FASB issued ASU 2011-08, </w:t>
      </w:r>
      <w:r>
        <w:rPr>
          <w:rFonts w:ascii="Arial" w:cs="Arial" w:eastAsia="Arial" w:hAnsi="Arial"/>
          <w:sz w:val="18"/>
          <w:szCs w:val="18"/>
          <w:i w:val="1"/>
          <w:iCs w:val="1"/>
          <w:color w:val="auto"/>
        </w:rPr>
        <w:t>Intangibles—Goodwill and Other (Topic 350): Testing Goodwill for Impairment</w:t>
      </w:r>
      <w:r>
        <w:rPr>
          <w:rFonts w:ascii="Arial" w:cs="Arial" w:eastAsia="Arial" w:hAnsi="Arial"/>
          <w:sz w:val="18"/>
          <w:szCs w:val="18"/>
          <w:color w:val="auto"/>
        </w:rPr>
        <w:t>, an amendment of the FASB Accounting Standards Codification. The ASU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does not need to perform the two-step impairment test. The ASU is effective for annual and interim goodwill impairment tests performed for fiscal years beginning after December 15, 2011. This guidance is not expected to have a material impact to our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2011 to September 30, 2011.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management has concluded that our disclosure controls and procedures are effective.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September 30, 2011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are subject to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2011. There have been no material changes from the factors disclosed in our 2011 Annual Report on Form 10-K filed on August 18, 2011, although we may disclose changes to such factors or disclose additional factors from time to time in our future filings with the Securities and Exchange Commission.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14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419"/>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20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20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200"/>
              <w:spacing w:after="0"/>
              <w:rPr>
                <w:sz w:val="20"/>
                <w:szCs w:val="20"/>
                <w:color w:val="auto"/>
              </w:rPr>
            </w:pPr>
            <w:r>
              <w:rPr>
                <w:rFonts w:ascii="Arial" w:cs="Arial" w:eastAsia="Arial" w:hAnsi="Arial"/>
                <w:sz w:val="18"/>
                <w:szCs w:val="18"/>
                <w:color w:val="auto"/>
                <w:w w:val="89"/>
              </w:rPr>
              <w:t>Certification of the Company’s Chief Executive Officer and Chief Financial Officer pursuant to Section 906 of the Sarbanes-Oxley Act of 2002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300" w:type="dxa"/>
            <w:vAlign w:val="bottom"/>
          </w:tcPr>
          <w:p>
            <w:pPr>
              <w:ind w:left="200"/>
              <w:spacing w:after="0"/>
              <w:rPr>
                <w:sz w:val="20"/>
                <w:szCs w:val="20"/>
                <w:color w:val="auto"/>
              </w:rPr>
            </w:pPr>
            <w:r>
              <w:rPr>
                <w:rFonts w:ascii="Arial" w:cs="Arial" w:eastAsia="Arial" w:hAnsi="Arial"/>
                <w:sz w:val="18"/>
                <w:szCs w:val="18"/>
                <w:color w:val="auto"/>
                <w:w w:val="89"/>
              </w:rPr>
              <w:t>The following materials from the Company’s Quarterly Report on the Form 10-Q for the quarter ended September 30, 2011 formatted in XBRL</w:t>
            </w:r>
          </w:p>
        </w:tc>
      </w:tr>
      <w:tr>
        <w:trPr>
          <w:trHeight w:val="216"/>
        </w:trPr>
        <w:tc>
          <w:tcPr>
            <w:tcW w:w="840" w:type="dxa"/>
            <w:vAlign w:val="bottom"/>
          </w:tcPr>
          <w:p>
            <w:pPr>
              <w:spacing w:after="0"/>
              <w:rPr>
                <w:sz w:val="18"/>
                <w:szCs w:val="18"/>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w w:val="93"/>
              </w:rPr>
              <w:t>(eXtensible Business Reporting Language): (i) the Consolidated Balance Sheets; (ii) the Consolidated Statements of Operations; (iii) the</w:t>
            </w:r>
          </w:p>
        </w:tc>
      </w:tr>
      <w:tr>
        <w:trPr>
          <w:trHeight w:val="222"/>
        </w:trPr>
        <w:tc>
          <w:tcPr>
            <w:tcW w:w="840" w:type="dxa"/>
            <w:vAlign w:val="bottom"/>
          </w:tcPr>
          <w:p>
            <w:pPr>
              <w:spacing w:after="0"/>
              <w:rPr>
                <w:sz w:val="19"/>
                <w:szCs w:val="19"/>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Consolidated Statements of Cash Flows; and (iv)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liability of that section, nor shall it be incorporated by reference into any filing under the Securities Act of 1933 or the Securities Exchange Act of 1934.</w:t>
      </w:r>
    </w:p>
    <w:p>
      <w:pPr>
        <w:spacing w:after="0" w:line="32" w:lineRule="exact"/>
        <w:rPr>
          <w:sz w:val="20"/>
          <w:szCs w:val="20"/>
          <w:color w:val="auto"/>
        </w:rPr>
      </w:pPr>
    </w:p>
    <w:p>
      <w:pPr>
        <w:ind w:left="460" w:right="2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November 4,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4"/>
          <w:szCs w:val="14"/>
          <w:b w:val="1"/>
          <w:bCs w:val="1"/>
          <w:color w:val="auto"/>
        </w:rPr>
        <w:t>Robert E. Hult</w:t>
      </w:r>
    </w:p>
    <w:p>
      <w:pPr>
        <w:jc w:val="center"/>
        <w:ind w:left="728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00"/>
          </w:cols>
          <w:pgMar w:left="240" w:top="459" w:right="11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1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ind w:left="11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September 30, 2011 as filed with the Securities and Exchange Commission (the “Report”), we, Mark Aslett, President and Chief Executive Officer of the Company, and Robert E. Hult,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7"/>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2019-12-10T17:15:46Z</dcterms:created>
  <dcterms:modified xsi:type="dcterms:W3CDTF">2019-12-10T17:15:46Z</dcterms:modified>
</cp:coreProperties>
</file>