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52" w:type="dxa"/>
        <w:jc w:val="center"/>
        <w:tblInd w:w="0" w:type="dxa"/>
        <w:tblLayout w:type="fixed"/>
        <w:tblCellMar>
          <w:top w:w="28" w:type="dxa"/>
          <w:left w:w="28" w:type="dxa"/>
          <w:bottom w:w="28" w:type="dxa"/>
          <w:right w:w="28" w:type="dxa"/>
        </w:tblCellMar>
      </w:tblPr>
      <w:tblGrid>
        <w:gridCol w:w="124"/>
        <w:gridCol w:w="109"/>
        <w:gridCol w:w="109"/>
        <w:gridCol w:w="2780"/>
        <w:gridCol w:w="2780"/>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FOR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THE FISCAL YEAR ENDED July 3,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 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001-41194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MERCURY SYSTEMS,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left"/>
        <w:tblInd w:w="0" w:type="dxa"/>
        <w:tblLayout w:type="fixed"/>
        <w:tblCellMar>
          <w:top w:w="28" w:type="dxa"/>
          <w:left w:w="28" w:type="dxa"/>
          <w:bottom w:w="28" w:type="dxa"/>
          <w:right w:w="28" w:type="dxa"/>
        </w:tblCellMar>
      </w:tblPr>
      <w:tblGrid>
        <w:gridCol w:w="693"/>
        <w:gridCol w:w="608"/>
        <w:gridCol w:w="608"/>
        <w:gridCol w:w="608"/>
        <w:gridCol w:w="608"/>
        <w:gridCol w:w="624"/>
        <w:gridCol w:w="657"/>
        <w:gridCol w:w="657"/>
        <w:gridCol w:w="935"/>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Massachusetts</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04-2741391</w:t>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50 Minuteman Road</w:t>
            </w:r>
          </w:p>
        </w:tc>
        <w:tc>
          <w:tcPr>
            <w:tcW w:w="22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01810</w:t>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Andover</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w:t>
            </w:r>
          </w:p>
        </w:tc>
        <w:tc>
          <w:tcPr>
            <w:tcW w:w="22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978-256-1300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EXCHANGE ACT OF 1934:</w:t>
      </w:r>
    </w:p>
    <w:tbl>
      <w:tblPr>
        <w:tblW w:w="7859" w:type="dxa"/>
        <w:jc w:val="center"/>
        <w:tblInd w:w="0" w:type="dxa"/>
        <w:tblLayout w:type="fixed"/>
        <w:tblCellMar>
          <w:top w:w="28" w:type="dxa"/>
          <w:left w:w="28" w:type="dxa"/>
          <w:bottom w:w="28" w:type="dxa"/>
          <w:right w:w="28" w:type="dxa"/>
        </w:tblCellMar>
      </w:tblPr>
      <w:tblGrid>
        <w:gridCol w:w="1126"/>
        <w:gridCol w:w="994"/>
        <w:gridCol w:w="1000"/>
        <w:gridCol w:w="424"/>
        <w:gridCol w:w="424"/>
        <w:gridCol w:w="42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MRCY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EXCHANGE ACT OF 1934: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ind w:left="0" w:right="0" w:firstLine="360"/>
        <w:jc w:val="left"/>
        <w:rPr/>
      </w:pPr>
      <w:r>
        <w:rPr>
          <w:rFonts w:ascii="Times New Roman;serif" w:hAnsi="Times New Roman;serif"/>
          <w:b w:val="false"/>
          <w:color w:val="000000"/>
          <w:sz w:val="16"/>
        </w:rPr>
        <w:t>Large accelerated filer  </w:t>
      </w:r>
      <w:r>
        <w:rPr>
          <w:color w:val="000000"/>
        </w:rPr>
        <w:t>☒  </w:t>
      </w:r>
      <w:r>
        <w:rPr>
          <w:rFonts w:ascii="Times New Roman;serif" w:hAnsi="Times New Roman;serif"/>
          <w:b w:val="false"/>
          <w:color w:val="000000"/>
          <w:sz w:val="16"/>
        </w:rPr>
        <w:t>Accelerated filer  </w:t>
      </w:r>
      <w:r>
        <w:rPr>
          <w:color w:val="000000"/>
        </w:rPr>
        <w:t>☐  </w:t>
      </w:r>
      <w:r>
        <w:rPr>
          <w:rFonts w:ascii="Times New Roman;serif" w:hAnsi="Times New Roman;serif"/>
          <w:b w:val="false"/>
          <w:color w:val="000000"/>
          <w:sz w:val="16"/>
        </w:rPr>
        <w:t>Non-accelerated filer  </w:t>
      </w:r>
      <w:r>
        <w:rPr>
          <w:color w:val="000000"/>
        </w:rPr>
        <w:t>☐  </w:t>
      </w:r>
      <w:r>
        <w:rPr>
          <w:rFonts w:ascii="Times New Roman;serif" w:hAnsi="Times New Roman;serif"/>
          <w:b w:val="false"/>
          <w:color w:val="000000"/>
          <w:sz w:val="16"/>
        </w:rPr>
        <w:t>Smaller reporting company  </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6"/>
        </w:rPr>
        <w:t>Emerging growth company  </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 under Section 404(b) of the Sarbanes-Oxley Act (15 U.S.C.762(b)) by the registered public accounting firm that prepared or issued its audit report. Yes</w:t>
      </w:r>
      <w:r>
        <w:rPr>
          <w:color w:val="000000"/>
        </w:rPr>
        <w:t xml:space="preserve"> ☒ </w:t>
      </w:r>
      <w:r>
        <w:rPr>
          <w:rFonts w:ascii="Times New Roman;serif" w:hAnsi="Times New Roman;serif"/>
          <w:b w:val="false"/>
          <w:color w:val="000000"/>
          <w:sz w:val="16"/>
        </w:rPr>
        <w:t xml:space="preserve">No </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any of those error corrections are restatements that require a recovery analysis of incentive-based compensation received by any of the registrant's executive officers during the relevant recovery period pursuant to Section 240. 10D-1(b).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by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Common Stock held by non-affiliates of the registrant was approximately $4.5 billion based upon the closing price of the Common Stock as reported on the Nasdaq Global Select Market on December 26, 2025, the last business day of the registrant’s most recently completed second fiscal quarter.</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Shares of Common Stock outstanding as of July 31, 2026: 60,136,133 shares.</w:t>
      </w:r>
    </w:p>
    <w:p>
      <w:pPr>
        <w:pStyle w:val="TextBody"/>
        <w:bidi w:val="0"/>
        <w:spacing w:lineRule="auto" w:line="288" w:before="0" w:after="0"/>
        <w:ind w:left="0" w:right="0" w:firstLine="36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for its 2026 Annual Meeting of Shareholders are incorporated by reference into Part III of this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Exhibit Index on Page 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7"/>
        <w:gridCol w:w="261"/>
        <w:gridCol w:w="263"/>
        <w:gridCol w:w="2841"/>
        <w:gridCol w:w="2817"/>
        <w:gridCol w:w="2852"/>
        <w:gridCol w:w="255"/>
        <w:gridCol w:w="255"/>
        <w:gridCol w:w="36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0">
              <w:r>
                <w:rPr>
                  <w:rStyle w:val="InternetLink"/>
                  <w:rFonts w:ascii="Times New Roman;serif" w:hAnsi="Times New Roman;serif"/>
                  <w:b/>
                  <w:color w:val="0000FF"/>
                  <w:sz w:val="20"/>
                  <w:u w:val="single"/>
                </w:rPr>
                <w:t>PART I</w:t>
              </w:r>
            </w:hyperlink>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1e01e126a3eb42f1a350c3cee11901dd_10">
              <w:r>
                <w:rPr>
                  <w:rStyle w:val="InternetLink"/>
                  <w:rFonts w:ascii="Times New Roman;serif" w:hAnsi="Times New Roman;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3">
              <w:r>
                <w:rPr>
                  <w:rStyle w:val="InternetLink"/>
                  <w:rFonts w:ascii="Times New Roman;serif" w:hAnsi="Times New Roman;serif"/>
                  <w:b w:val="false"/>
                  <w:color w:val="0000FF"/>
                  <w:sz w:val="20"/>
                  <w:u w:val="single"/>
                </w:rPr>
                <w:t>Business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3">
              <w:r>
                <w:rPr>
                  <w:rStyle w:val="InternetLink"/>
                  <w:rFonts w:ascii="Times New Roman;serif" w:hAnsi="Times New Roman;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6">
              <w:r>
                <w:rPr>
                  <w:rStyle w:val="InternetLink"/>
                  <w:rFonts w:ascii="Times New Roman;serif" w:hAnsi="Times New Roman;serif"/>
                  <w:b w:val="false"/>
                  <w:color w:val="0000FF"/>
                  <w:sz w:val="20"/>
                  <w:u w:val="single"/>
                </w:rPr>
                <w:t>Risk Factors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6">
              <w:r>
                <w:rPr>
                  <w:rStyle w:val="InternetLink"/>
                  <w:rFonts w:ascii="Times New Roman;serif" w:hAnsi="Times New Roman;serif"/>
                  <w:b w:val="false"/>
                  <w:color w:val="0000FF"/>
                  <w:sz w:val="20"/>
                  <w:u w:val="single"/>
                </w:rPr>
                <w:t>13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9">
              <w:r>
                <w:rPr>
                  <w:rStyle w:val="InternetLink"/>
                  <w:rFonts w:ascii="Times New Roman;serif" w:hAnsi="Times New Roman;serif"/>
                  <w:b w:val="false"/>
                  <w:color w:val="0000FF"/>
                  <w:sz w:val="20"/>
                  <w:u w:val="single"/>
                </w:rPr>
                <w:t>Unresolved Staff Comments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9">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22">
              <w:r>
                <w:rPr>
                  <w:rStyle w:val="InternetLink"/>
                  <w:rFonts w:ascii="Times New Roman;serif" w:hAnsi="Times New Roman;serif"/>
                  <w:b w:val="false"/>
                  <w:color w:val="0000FF"/>
                  <w:sz w:val="20"/>
                  <w:u w:val="single"/>
                </w:rPr>
                <w:t>Cybersecurity</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22">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25">
              <w:r>
                <w:rPr>
                  <w:rStyle w:val="InternetLink"/>
                  <w:rFonts w:ascii="Times New Roman;serif" w:hAnsi="Times New Roman;serif"/>
                  <w:b w:val="false"/>
                  <w:color w:val="0000FF"/>
                  <w:sz w:val="20"/>
                  <w:u w:val="single"/>
                </w:rPr>
                <w:t>Properties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25">
              <w:r>
                <w:rPr>
                  <w:rStyle w:val="InternetLink"/>
                  <w:rFonts w:ascii="Times New Roman;serif" w:hAnsi="Times New Roman;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28">
              <w:r>
                <w:rPr>
                  <w:rStyle w:val="InternetLink"/>
                  <w:rFonts w:ascii="Times New Roman;serif" w:hAnsi="Times New Roman;serif"/>
                  <w:b w:val="false"/>
                  <w:color w:val="0000FF"/>
                  <w:sz w:val="20"/>
                  <w:u w:val="single"/>
                </w:rPr>
                <w:t>Legal Proceedings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28">
              <w:r>
                <w:rPr>
                  <w:rStyle w:val="InternetLink"/>
                  <w:rFonts w:ascii="Times New Roman;serif" w:hAnsi="Times New Roman;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31">
              <w:r>
                <w:rPr>
                  <w:rStyle w:val="InternetLink"/>
                  <w:rFonts w:ascii="Times New Roman;serif" w:hAnsi="Times New Roman;serif"/>
                  <w:b w:val="false"/>
                  <w:color w:val="0000FF"/>
                  <w:sz w:val="20"/>
                  <w:u w:val="single"/>
                </w:rPr>
                <w:t>Mine Safety Disclosures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31">
              <w:r>
                <w:rPr>
                  <w:rStyle w:val="InternetLink"/>
                  <w:rFonts w:ascii="Times New Roman;serif" w:hAnsi="Times New Roman;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4.1.</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34">
              <w:r>
                <w:rPr>
                  <w:rStyle w:val="InternetLink"/>
                  <w:rFonts w:ascii="Times New Roman;serif" w:hAnsi="Times New Roman;serif"/>
                  <w:b w:val="false"/>
                  <w:color w:val="0000FF"/>
                  <w:sz w:val="20"/>
                  <w:u w:val="single"/>
                </w:rPr>
                <w:t>Information About Our Executive Officers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34">
              <w:r>
                <w:rPr>
                  <w:rStyle w:val="InternetLink"/>
                  <w:rFonts w:ascii="Times New Roman;serif" w:hAnsi="Times New Roman;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37">
              <w:r>
                <w:rPr>
                  <w:rStyle w:val="InternetLink"/>
                  <w:rFonts w:ascii="Times New Roman;serif" w:hAnsi="Times New Roman;serif"/>
                  <w:b/>
                  <w:color w:val="0000FF"/>
                  <w:sz w:val="20"/>
                  <w:u w:val="single"/>
                </w:rPr>
                <w:t>PART II</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37">
              <w:r>
                <w:rPr>
                  <w:rStyle w:val="InternetLink"/>
                  <w:rFonts w:ascii="Times New Roman;serif" w:hAnsi="Times New Roman;serif"/>
                  <w:b w:val="false"/>
                  <w:color w:val="0000FF"/>
                  <w:sz w:val="20"/>
                  <w:u w:val="single"/>
                </w:rPr>
                <w:t>29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40">
              <w:r>
                <w:rPr>
                  <w:rStyle w:val="InternetLink"/>
                  <w:rFonts w:ascii="Times New Roman;serif" w:hAnsi="Times New Roman;serif"/>
                  <w:b w:val="false"/>
                  <w:color w:val="0000FF"/>
                  <w:sz w:val="20"/>
                  <w:u w:val="single"/>
                </w:rPr>
                <w:t>29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43">
              <w:r>
                <w:rPr>
                  <w:rStyle w:val="InternetLink"/>
                  <w:rFonts w:ascii="Times New Roman;serif" w:hAnsi="Times New Roman;serif"/>
                  <w:b w:val="false"/>
                  <w:color w:val="0000FF"/>
                  <w:sz w:val="20"/>
                  <w:u w:val="single"/>
                </w:rPr>
                <w:t>[Reserved]</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43">
              <w:r>
                <w:rPr>
                  <w:rStyle w:val="InternetLink"/>
                  <w:rFonts w:ascii="Times New Roman;serif" w:hAnsi="Times New Roman;serif"/>
                  <w:b w:val="false"/>
                  <w:color w:val="0000FF"/>
                  <w:sz w:val="20"/>
                  <w:u w:val="single"/>
                </w:rPr>
                <w:t>30</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46">
              <w:r>
                <w:rPr>
                  <w:rStyle w:val="InternetLink"/>
                  <w:rFonts w:ascii="Times New Roman;serif" w:hAnsi="Times New Roman;serif"/>
                  <w:b w:val="false"/>
                  <w:color w:val="0000FF"/>
                  <w:sz w:val="20"/>
                  <w:u w:val="single"/>
                </w:rPr>
                <w:t>30</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52">
              <w:r>
                <w:rPr>
                  <w:rStyle w:val="InternetLink"/>
                  <w:rFonts w:ascii="Times New Roman;serif" w:hAnsi="Times New Roman;serif"/>
                  <w:b w:val="false"/>
                  <w:color w:val="0000FF"/>
                  <w:sz w:val="20"/>
                  <w:u w:val="single"/>
                </w:rPr>
                <w:t>Quantitative and Qualitative Disclosures about Market Risk</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52">
              <w:r>
                <w:rPr>
                  <w:rStyle w:val="InternetLink"/>
                  <w:rFonts w:ascii="Times New Roman;serif" w:hAnsi="Times New Roman;serif"/>
                  <w:b w:val="false"/>
                  <w:color w:val="0000FF"/>
                  <w:sz w:val="20"/>
                  <w:u w:val="single"/>
                </w:rPr>
                <w:t>43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55">
              <w:r>
                <w:rPr>
                  <w:rStyle w:val="InternetLink"/>
                  <w:rFonts w:ascii="Times New Roman;serif" w:hAnsi="Times New Roman;serif"/>
                  <w:b w:val="false"/>
                  <w:color w:val="0000FF"/>
                  <w:sz w:val="20"/>
                  <w:u w:val="single"/>
                </w:rPr>
                <w:t>Financial Statements and Supplementary Data</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55">
              <w:r>
                <w:rPr>
                  <w:rStyle w:val="InternetLink"/>
                  <w:rFonts w:ascii="Times New Roman;serif" w:hAnsi="Times New Roman;serif"/>
                  <w:b w:val="false"/>
                  <w:color w:val="0000FF"/>
                  <w:sz w:val="20"/>
                  <w:u w:val="single"/>
                </w:rPr>
                <w:t>46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6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63">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66">
              <w:r>
                <w:rPr>
                  <w:rStyle w:val="InternetLink"/>
                  <w:rFonts w:ascii="Times New Roman;serif" w:hAnsi="Times New Roman;serif"/>
                  <w:b w:val="false"/>
                  <w:color w:val="0000FF"/>
                  <w:sz w:val="20"/>
                  <w:u w:val="single"/>
                </w:rPr>
                <w:t>Controls and Procedures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66">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69">
              <w:r>
                <w:rPr>
                  <w:rStyle w:val="InternetLink"/>
                  <w:rFonts w:ascii="Times New Roman;serif" w:hAnsi="Times New Roman;serif"/>
                  <w:b w:val="false"/>
                  <w:color w:val="0000FF"/>
                  <w:sz w:val="20"/>
                  <w:u w:val="single"/>
                </w:rPr>
                <w:t>Other Information</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69">
              <w:r>
                <w:rPr>
                  <w:rStyle w:val="InternetLink"/>
                  <w:rFonts w:ascii="Times New Roman;serif" w:hAnsi="Times New Roman;serif"/>
                  <w:b w:val="false"/>
                  <w:color w:val="0000FF"/>
                  <w:sz w:val="20"/>
                  <w:u w:val="single"/>
                </w:rPr>
                <w:t>79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72">
              <w:r>
                <w:rPr>
                  <w:rStyle w:val="InternetLink"/>
                  <w:rFonts w:ascii="Times New Roman;serif" w:hAnsi="Times New Roman;serif"/>
                  <w:b w:val="false"/>
                  <w:color w:val="0000FF"/>
                  <w:sz w:val="20"/>
                  <w:u w:val="single"/>
                </w:rPr>
                <w:t>Disclosure Regarding Foreign Jurisdictions that Prevent Inspections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72">
              <w:r>
                <w:rPr>
                  <w:rStyle w:val="InternetLink"/>
                  <w:rFonts w:ascii="Times New Roman;serif" w:hAnsi="Times New Roman;serif"/>
                  <w:b w:val="false"/>
                  <w:color w:val="0000FF"/>
                  <w:sz w:val="20"/>
                  <w:u w:val="single"/>
                </w:rPr>
                <w:t>80</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75">
              <w:r>
                <w:rPr>
                  <w:rStyle w:val="InternetLink"/>
                  <w:rFonts w:ascii="Times New Roman;serif" w:hAnsi="Times New Roman;serif"/>
                  <w:b/>
                  <w:color w:val="0000FF"/>
                  <w:sz w:val="20"/>
                  <w:u w:val="single"/>
                </w:rPr>
                <w:t>PART III</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75">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78">
              <w:r>
                <w:rPr>
                  <w:rStyle w:val="InternetLink"/>
                  <w:rFonts w:ascii="Times New Roman;serif" w:hAnsi="Times New Roman;serif"/>
                  <w:b w:val="false"/>
                  <w:color w:val="0000FF"/>
                  <w:sz w:val="20"/>
                  <w:u w:val="single"/>
                </w:rPr>
                <w:t>Directors, Executive Officers and Corporate Governance</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78">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81">
              <w:r>
                <w:rPr>
                  <w:rStyle w:val="InternetLink"/>
                  <w:rFonts w:ascii="Times New Roman;serif" w:hAnsi="Times New Roman;serif"/>
                  <w:b w:val="false"/>
                  <w:color w:val="0000FF"/>
                  <w:sz w:val="20"/>
                  <w:u w:val="single"/>
                </w:rPr>
                <w:t>Executive Compensation</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81">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8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84">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87">
              <w:r>
                <w:rPr>
                  <w:rStyle w:val="InternetLink"/>
                  <w:rFonts w:ascii="Times New Roman;serif" w:hAnsi="Times New Roman;serif"/>
                  <w:b w:val="false"/>
                  <w:color w:val="0000FF"/>
                  <w:sz w:val="20"/>
                  <w:u w:val="single"/>
                </w:rPr>
                <w:t>Certain Relationships and Related Transactions, and Director Independence</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87">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90">
              <w:r>
                <w:rPr>
                  <w:rStyle w:val="InternetLink"/>
                  <w:rFonts w:ascii="Times New Roman;serif" w:hAnsi="Times New Roman;serif"/>
                  <w:b w:val="false"/>
                  <w:color w:val="0000FF"/>
                  <w:sz w:val="20"/>
                  <w:u w:val="single"/>
                </w:rPr>
                <w:t>Principal Accounting Fees and Services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90">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93">
              <w:r>
                <w:rPr>
                  <w:rStyle w:val="InternetLink"/>
                  <w:rFonts w:ascii="Times New Roman;serif" w:hAnsi="Times New Roman;serif"/>
                  <w:b/>
                  <w:color w:val="0000FF"/>
                  <w:sz w:val="20"/>
                  <w:u w:val="single"/>
                </w:rPr>
                <w:t>PART IV</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93">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96">
              <w:r>
                <w:rPr>
                  <w:rStyle w:val="InternetLink"/>
                  <w:rFonts w:ascii="Times New Roman;serif" w:hAnsi="Times New Roman;serif"/>
                  <w:b w:val="false"/>
                  <w:color w:val="0000FF"/>
                  <w:sz w:val="20"/>
                  <w:u w:val="single"/>
                </w:rPr>
                <w:t>Exhibits and Financial Statement Schedules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96">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199">
              <w:r>
                <w:rPr>
                  <w:rStyle w:val="InternetLink"/>
                  <w:rFonts w:ascii="Times New Roman;serif" w:hAnsi="Times New Roman;serif"/>
                  <w:b w:val="false"/>
                  <w:color w:val="0000FF"/>
                  <w:sz w:val="20"/>
                  <w:u w:val="single"/>
                </w:rPr>
                <w:t>Form 10-K Summary</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199">
              <w:r>
                <w:rPr>
                  <w:rStyle w:val="InternetLink"/>
                  <w:rFonts w:ascii="Times New Roman;serif" w:hAnsi="Times New Roman;serif"/>
                  <w:b w:val="false"/>
                  <w:color w:val="0000FF"/>
                  <w:sz w:val="20"/>
                  <w:u w:val="single"/>
                </w:rPr>
                <w:t>81</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202">
              <w:r>
                <w:rPr>
                  <w:rStyle w:val="InternetLink"/>
                  <w:rFonts w:ascii="Times New Roman;serif" w:hAnsi="Times New Roman;serif"/>
                  <w:b w:val="false"/>
                  <w:color w:val="0000FF"/>
                  <w:sz w:val="20"/>
                  <w:u w:val="single"/>
                </w:rPr>
                <w:t>Signatures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202">
              <w:r>
                <w:rPr>
                  <w:rStyle w:val="InternetLink"/>
                  <w:rFonts w:ascii="Times New Roman;serif" w:hAnsi="Times New Roman;serif"/>
                  <w:b w:val="false"/>
                  <w:color w:val="0000FF"/>
                  <w:sz w:val="20"/>
                  <w:u w:val="single"/>
                </w:rPr>
                <w:t>83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1e126a3eb42f1a350c3cee11901dd_205">
              <w:r>
                <w:rPr>
                  <w:rStyle w:val="InternetLink"/>
                  <w:rFonts w:ascii="Times New Roman;serif" w:hAnsi="Times New Roman;serif"/>
                  <w:b w:val="false"/>
                  <w:color w:val="0000FF"/>
                  <w:sz w:val="20"/>
                  <w:u w:val="single"/>
                </w:rPr>
                <w:t>Exhibit Index</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1e126a3eb42f1a350c3cee11901dd_205">
              <w:r>
                <w:rPr>
                  <w:rStyle w:val="InternetLink"/>
                  <w:rFonts w:ascii="Times New Roman;serif" w:hAnsi="Times New Roman;serif"/>
                  <w:b w:val="false"/>
                  <w:color w:val="0000FF"/>
                  <w:sz w:val="20"/>
                  <w:u w:val="single"/>
                </w:rPr>
                <w:t>84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ind w:left="0" w:right="0" w:firstLine="490"/>
        <w:jc w:val="both"/>
        <w:rPr>
          <w:rFonts w:ascii="Times New Roman;serif" w:hAnsi="Times New Roman;serif"/>
          <w:b/>
          <w:color w:val="000000"/>
          <w:sz w:val="20"/>
        </w:rPr>
      </w:pPr>
      <w:r>
        <w:rPr>
          <w:rFonts w:ascii="Times New Roman;serif" w:hAnsi="Times New Roman;serif"/>
          <w:b/>
          <w:color w:val="000000"/>
          <w:sz w:val="20"/>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The reader may find discussions containing such forward-looking statements in the material set forth under “Management's Discussion and Analysis of Financial Conditions and Results of Operations” as well as elsewhere in this Annual Report on Form 10-K. Certain factors that might cause such a difference are discussed in this annual report on Form 10-K, including in the section entitled “Risk Factors.”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When used in this report, the terms “Mercury,” “we,” “our,” “us,” and “the Company” refer to Mercury Systems, Inc. and its consolidated subsidiaries, except where the context otherwise requires or as otherwise indicated.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fiscal 2026 are to the 53-week period from June 28, 2025 to July 3, 2026. All references to fiscal 2025 are to the 52-week period from June 29, 2024 to June 27, 2025. All references to fiscal 2024 are to the 52-week period from July 1, 2023 to June 28,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1.BUSINESS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Mercury Systems is a global leader in aerospace and defense electronics, providing breakthrough capabilities in signal and data processing. With a four-decade legacy of innovation that spans silicon to systems and radio frequency (“RF”) front ends to effectors, we accelerate commercial technology adoption to deliver powerful and secure mission-critical processing solutions to the edge. We are headquartered in Andover, Massachusetts, and have multiple locations worldwide. Our end-to-end processing ecosystem, the Mercury Processing Platform, is built on technologies we have developed and acquired over 40 years. Our technologies are available as standard products or custom solutions from silicon to system scale to ensure interoperability, reduced complexity, optimized performance and speed development.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a leading manufacturer of essential components, modules and subsystems, we sell to the top U.S. and European defense prime contractors, the U.S. government and original equipment manufacturers (“OEM”) commercial aerospace companies. Our customers deploy our solutions for a variety of applications including sensor and radar processing, electronic warfare, avionics, weapons, and command, control, communications, computers, and intelligence (“C4I”). We deliver a trusted, robust portfolio of proven capabilities, built on the most advanced commercial silicon technologies to exceed the performance needs of our defense and commercial customers.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capabilities, technology, people, culture, and research and development (“R&amp;D”) strategy all differentiate Mercury in the aerospace and defense industry. We maintain our technological edge by investing in the critical building blocks of processing, developing valuable Intellectual Property (“IP”) and embracing open standards and architectures. This lets us rapidly shape these building blocks into products and solutions for highly data-intensive missions, including emerging areas like artificial intelligence (“AI”) processing at the edge.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consolidated revenues, net loss, diluted loss per share, adjusted earnings per share and adjusted EBITDA for fiscal 2026 were $983.6 million, $(29.7) million, $(0.50), $1.06 and $150.2 million, respectively. Our consolidated revenues, net loss, diluted loss per share, adjusted earnings per share and adjusted EBITDA for fiscal 2025 were $912.0 million, $(37.9) million, $(0.65), $0.64 and $119.4 million, respectively. See the Non-GAAP Financial Measures section of this annual report for a reconciliation of our adjusted EPS and adjusted EBITDA to the most directly comparable GAAP measures.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Business Strategy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strategy is rooted in a unique market position: transforming advanced commercial technologies into trusted, secure and mission-critical solutions for the aerospace and defense industry. We have two models within our business: a product model and a solutions model, each with distinct approaches to innovation and go-to-market. In our product businesses, we invest in internal R&amp;D to develop new capabilities that can be leveraged by multiple customers and support a broad range of mission needs and applications. In our solutions business, we engage directly with customers to develop capabilities that meet precise mission requirements, retiring many risks in the development phase before entering a production phase that can last many years and include multiple technological evolutions. Our businesses are mutually reinforcing, operating within a single integrated unit that shares talent, capital and IP to accelerate innovation across our offerings.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structure is aligned and optimized to execute against these different business models. Our U.S.-based businesses are aligned into two product-oriented business units, which we refer to as Signal Technologies and Processing Technologies, and a third business unit named Integrated Processing Solutions which focuses on more comprehensive solutions. Our fourth business unit, which we refer to as Europe, the Middle East, and Africa (“EMEA”), is dedicated to bringing our advanced edge processing capabilities to the global market. Our Engineering, Operations, and Mission Assurance organizations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centralized to drive performance excellence. Our Advanced Concepts Group, combined with our integrated Growth organization and the office of the Chief Technology Officer are focused on innovation and ensuring that our Processing Platform continues to solve our customers’ most challenging processing requirements into the future.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begun applying AI and automation across our operations to improve efficiency, enhance quality and reduce cycle times. Internally, we have deployed pilot programs to automate repetitive tasks such as test procedures, improve requirements and document analysis, optimize production and material planning and assist teams in navigating complex product and contract information. These automation initiatives drive performance by reducing manual touch labor, lowering the risk of human error and accelerating internal workflows to enable our teams across our Company to focus on higher value work.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are focused on delivering industry-leading organic growth, adjusted EBITDA margins and cash flow through the execution of our strategy to innovate and advance our processing platform, expand our content across A&amp;D platforms and deliver uncompromising performance for all of our stakeholders. Our ability to continue to improve our performance and deliver results demands that we all align around the few actions that unlock the intrinsic value in our business. As such, our focus is on four areas that drive our capacity to create value and reinvest for growth:</w:t>
      </w:r>
    </w:p>
    <w:p>
      <w:pPr>
        <w:pStyle w:val="TextBody"/>
        <w:bidi w:val="0"/>
        <w:spacing w:lineRule="auto" w:line="288" w:before="100" w:after="283"/>
        <w:ind w:left="0" w:right="0" w:firstLine="490"/>
        <w:jc w:val="both"/>
        <w:rPr/>
      </w:pPr>
      <w:r>
        <w:rPr>
          <w:rFonts w:ascii="Times New Roman;serif" w:hAnsi="Times New Roman;serif"/>
          <w:b w:val="false"/>
          <w:color w:val="000000"/>
          <w:sz w:val="20"/>
        </w:rPr>
        <w:t>1.</w:t>
      </w:r>
      <w:r>
        <w:rPr>
          <w:rFonts w:ascii="Times New Roman;serif" w:hAnsi="Times New Roman;serif"/>
          <w:b w:val="false"/>
          <w:i/>
          <w:color w:val="000000"/>
          <w:sz w:val="20"/>
        </w:rPr>
        <w:t>Performance Excellence –</w:t>
      </w:r>
      <w:r>
        <w:rPr>
          <w:color w:val="000000"/>
        </w:rPr>
        <w:t xml:space="preserve"> </w:t>
      </w:r>
      <w:r>
        <w:rPr>
          <w:rFonts w:ascii="Times New Roman;serif" w:hAnsi="Times New Roman;serif"/>
          <w:b w:val="false"/>
          <w:color w:val="000000"/>
          <w:sz w:val="20"/>
        </w:rPr>
        <w:t>Ramp critical production programs aligned with our value creation model, deliver key development programs and product innovations and mature our management systems and processes.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2.</w:t>
      </w:r>
      <w:r>
        <w:rPr>
          <w:rFonts w:ascii="Times New Roman;serif" w:hAnsi="Times New Roman;serif"/>
          <w:b w:val="false"/>
          <w:i/>
          <w:color w:val="000000"/>
          <w:sz w:val="20"/>
        </w:rPr>
        <w:t>Thriving Growth Engine –</w:t>
      </w:r>
      <w:r>
        <w:rPr>
          <w:color w:val="000000"/>
        </w:rPr>
        <w:t xml:space="preserve"> </w:t>
      </w:r>
      <w:r>
        <w:rPr>
          <w:rFonts w:ascii="Times New Roman;serif" w:hAnsi="Times New Roman;serif"/>
          <w:b w:val="false"/>
          <w:color w:val="000000"/>
          <w:sz w:val="20"/>
        </w:rPr>
        <w:t>Create a growth engine that is consistently bidding and winning new contracts to drive industry leading organic growth at target margins.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3.</w:t>
      </w:r>
      <w:r>
        <w:rPr>
          <w:rFonts w:ascii="Times New Roman;serif" w:hAnsi="Times New Roman;serif"/>
          <w:b w:val="false"/>
          <w:i/>
          <w:color w:val="000000"/>
          <w:sz w:val="20"/>
        </w:rPr>
        <w:t xml:space="preserve">Margin Expansion – </w:t>
      </w:r>
      <w:r>
        <w:rPr>
          <w:rFonts w:ascii="Times New Roman;serif" w:hAnsi="Times New Roman;serif"/>
          <w:b w:val="false"/>
          <w:color w:val="000000"/>
          <w:sz w:val="20"/>
        </w:rPr>
        <w:t>Drive comprehensive cost management efforts company-wide including improvement in gross margins across all programs and products.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4.</w:t>
      </w:r>
      <w:r>
        <w:rPr>
          <w:rFonts w:ascii="Times New Roman;serif" w:hAnsi="Times New Roman;serif"/>
          <w:b w:val="false"/>
          <w:i/>
          <w:color w:val="000000"/>
          <w:sz w:val="20"/>
        </w:rPr>
        <w:t xml:space="preserve">Cash Release – </w:t>
      </w:r>
      <w:r>
        <w:rPr>
          <w:rFonts w:ascii="Times New Roman;serif" w:hAnsi="Times New Roman;serif"/>
          <w:b w:val="false"/>
          <w:color w:val="000000"/>
          <w:sz w:val="20"/>
        </w:rPr>
        <w:t>Enhance our cash flow conversion, including improvements in delivery and collection.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Solutions and Products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believe we have built the most trusted, proven and contemporary portfolio of solutions and subsystems that are purpose-built to meet or exceed our customers’ most pressing processing needs. The Mercury Processing Platform now has an end-to-end suite of mission-critical processing technologies, comprising:</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Signal:</w:t>
      </w:r>
      <w:r>
        <w:rPr>
          <w:color w:val="000000"/>
        </w:rPr>
        <w:t xml:space="preserve"> </w:t>
      </w:r>
      <w:r>
        <w:rPr>
          <w:rFonts w:ascii="Times New Roman;serif" w:hAnsi="Times New Roman;serif"/>
          <w:b w:val="false"/>
          <w:color w:val="000000"/>
          <w:sz w:val="20"/>
        </w:rPr>
        <w:t>Microwave and mixed-signal technology for analog and digital signal processing, including frequency conversion, signal conditioning/routing, digitization and low-latency FPGA processing.</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Compute:</w:t>
      </w:r>
      <w:r>
        <w:rPr>
          <w:color w:val="000000"/>
        </w:rPr>
        <w:t xml:space="preserve"> </w:t>
      </w:r>
      <w:r>
        <w:rPr>
          <w:rFonts w:ascii="Times New Roman;serif" w:hAnsi="Times New Roman;serif"/>
          <w:b w:val="false"/>
          <w:color w:val="000000"/>
          <w:sz w:val="20"/>
        </w:rPr>
        <w:t>State-of-the-art digital data processing to ensure decision advantage, ranging from general purpose to tailored coprocessors, with high-performance CPU and GPU architectures.</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Data Management:</w:t>
      </w:r>
      <w:r>
        <w:rPr>
          <w:color w:val="000000"/>
        </w:rPr>
        <w:t xml:space="preserve"> </w:t>
      </w:r>
      <w:r>
        <w:rPr>
          <w:rFonts w:ascii="Times New Roman;serif" w:hAnsi="Times New Roman;serif"/>
          <w:b w:val="false"/>
          <w:color w:val="000000"/>
          <w:sz w:val="20"/>
        </w:rPr>
        <w:t>Data and video recording, storage and encryption to mitigate cyber vulnerability; connectivity and communications control to securely and efficiently share mission data.</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Display:</w:t>
      </w:r>
      <w:r>
        <w:rPr>
          <w:color w:val="000000"/>
        </w:rPr>
        <w:t xml:space="preserve"> </w:t>
      </w:r>
      <w:r>
        <w:rPr>
          <w:rFonts w:ascii="Times New Roman;serif" w:hAnsi="Times New Roman;serif"/>
          <w:b w:val="false"/>
          <w:color w:val="000000"/>
          <w:sz w:val="20"/>
        </w:rPr>
        <w:t>Products and technologies that integrate the human and machine to speed decision-making for mission execution.</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Secure:</w:t>
      </w:r>
      <w:r>
        <w:rPr>
          <w:color w:val="000000"/>
        </w:rPr>
        <w:t xml:space="preserve"> </w:t>
      </w:r>
      <w:r>
        <w:rPr>
          <w:rFonts w:ascii="Times New Roman;serif" w:hAnsi="Times New Roman;serif"/>
          <w:b w:val="false"/>
          <w:color w:val="000000"/>
          <w:sz w:val="20"/>
        </w:rPr>
        <w:t>Security engineering, trusted processing technologies, and integrated anti-tamper and cybersecurity software to ensure system wide integrity and protect critical program information, IP and sensitive data–including securing boot, key management, attack countermeasures and memory management.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deliver technology at the intersection of the high-tech and defense industries, underpinned by key differentiators that set us apart in the market: Mission-Ready; Trusted and Secure; Software-Defined; and Open and Modular.</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 xml:space="preserve">Mission-Ready: </w:t>
      </w:r>
      <w:r>
        <w:rPr>
          <w:rFonts w:ascii="Times New Roman;serif" w:hAnsi="Times New Roman;serif"/>
          <w:b w:val="false"/>
          <w:color w:val="000000"/>
          <w:sz w:val="20"/>
        </w:rPr>
        <w:t>Fit for purpose to meet the demanding needs of our customers’ missions. Advanced thermal management and rugged packaging technology ensures optimal performance and reliable operation in the most challenging environments on Earth and beyond. We deliver extended reliability and dependability through thermal management, component selection, environmental protection and testing.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Trusted and Secure</w:t>
      </w:r>
      <w:r>
        <w:rPr>
          <w:rFonts w:ascii="Times New Roman;serif" w:hAnsi="Times New Roman;serif"/>
          <w:b w:val="false"/>
          <w:color w:val="000000"/>
          <w:sz w:val="20"/>
        </w:rPr>
        <w:t>: A trusted supply chain, with products designed and manufactured onshore. Advanced cryptography, secure boot and physical protection technologies like our BuiltSECURE technology can mitigate reverse engineering, deliver cyber resiliency and safeguard confidential data and IP against adversarial threats, even when a system has been compromised. We also design safety-certifiable BuiltSAFE processing systems up to the highest design assurance levels.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Software-Defined</w:t>
      </w:r>
      <w:r>
        <w:rPr>
          <w:rFonts w:ascii="Times New Roman;serif" w:hAnsi="Times New Roman;serif"/>
          <w:b w:val="false"/>
          <w:color w:val="000000"/>
          <w:sz w:val="20"/>
        </w:rPr>
        <w:t>: Software enabled hardware for future proofing, rapid scaling, ease of maintenance and affordability. Flexible hardware architectures that are reconfigurable and upgradeable with software to extend the life of our systems and the platforms they are deployed on. Our Model-Based Systems Engineering (“MBSE”) design approach aims to significantly decrease the time and cost involved in developing and deploying military and aerospace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Open and Modular</w:t>
      </w:r>
      <w:r>
        <w:rPr>
          <w:rFonts w:ascii="Times New Roman;serif" w:hAnsi="Times New Roman;serif"/>
          <w:b w:val="false"/>
          <w:color w:val="000000"/>
          <w:sz w:val="20"/>
        </w:rPr>
        <w:t>: “Plug and play”, upgradeable and scalable. A Modular, Open, Systems Architecture (“MOSA”) approach to system design maximizes technology reuse to dramatically reduce development time and cost. This open systems approach mitigates obsolescence risk while emphasizing commonality, interoperability and sustainability across platforms and domains.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Mercury Processing Platform is designed to meet the full range of requirements in compute-intensive, signal processing, image processing and command and control applications. To maintain a competitive advantage, we seek to leverage technology investments across multiple lines of business. Examples of hardware products include small, custom microelectronics, embedded sensor processing subsystems, RF and microwave components, modules and subsystems, rugged servers and avionics mission computers.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products are typically compute-intensive and require extremely high bandwidth and high throughput. These systems often must also meet significant Size, Weight and Power (“SWaP”) constraints for use in aircraft, Unmanned Aerial Vehicles (“UAVs”), ships and other platforms and be ruggedized for use in harsh environments. They are used in both commercial aerospace applications, such as communications and ground radar air traffic control, as well as advanced defense and intelligence applications, including space-time adaptive processing, synthetic aperture radar, airborne early warning, C4I,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processing technologies power AI engines across multiple platforms that help customers shorten decision timelines by enabling faster, more accurate interpretation of sensor data. Our processing and integrated technologies enable signal and data processing—ranging from cognitive electronic warfare to advanced radar and intelligence, surveillance, and reconnaissance (“ISR”) workloads, to help differentiate real signals from electronic deception, improve target identification and enhance mission effectiveness.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Across our processing platform, we are increasingly engineering sensor, compute, and data management technologies that are natively AI ready—capable of tagging, formatting, and moving data so that modern inference algorithms can generate usable insights faster. We integrate purpose-built AI inference engines, including GPUs, Field Programmable Gate Arrays (“FPGA”), and low power processors, that deliver the right performance within tight SWaP constraints, enabling AI applications to operate reliably at the edge where our customers need them most. As AI capabilities evolve rapidly, our open, modular architecture designs allow customers to refresh their computing more frequently and adopt new AI technologies without re-architecting entire platforms.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group our products into the following categories: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Components</w:t>
      </w:r>
      <w:r>
        <w:rPr>
          <w:rFonts w:ascii="Times New Roman;serif" w:hAnsi="Times New Roman;serif"/>
          <w:b w:val="false"/>
          <w:color w:val="000000"/>
          <w:sz w:val="20"/>
        </w:rPr>
        <w:t>. Components represent the basic building blocks of an electronic system. They generally perform a single function such as switching, storing or converting electronic signals. Some examples include power amplifiers and limiters, switches, oscillators, filters, equalizers, digital and analog converters, chips, MMICs (monolithic microwave integrated circuits) and memory and storage devices.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Modules and Subassemblies</w:t>
      </w:r>
      <w:r>
        <w:rPr>
          <w:rFonts w:ascii="Times New Roman;serif" w:hAnsi="Times New Roman;serif"/>
          <w:b w:val="false"/>
          <w:color w:val="000000"/>
          <w:sz w:val="20"/>
        </w:rPr>
        <w:t>. Modules and sub-assemblies combine multiple components to serve a range of complex functions, including processing, networking and graphics display. Typically delivered as computer boards or other packaging, modules and sub-assemblies are usually designed using open standards to provide interoperability when integrated in a subsystem. Examples of modules and sub-assemblies include embedded processing boards, switched fabrics and boards for high-speed input/output, digital receivers, graphics and video, along with multi-chip modules. Additional examples include integrated radio frequency and microwave multi-function assemblies and radio frequency tuners and transceivers.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Integrated Solutions</w:t>
      </w:r>
      <w:r>
        <w:rPr>
          <w:rFonts w:ascii="Times New Roman;serif" w:hAnsi="Times New Roman;serif"/>
          <w:b w:val="false"/>
          <w:color w:val="000000"/>
          <w:sz w:val="20"/>
        </w:rPr>
        <w:t>. Integrated solutions bring components, modules and/or sub-assemblies into one system, enabled with software. Subsystems are typically, but not always, integrated within an open standards-based chassis and often feature interconnect technologies to enable communication between disparate systems. Spares and replacement modules and sub-assemblies are provided for use with subsystems sold by us. Our subsystems are deployed in sensor processing, aviation and mission computing and C4I applications.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By providing pre-integrated subsystems to our customers, we enable them to rapidly and cost-effectively port and adapt their applications to changing threats. This approach also saves our customers valuable time and expense, as their initial costs to integrate modules and components typically far exceed the costs of the individual product procurement. This benefit continues over time because we are continually investing R&amp;D into our products. This allows us to provide our customers the latest technologies in our pre-integrated subsystems faster than they can typically do it themselves. We believe this is a better business and technology model to operate within, as it continues to provide value and benefits to us and our customers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engage with global tech leaders to align technology roadmaps and deliver cutting-edge computing in scalable, field-deployable form factors that are fully configurable to each unique workload. We use the latest Altera® programmable solutions, AMD FPGAs, as well as NVIDIA GPU products in our embedded high-performance processing technologies. While this multi-computing and embedded processing technology is one of our core capabilities, the SWaP constraints inherent in high-performance embedded processing applications create unique challenges. For example, to address customer needs for faster signal conversion in radar, communications, electronic warfare, signals intelligence and industrial applications, recently we introduced several products powered by Altera's most advanced Agilex 9 Direct RF FPGA chips that allow radio frequency signals to be directly digitized at the antenna, eliminating the analog signal down conversion stages required by legacy hardware.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Embedded systems security has become a requirement for new and emerging military programs and our security solutions are a critical differentiator from our traditional competition. These security solutions, combined with our next-generation secure Intel® server-class product line, together with increasingly frequent mandates from the government to secure electronic systems for domestic and foreign military sales, position us well to capitalize on U.S. Department of War (“DoW”) program protection security requirements. Finally, our built-in security framework creates higher product differentiation, and drives greater program velocity, while lowering risk.</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Open Standards Support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a long history of driving modular open systems architectures and we remain committed to creating, advancing and adopting open standards for all our products, from our smallest components and connectors to our largest, high-performance, integrated multi-computer systems. With over forty years of technology leadership within the high-performance embedded computing industry, we have pioneered or contributed to the development of many of the defense industry’s current and emerging open standards, including standards such as RACEway, RapidIO, VXS, VPX, REDI, OpenVPX, and the emerging VITA100 standard. These open standards allow system integrators to benefit from the interoperability of modules produced by multiple vendors. We also continue to be influential in the industry-standards organizations associated with our market segments. As a member of the VMEbus International Trade Association (“VITA”), the Sensor Open Systems Architecture (“SOSA”) initiative, among other standards bodies, we are helping to guide the aerospace and defense industry toward greater openness and vendor interoperability, consistent with the DoW’s focus on using MOSA in major programs.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software is based on open standards and includes heterogeneous processor support with extensive, highly optimized math libraries, multi-computing switch fabric support, net-centric and system management enabling services, extended operating system services, board support packages and development tools. This software platform delivers on the performance required for highly tuned real-time operation with the flexibility of open standards that are an essential ingredient of technology insertion and software life-cycle support.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the U.S. government mandates more outsourcing and open standards, a major shift is occurring within the defense prime contractor community towards procurement of integrated subsystems that enable quick application-level porting through standards-based methodologies. We believe that our core expertise in this area is well aligned to capitalize on this trend. By leveraging our open architecture and high-performance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Commitment to Security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For Mercury, this means ensuring our products and solutions have not been and cannot be tampered with, and that what we deliver to our customers is not compromised at any point during the development lifecycle, from procurement to manufacturing. Our holistic approach includes: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vigorously mitigating potential insider threats;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proactively protecting our IT infrastructure with strong cybersecurity defenses;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effectively managing and assessing our suppliers’ controls;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judiciously controlling design information through the entire development process.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are investing in digital transformation, insider trust, cybersecurity, supply chain management and trusted microelectronics, all integral to our commitment to being a leader in delivering secure, uncompromised products and solutions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Market Opportunity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serve a large and growing global defense technology market with strong tailwinds from the current defense super-cycle and secular growth. We are focused on the Tier 2 and Tier 3 defense technology market, which continues to grow at a faster rate than the expected increase in total U.S. defense spending. </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Market Size and Growth</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According to Renaissance Strategic Advisors (“RSA”), as of July 2026, the global aerospace and defense electronics market is estimated to be $193 billion in 2026, growing to $303 billion by 2031. Within this global market, RSA estimates that the total Tier 2 defense electronics market, which we participate in, is approximately $66 billion in 2026, and will grow to $106 billion in 2031. RSA estimates that in 2026 the U.S. defense Tier 2 embedded computing and RF market addressable by suppliers such as Mercury was approximately $29 billion, and the International Tier 2 market is $35 billion.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Tier 2 and Tier 3 aerospace and defense electronics marketplace consists of three primary sectors, subdivided into nine segments. The table below shows the 2026 market size and 2026-2031 market Compound Annual Growth Rate (“CAGR”) for each of the nine segments.</w:t>
      </w:r>
    </w:p>
    <w:tbl>
      <w:tblPr>
        <w:tblW w:w="8261" w:type="dxa"/>
        <w:jc w:val="left"/>
        <w:tblInd w:w="0" w:type="dxa"/>
        <w:tblLayout w:type="fixed"/>
        <w:tblCellMar>
          <w:top w:w="28" w:type="dxa"/>
          <w:left w:w="28" w:type="dxa"/>
          <w:bottom w:w="28" w:type="dxa"/>
          <w:right w:w="28" w:type="dxa"/>
        </w:tblCellMar>
      </w:tblPr>
      <w:tblGrid>
        <w:gridCol w:w="1455"/>
        <w:gridCol w:w="1281"/>
        <w:gridCol w:w="1283"/>
        <w:gridCol w:w="109"/>
        <w:gridCol w:w="109"/>
        <w:gridCol w:w="109"/>
        <w:gridCol w:w="109"/>
        <w:gridCol w:w="474"/>
        <w:gridCol w:w="474"/>
        <w:gridCol w:w="476"/>
        <w:gridCol w:w="109"/>
        <w:gridCol w:w="109"/>
        <w:gridCol w:w="109"/>
        <w:gridCol w:w="601"/>
        <w:gridCol w:w="601"/>
        <w:gridCol w:w="853"/>
      </w:tblGrid>
      <w:tr>
        <w:trPr/>
        <w:tc>
          <w:tcPr>
            <w:tcW w:w="145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2026 Market Size </w:t>
              <w:b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2026-2031 Market CAGR</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Electronics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Mission Management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Systems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Command, Control, Computers and Intelligence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C4I Systems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Warfare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EO/IR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Acoustics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Weapons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Sensor &amp; Effector 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bl>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Our Market Position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market opportunity is defined by the growing demand for domestically designed, sourced and manufactured electronics for critical aerospace, defense and intelligence applications. Our primary market positioning is centered on enabling mission critical processing to the edge. Because of the broad demand for high-performance processing at the edge across defense missions, we operate in a number of the larger, faster growing parts of the market, from C4I to sensor processing, and spanning all operational domains: air, land, sea, space, and cyberspace.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can be segmented into a value chain that consists of prime integrators that contract directly with the government and deliver large scale platforms, supported by a multi-tiered supplier base. We span several levels of this supply chain, working directly with military organizations and supplying the global defense industrial base with subsystem capabilities, modules and components. The breadth and depth of our Processing Platform enables us to engage vertically from components, or chip-scale, all the way to integrated processing solutions. In some cases, we are a directed source to the primes by the U.S. government, reflecting the differentiation of our processing platform.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are well positioned on a number of significant and enduring defense programs, with a diverse portfolio of contracts with blue-chip customers, a large installed base and the sole source for many unique capabilities. Our strategic acquisitions have substantially expanded our addressable market into defense platform management, mission computing, rugged server systems, embedded security and commercial aerospace markets aligned to our existing focus.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Key Market Trends and Growth Drivers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believe there are a number of evolving trends that are reshaping our target markets and accordingly provide us with attractive growth opportunities: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Geopolitical Tensions Driving Defense Spending Growth.</w:t>
      </w:r>
      <w:r>
        <w:rPr>
          <w:color w:val="000000"/>
        </w:rPr>
        <w:t xml:space="preserve"> </w:t>
      </w:r>
      <w:r>
        <w:rPr>
          <w:rFonts w:ascii="Times New Roman;serif" w:hAnsi="Times New Roman;serif"/>
          <w:b w:val="false"/>
          <w:color w:val="000000"/>
          <w:sz w:val="20"/>
        </w:rPr>
        <w:t xml:space="preserve">Russia’s invasion of Ukraine, the conflict with Iran, rising tensions in the Asia-Pacific and continued threats from rogue states and violent extremists are contributing to the most challenging global threat environment since the Cold War. Our advisors estimate that U.S. growth, combined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increases in NATO defense budgets, could drive up to $1.5 trillion of additional spending over the next decade. The Pentagon’s Munitions Acceleration Council is driving multi-year agreements for key munitions and missiles to ensure the U.S. stockpile remains robust. We believe that this could lead to higher bookings for us in the electronic systems associated with missiles, munitions, missile defense systems, unmanned systems, fixed wing aircraft, and rotary wing aircraft.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Prime Contractor Outsourcing Represents Our Largest Secular Growth Opportunity.</w:t>
      </w:r>
      <w:r>
        <w:rPr>
          <w:color w:val="000000"/>
        </w:rPr>
        <w:t xml:space="preserve"> </w:t>
      </w:r>
      <w:r>
        <w:rPr>
          <w:rFonts w:ascii="Times New Roman;serif" w:hAnsi="Times New Roman;serif"/>
          <w:b w:val="false"/>
          <w:color w:val="000000"/>
          <w:sz w:val="20"/>
        </w:rPr>
        <w:t xml:space="preserve">RSA estimates that the U.S. defense prime contractors currently outsource only a small percentage of their work. The U.S. government is intensely focused on making systems more affordable and shortening their development time, while challenging defense prime contractors to leverage commercial technology wherever possible. This trend, along with a scarcity of technical and engineering talent in the market, is causing defense prime contractors to outsource to companies like us. As a merchant supplier of commercial technologies to the defense industry, we believe our products and integrated solutions are often more affordable than solutions with the same functionality developed by a defense prime contractor. In addition, we believe our size, scale and stability, combined with the investments we have made in our domestic manufacturing capabilities and infrastructure, make us a more reliable and attractive outsourcing partner for our customers relative to smaller sub-scale providers.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Increasing Electronics Content and Platform Modernization.</w:t>
      </w:r>
      <w:r>
        <w:rPr>
          <w:color w:val="000000"/>
        </w:rPr>
        <w:t xml:space="preserve"> </w:t>
      </w:r>
      <w:r>
        <w:rPr>
          <w:rFonts w:ascii="Times New Roman;serif" w:hAnsi="Times New Roman;serif"/>
          <w:b w:val="false"/>
          <w:color w:val="000000"/>
          <w:sz w:val="20"/>
        </w:rPr>
        <w:t xml:space="preserve">We believe that a greater percentage of the value associated with future defense platforms will be driven by electronic systems content, and upgrades to existing platforms will focus on sensors, signal processing, sensor algorithms, multi-intelligence fusion and exploitation and computing and communications capability—all areas where we participates. Ongoing modernization of legacy defense platforms is necessary to maintain relevance in the current near-peer threat environment. We believe that our addressable market continues to increase, driven in large part by our strategic move into mission systems and potential to deliver innovative processing solutions at chip-scale, and that primes will increasingly seek out our high-performance, cost-effective products.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Space Domain Growth and Strategic Investment.</w:t>
      </w:r>
      <w:r>
        <w:rPr>
          <w:color w:val="000000"/>
        </w:rPr>
        <w:t xml:space="preserve"> </w:t>
      </w:r>
      <w:r>
        <w:rPr>
          <w:rFonts w:ascii="Times New Roman;serif" w:hAnsi="Times New Roman;serif"/>
          <w:b w:val="false"/>
          <w:color w:val="000000"/>
          <w:sz w:val="20"/>
        </w:rPr>
        <w:t xml:space="preserve">Space represents a critical growth area for us with substantial Pentagon focus and investment. The increasing importance of space-based ISR, communications, and missile warning and tracking systems is driving demand for advanced processing capabilities in orbit. The proliferation of low Earth orbit constellations requires ruggedized, radiation-tolerant processing solutions that can operate reliably in the harsh space environment. As space becomes an increasingly contested domain, the need for secure, high-performance computing solutions purpose-built for space applications continues to expand. Space-qualified processing technologies will be required to address this growing segment of our addressable market.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All-Domain Operations and Cross-Domain Integration.</w:t>
      </w:r>
      <w:r>
        <w:rPr>
          <w:color w:val="000000"/>
        </w:rPr>
        <w:t xml:space="preserve"> </w:t>
      </w:r>
      <w:r>
        <w:rPr>
          <w:rFonts w:ascii="Times New Roman;serif" w:hAnsi="Times New Roman;serif"/>
          <w:b w:val="false"/>
          <w:color w:val="000000"/>
          <w:sz w:val="20"/>
        </w:rPr>
        <w:t xml:space="preserve">The Pentagon’s focus on Joint All-Domain Command and Control (“JADC2”) and an integrated system-of-systems approach to warfare across all operational domains is creating significant opportunities for us. Modern military operations require processing solutions that work consistently and reliably across air, land, sea, space, and cyberspace, with the ability to enable cross-domain data fusion and integration. Our unique position with solutions deployed across all domains, combined with our vertical integration from chip-scale to integrated systems, enables us to deliver the interoperability and common processing architecture designs required for all-domain operations. This capability is increasingly critical as the DoW seeks to connect sensors and shooters across domains in near-real-time.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Extreme Operational Environments Demand Purpose-Built Ruggedization.</w:t>
      </w:r>
      <w:r>
        <w:rPr>
          <w:color w:val="000000"/>
        </w:rPr>
        <w:t xml:space="preserve"> </w:t>
      </w:r>
      <w:r>
        <w:rPr>
          <w:rFonts w:ascii="Times New Roman;serif" w:hAnsi="Times New Roman;serif"/>
          <w:b w:val="false"/>
          <w:color w:val="000000"/>
          <w:sz w:val="20"/>
        </w:rPr>
        <w:t xml:space="preserve">Our processing solutions must survive and perform reliably in the harshest conditions—from carrier deck landings generating extreme shock loads, to ground vehicles experiencing continuous vibration over rough terrain for extended periods, to thermal extremes from arctic to desert operations, to the electromagnetic interference of contested environments. Our investments in ruggedized computing combined with specialized manufacturing processes and comprehensive environmental testing ensure our solutions maintain signal integrity and mechanical reliability when failure is not an option. This combination of extreme ruggedization with high-performance processing and embedded security across our full product portfolio represents a significant competitive advantage.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Explosive Growth in Sensor Data and Edge Processing Requirements.</w:t>
      </w:r>
      <w:r>
        <w:rPr>
          <w:color w:val="000000"/>
        </w:rPr>
        <w:t xml:space="preserve"> </w:t>
      </w:r>
      <w:r>
        <w:rPr>
          <w:rFonts w:ascii="Times New Roman;serif" w:hAnsi="Times New Roman;serif"/>
          <w:b w:val="false"/>
          <w:color w:val="000000"/>
          <w:sz w:val="20"/>
        </w:rPr>
        <w:t xml:space="preserve">The rapidly expanding demand for tactical ISR is leading to significant growth in sensor data being generated, creating even greater demand for the capability of our products to securely store and process data onboard platforms. Several factors are driving the defense and intelligence industries to demand greater capability to collect, store and process data onboard aircraft, UAVs, ships and other vehicles: limited communications bandwidth of existing platforms, the need for platforms that can operate more autonomously in denied communications environments, the need for platforms with increased persistence, and the need for greater onboard processing capabilities. In addition, the advent of sophisticated AI algorithms is beginning to revolutionize the ability of sensor processing systems to intelligently and efficiently process and act upon these large data sets, creating additional opportunities for advanced processing capabilities onboard the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i/>
          <w:color w:val="000000"/>
          <w:sz w:val="20"/>
        </w:rPr>
        <w:t>Security and Domestic Sourcing Requirements Creating New Opportunities.</w:t>
      </w:r>
      <w:r>
        <w:rPr>
          <w:color w:val="000000"/>
        </w:rPr>
        <w:t xml:space="preserve"> </w:t>
      </w:r>
      <w:r>
        <w:rPr>
          <w:rFonts w:ascii="Times New Roman;serif" w:hAnsi="Times New Roman;serif"/>
          <w:b w:val="false"/>
          <w:color w:val="000000"/>
          <w:sz w:val="20"/>
        </w:rPr>
        <w:t>The U.S. government is focused on ensuring that the U.S. military protects its defense electronic systems and the information held within them from nefarious activities such as tampering, reverse engineering and other forms of advanced attacks, including cyber. The requirement to add security comes at a time when the commercial technology world continues to offshore more of the design, development, manufacturing and support of such capabilities. The DoW has a mandate to ensure both the provenance and integrity of the technology and its associated supply chain. These factors have created a unique opportunity for us to expand beyond sensor processing into the provision of technologies ranging from advanced secure processing subsystems to miniaturized custom microelectronics devices and capabilities for other onboard critical computing applications designed, developed, manufactured and supported in the U.S.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marketplace characterized by rapidly changing technology, frequent product performance improvements, increasing speed of deployment to align with warfighters’ needs and evolving industry standards, including open architecture requirements and requirements coming from our customers or the DoW. Competition typically occurs at the design and qualification stage of a prospective customer’s product, where the customer evaluates alternative technologies and design approaches. We work with defense prime contractors as well as directly with the DoW. We help drive subsystem development and deployment in both classified and unclassified environments.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rapid, innovative engineering in both hardware and software products, subsystem design expertise, trusted and secure processing capabilities, advanced packaging capability to deliver the most optimized SWaP solution possible, our ability to respond rapidly to varied customer requirements and a track record of successfully supporting many high-profile programs in the defense and aerospace markets. There are competitors in the different market segments and application types in which we participate. Some of these competitors are larger and have greater resources than us. Some of these competitors compete against us at purely a component or board-level, others at a subsystem level. We also compete with in-house design teams at our customers. The DoW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longstanding subsystem expertise to provide this value to our customers.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Research and Product Development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R&amp;D efforts are focused on developing new products and subsystems as well as enhancing existing hardware and software products in mission, signal and image processing. Our R&amp;D goal is to fully exploit and maintain our technological lead in the high-performance, real-time sensor processing industry and in mission computing, microelectronics, platform management and other safety-critical applications. Total expenditures for R&amp;D amounted to $59.7 million, $67.6 million and $101.3 million in fiscal years 2026, 2025 and 2024, respectively. As of July 3, 2026, we had 518 employees, including hardware and software architects and design engineers, primarily engaged in engineering, research, and product development activities. These individuals, in conjunction with our growth team, also devote a portion of their time to assisting customers in utilizing our products, developing new uses for these products and anticipating customer requirements for new products.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Manufacturing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majority of our products and solutions are produced in AS9100 quality system-certified facilities. The current scope of delivered hardware products includes commercial and industrial class printed circuit board assemblies (modules), complex chassis subsystems, rugged display systems and servers and RF and microwave components and subsystems.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Phoenix, Arizona campus manufactures our custom microelectronics products in an AS9100 quality system-certified facility. Our Phoenix campus is also an IPC1791 certified and DMEA certified trusted manufacturing facility, primarily focused on advanced secure system-on-chip design, assembly, packaging and test. We have invested in our Phoenix campus over the past year and plan to incorporate an additional 50,000 square feet of manufacturing space over the next 18 months. Our Cypress, California, West Lafayette, Indiana, Huntsville, Alabama, and Hudson, New Hampshire facilities are AS9100 quality systems-certified facilities as well. Our Alpharetta, Georgia facility is ISO 9001:2015 quality systems-certified. Our Chantilly, Virginia location is an IPC1791 and AS9100 quality systems-certified facility. Our Andover, Massachusetts facility is an AS9100 quality systems-certified facility and a DMEA certified trusted design facility that is primarily focused on advanced security features for the processing product line. Our Silchester, England facility provides engineering, development and integration services and is AS9100 quality systems-certified.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both vertical integration and subcontracting to contract manufacturers to meet our manufacturing needs. Our Phoenix campus has the manufacturing capabilities to complete the assembly and testing for a subset of our embedded multi-computing products. We subcontract as needed a portion of the assembly and testing for our other embedded multi-computing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products to contract manufacturers in the U.S. to build to our specifications. Our printed circuit board assemblies and chassis subsystems’ manufacturing operations also consist of materials planning and procurement, final assembly and test and logistics (inventory and traffic management). Our vertically integrated subsystem product solutions rely on strong relationships with strategic suppliers to ensure on-time delivery and high-quality products. We manage supplier performance and capability through quality audits and stringent source, incoming and/or first article inspection processes. We have a comprehensive quality and process control plan for each of our products, which include a supply chain management program and the use of automated inspection and test equipment to assure the quality and reliability of our products. We perform most post-sales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fiscal 2025, to support the Readiness 2030 initiative to enhance European Union and NATO military capabilities, we signed a strategic supply agreement with Cicor Group (“Cicor”), the leading European manufacturer for aerospace and defense. With a presence across many European countries, Cicor is partnering with us to manufacture key non-ITAR technologies required by European customers. The agreement supports local production requirements and accelerates delivery needs of customers in the region, enabling our next phase of growth in the international market.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Advanced Microelectronics Center (“AMC”) in Phoenix, Arizona is built around scalable, repeatable, secure, affordable and predictable manufacturing. The high mix, low volume and high complexity/density nature of our products require speed and seamless interaction with all internal functions (as opposed to with an external contract manufacturer) which is a key value proposition of the Phoenix operations facility. Our Phoenix campus is also designed for efficient showcasing to customers who at any point wish to access the best proven technology and high performing, secure electronics and processing manufacturing solutions within a broader product company such as Mercury. Proximity and interaction with our internal engineering organization is a significant benefit. This allows for the most repeatable product performance, while optimizing affordability and production responsiveness. Our Phoenix AMC also provides manufacturing and assembly for SWaP-optimized multi-chip modules and system-in-package devices. We combine surface-mount, flip chip, die attach, wire bond and rugged 3D packaging on the same devices to provide a SWaP-optimized solution for our customers.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Hudson, New Hampshire, West Caldwell, New Jersey and Oxnard, California facilities are specifically aimed at providing scalable manufacturing within our critical businesses. We leverage best practices in design, development, manufacturing and materials handling at these production and subsystems integration facilities. These facilities include the design, build and test of both RF and microwave components and subsystems in support of a variety of key customer programs. Our Alpharetta, Georgia facility offers active matrix liquid crystal display systems which enhances the highly sophisticated human/ machine interface. Our facility in Torrance, California is an AS9100 and AS9110C facility that offers Avionics Safety-Certifiable subsystems. Our facility in Upper Saddle River, New Jersey is ISO 9001:2015 certified and offers digital signal processing products. Our facility in Gulf Breeze, Florida is AS9100 certified and offers rugged avionics and electronics. Our facility in Norcross, Georgia is AS9100 certified and offers RF and microwave products.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generally use standard parts and components for our products, certain components, including custom designed Application-Specific Integrated Circuits (“ASICs”), static random access memory, FPGAs, microprocessors and other third party chassis peripherals (single board computers, power supplies, blowers, etc.), are currently available only from a single source or from limited sources.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also design, develop and manufacture digital radio frequency memory units for a variety of modern electronic warfare applications, as well as radar environment simulation and test systems for defense and intelligence applications. We develop high performance signals intelligence payloads and EO/IR technologies for small UAV platforms as well as powerful onboard UAV processor systems for real-time wide area motion imagery.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Intellectual Property and Proprietary Rights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hold a broad collection of IP rights to protect our proprietary technologies and our brands. These include patents, designs, copyrights, trademarks and trade secrets in the U.S. and various foreign countries. Although we believe the ownership of such IP rights is an important factor in differentiating our business and that our success depends in part on such ownership, we primarily rely on the innovation skills and technical expertise of our employees.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regularly file patent and trademark applications, including payment of related maintenance fees, to protect innovations and brands arising from our R&amp;D. We also rely on a combination of trade secret, patent, copyright and trademark laws, as well as contractual agreements, to safeguard our proprietary rights in technologies and in our products. In seeking to limit access to sensitive information to the greatest extent practicable, we routinely enter into confidentiality agreements and assignment of invention agreements with each of our employees and consultants, and execute nondisclosure agreements with our customers, suppliers and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licensed IP rights in the past and expect that we may license such rights in the future to certain other parties. Some of our products may include IP owned by third parties. It may be necessary in the future to review or renew such licenses to various aspects of our products and services.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Over time, we have accumulated a significant portfolio of issued patents and registered trademarks, including other IP rights. No single IP right is solely responsible for protecting our products, processes and services. We believe our policies and safeguard measures to protect our IP are sufficient relative to the use and lives of our products and services.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we had a backlog of orders aggregating approximately $1.9 billion, of which $996.0 million is expected to be recognized as revenue within the next twelve months. As of June 27, 2025, backlog was approximately $1.4 billion. Our backlog is comprised of accepted purchase orders for which a majority are fully funded.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people are at the center of everything we do in driving Innovation that Matters®. We believe that our success depends on our ability to foster a company-wide culture that values a broad range of solutions to problems, a wide array of skills and experiences and multiple perspectives. We believe that the workforce required to grow our business and deliver creative solutions must be rich in diverse thought, experience and culture, and are committed to providing an environment that respects the varied backgrounds and viewpoints of our employees. Our initiatives focus on building and maintaining talent that will create cohesive and collaborative teams that drive innovation. Our Board of Directors provides oversight of our people practices, including regularly reviewing workforce metrics such as those described below.</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0"/>
        </w:rPr>
        <w:t>Employee Overview:</w:t>
      </w:r>
      <w:r>
        <w:rPr>
          <w:color w:val="000000"/>
        </w:rPr>
        <w:t xml:space="preserve"> </w:t>
      </w:r>
      <w:r>
        <w:rPr>
          <w:rFonts w:ascii="Times New Roman;serif" w:hAnsi="Times New Roman;serif"/>
          <w:b w:val="false"/>
          <w:color w:val="000000"/>
          <w:sz w:val="20"/>
        </w:rPr>
        <w:t>As of July 3, 2026, we employed 2,102 people excluding contractors around the globe, including 518 in R&amp;D, 111 in sales and marketing, 1,186 in manufacturing and customer support and 287 in general and administrative functions. Our primary operations are in the U.S. with 2,031 employees and we operate offices in 12 states. Outside the U.S., we had 71 employees, and operate from locations in Spain, Switzerland, and the United Kingdom. No employees are covered by any collective bargaining or similar agreements. We also use contractors on an as-needed basis.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0"/>
        </w:rPr>
        <w:t>Culture and Employee Engagement:</w:t>
      </w:r>
      <w:r>
        <w:rPr>
          <w:color w:val="000000"/>
        </w:rPr>
        <w:t xml:space="preserve"> </w:t>
      </w:r>
      <w:r>
        <w:rPr>
          <w:rFonts w:ascii="Times New Roman;serif" w:hAnsi="Times New Roman;serif"/>
          <w:b w:val="false"/>
          <w:color w:val="000000"/>
          <w:sz w:val="20"/>
        </w:rPr>
        <w:t>We believe our workplace culture drives engagement that turns ideas into action, delivering trusted and secure solutions at the speed of innovation. We regularly seek employee input through engagement surveys, the results of which drive meaningful and timely action, as appropriate, from our leadership team and people leaders across the Company. Participation in our most recent employee engagement survey in January 2026 remained strong at 75%. Our investment in our employees extends to our workplaces. For fiscal 2026, we invested over $4.3 million to upgrade our locations to world-class facilities. We also encourage employees to give back to our communities. We sponsor and participate in a number of philanthropic events in our communities, such as Run to Home Base, an annual event that funds clinical care and support for veterans and their families who are impacted by the invisible wounds of war. Our employees also have opportunities to engage and inspire students in our local communities to pursue STEM education and career path.</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0"/>
        </w:rPr>
        <w:t xml:space="preserve">Training and Development: </w:t>
      </w:r>
      <w:r>
        <w:rPr>
          <w:rFonts w:ascii="Times New Roman;serif" w:hAnsi="Times New Roman;serif"/>
          <w:b w:val="false"/>
          <w:color w:val="000000"/>
          <w:sz w:val="20"/>
        </w:rPr>
        <w:t>We encourage life-long learning through our offering of formal learnings, structured mentoring, tuition reimbursement and other employee development opportunities. We are deeply invested in building the next generation of engineers and scientists with our internship and co-op programs. We offer a two-year engineering rotational program to recent graduates in electrical, firmware, software, RF and systems engineering disciplines. During the program, employees gain insight and experience rotating through multiple engineering disciplines and upon program completion are matched with a position. During fiscal 2026, we also invested $1.6 million in formal leadership programs to further develop our leaders, at various levels: leadership cohorts, mentor programs, team excellence discussions, training programs for new managers and regular engagement with our executive leadership team.</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0"/>
        </w:rPr>
        <w:t xml:space="preserve">Pay and Benefits: </w:t>
      </w:r>
      <w:r>
        <w:rPr>
          <w:rFonts w:ascii="Times New Roman;serif" w:hAnsi="Times New Roman;serif"/>
          <w:b w:val="false"/>
          <w:color w:val="000000"/>
          <w:sz w:val="20"/>
        </w:rPr>
        <w:t>We seek competitiveness and fairness in total compensation with reference to external pay data and internal equity. We also offer a variety of well-being programs to support our employees and their families with healthy living. These programs include paid time off, paid parental leave, health insurance coverage, voluntary benefits (including pet insurance and caregiver support), company contributions to retirement savings and employee assistance and work-life programs. In addition, we offer employees less traditional benefits to support employee well-being such as access to fitness and meditation apps, as well as an online platform through which employees participate in healthy living challenges and earn financial rewards.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0"/>
        </w:rPr>
        <w:t xml:space="preserve">Environmental, Health and Safety: </w:t>
      </w:r>
      <w:r>
        <w:rPr>
          <w:rFonts w:ascii="Times New Roman;serif" w:hAnsi="Times New Roman;serif"/>
          <w:b w:val="false"/>
          <w:color w:val="000000"/>
          <w:sz w:val="20"/>
        </w:rPr>
        <w:t>On our website, we disclose environmental stewardship, quality and safety information, including OSHA injury data. We received an Environment, Social, and Governance (“ESG”) score of AAA on the Morgan Stanley Capital International ("MSCI") ESG Rating scale during 2026.</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0"/>
        </w:rPr>
        <w:t xml:space="preserve">Diversity and Employee Initiatives: </w:t>
      </w:r>
      <w:r>
        <w:rPr>
          <w:rFonts w:ascii="Times New Roman;serif" w:hAnsi="Times New Roman;serif"/>
          <w:b w:val="false"/>
          <w:color w:val="000000"/>
          <w:sz w:val="20"/>
        </w:rPr>
        <w:t xml:space="preserve">Development of a broad talent pipeline is a business imperative at Mercury and critical to our ability to drive innovation and improve long-term results. We have established relationships with job networks and educational institutions to proactively attract a diverse pool of talent. Our employees are afforded opportunities to deliver creative solutions that are rich in thought, experience, and culture within Mercury and our industry. We also regularly conduct pay equity assessments to help ensure the fairness of our pay practices and make adjustments as needed.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Customers comprising 10% or more of the our revenues for the periods shown below are as follows:</w:t>
      </w:r>
    </w:p>
    <w:tbl>
      <w:tblPr>
        <w:tblW w:w="6518" w:type="dxa"/>
        <w:jc w:val="left"/>
        <w:tblInd w:w="0" w:type="dxa"/>
        <w:tblLayout w:type="fixed"/>
        <w:tblCellMar>
          <w:top w:w="28" w:type="dxa"/>
          <w:left w:w="28" w:type="dxa"/>
          <w:bottom w:w="28" w:type="dxa"/>
          <w:right w:w="28" w:type="dxa"/>
        </w:tblCellMar>
      </w:tblPr>
      <w:tblGrid>
        <w:gridCol w:w="929"/>
        <w:gridCol w:w="817"/>
        <w:gridCol w:w="819"/>
        <w:gridCol w:w="224"/>
        <w:gridCol w:w="224"/>
        <w:gridCol w:w="557"/>
        <w:gridCol w:w="109"/>
        <w:gridCol w:w="109"/>
        <w:gridCol w:w="109"/>
        <w:gridCol w:w="250"/>
        <w:gridCol w:w="250"/>
        <w:gridCol w:w="624"/>
        <w:gridCol w:w="109"/>
        <w:gridCol w:w="109"/>
        <w:gridCol w:w="109"/>
        <w:gridCol w:w="239"/>
        <w:gridCol w:w="239"/>
        <w:gridCol w:w="692"/>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Corporation</w:t>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Navy</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L3Harris</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Indicates that the amount is less than 10% of the our revenue for the respective period.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While we typically have customers from which we derive 10% or more of our revenue, the sales to each of these customers are spread across multiple programs and platforms. There were no programs comprising 10% or more of the our revenues for the years ended July 3, 2026, June 27, 2025 and June 28, 2024.</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Corporate Headquarters and Incorporation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is located in Andover, Massachusetts. Mercury Systems, Inc. was incorporated in Massachusetts in 1981.</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Financial Information about Geographic Scope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Information about revenue we receive within and outside the U.S. can be found in Note Q - Operating Segment, Geographic Information and Significant Customers - to the accompanying Consolidated Financial Statements included elsewhere in this Annual Report on Form 10-K.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Website</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We maintain a website at </w:t>
      </w:r>
      <w:r>
        <w:rPr>
          <w:rFonts w:ascii="Times New Roman;serif" w:hAnsi="Times New Roman;serif"/>
          <w:b w:val="false"/>
          <w:i/>
          <w:color w:val="000000"/>
          <w:sz w:val="20"/>
        </w:rPr>
        <w:t>www.mrcy.com</w:t>
      </w:r>
      <w:r>
        <w:rPr>
          <w:rFonts w:ascii="Times New Roman;serif" w:hAnsi="Times New Roman;serif"/>
          <w:b w:val="false"/>
          <w:color w:val="000000"/>
          <w:sz w:val="20"/>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amended,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100" w:after="283"/>
        <w:ind w:left="0" w:right="0" w:firstLine="490"/>
        <w:jc w:val="both"/>
        <w:rPr/>
      </w:pPr>
      <w:r>
        <w:rPr>
          <w:rFonts w:ascii="Times New Roman;serif" w:hAnsi="Times New Roman;serif"/>
          <w:b w:val="false"/>
          <w:color w:val="000000"/>
          <w:sz w:val="20"/>
        </w:rPr>
        <w:t>Investors and others should note that we announce material financial information using our website (</w:t>
      </w:r>
      <w:r>
        <w:rPr>
          <w:rFonts w:ascii="Times New Roman;serif" w:hAnsi="Times New Roman;serif"/>
          <w:b w:val="false"/>
          <w:color w:val="0000FF"/>
          <w:sz w:val="20"/>
          <w:u w:val="single"/>
        </w:rPr>
        <w:t>www.mrcy.com</w:t>
      </w:r>
      <w:r>
        <w:rPr>
          <w:rFonts w:ascii="Times New Roman;serif" w:hAnsi="Times New Roman;serif"/>
          <w:b w:val="false"/>
          <w:color w:val="000000"/>
          <w:sz w:val="20"/>
        </w:rPr>
        <w:t>), SEC filings, press releases, public conference calls, webcasts and social media, including X (</w:t>
      </w:r>
      <w:r>
        <w:rPr>
          <w:rFonts w:ascii="Times New Roman;serif" w:hAnsi="Times New Roman;serif"/>
          <w:b w:val="false"/>
          <w:color w:val="0000FF"/>
          <w:sz w:val="20"/>
          <w:u w:val="single"/>
        </w:rPr>
        <w:t>X.com/mrcy</w:t>
      </w:r>
      <w:r>
        <w:rPr>
          <w:rFonts w:ascii="Times New Roman;serif" w:hAnsi="Times New Roman;serif"/>
          <w:b w:val="false"/>
          <w:color w:val="000000"/>
          <w:sz w:val="20"/>
        </w:rPr>
        <w:t>) and LinkedIn (</w:t>
      </w:r>
      <w:r>
        <w:rPr>
          <w:rFonts w:ascii="Times New Roman;serif" w:hAnsi="Times New Roman;serif"/>
          <w:b w:val="false"/>
          <w:color w:val="0000FF"/>
          <w:sz w:val="20"/>
          <w:u w:val="single"/>
        </w:rPr>
        <w:t>www.linkedin.com/company/mercury-systems</w:t>
      </w:r>
      <w:r>
        <w:rPr>
          <w:rFonts w:ascii="Times New Roman;serif" w:hAnsi="Times New Roman;serif"/>
          <w:b w:val="false"/>
          <w:color w:val="000000"/>
          <w:sz w:val="20"/>
        </w:rPr>
        <w:t>). Therefore, we encourage investors and others interested in Mercury to review the information we post on social media and other communication channels listed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Risks Related to Business Operations and Our Industry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unable to increase production to satisfy the increasing demand for our products.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may be unable to successfully execute our production plans and meet growing demand for our products, which could adversely affect our business, financial condition and results of operations. Our backlog and new bookings have increased significantly, reflecting strong demand from our prime contractor customers and end users. To convert this demand into revenue on our customers’ expected timelines, we must scale our operations, improve quality and delivery performance and ensure that our suppliers can support anticipated higher volumes. As demand grows, our ability to execute effectively becomes increasingly critical, and any failure to do so could materially impact our financial results. Meeting this demand requires us to: increase throughput across our manufacturing facilities through additional shifts and workforce planning; improve product quality and compliance with customer and regulatory requirements; ensure timely availability of materials and components from suppliers; and manage production schedules and costs efficiently as volumes rise, including with our contract manufacturers such as Cicor in Europe in support of our EMEA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If we are unable to expand capacity at the pace required, or if we encounter operational disruptions, equipment constraints, labor shortages, supplier delays or quality issues, we may not be able to deliver products on schedule or at expected cost levels. This could result in contractual penalties, reduced margins, loss of future business, damage to customer relationships and harm to our reputation.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Additionally, rapid scaling increases the risk of operational inefficiencies, manufacturing errors and cost overruns. Even short</w:t>
        <w:noBreakHyphen/>
        <w:t>term disruptions could have an outsized impact due to the concentration of certain programs and customers in our backlog. Our ability to meet growing demand also depends on the performance of our suppliers, many of whom face similar capacity and labor challenges. Any failure by a supplier to deliver materials or components on time or to required specifications could delay our production and increase costs. If we do not successfully execute our growth plans or maintain operational performance as demand increases, our revenue, profitability and competitive position could be adversely affected.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depend heavily on defense electronics programs that incorporate our products and services, which may be only partially funded and are subject to potential termination and reductions and delays in government spending.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Sales of our products and services, primarily as a subcontractor or team member with defense prime contractors, and in some cases directly, to the U.S. government, as well as foreign governments, accounted for approximately 97%, 97% and 95% of our total net revenues in fiscal years 2026, 2025 and 2024,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program in which we are involved could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For fiscal 2027 and beyond, the potential for gridlock in Congress, a continuing budget resolution, budget sequestration, a U.S. government shutdown, or the crowding out of defense funding due to historically high budget deficits or changes in national spending priorities could adversely impact our revenues and increase uncertainty in our business and financial planning.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funding of the defense programs that incorporate our products and services is subject to the overall U.S. government budget and appropriation decisions and other processes, which are driven by numerous factors beyond our control, including geo-political, macroeconomic, public health and political conditions. We are unable to predict the likely duration and severity of adverse economic conditions in the United States and other countries, but the longer the duration or the greater the severity, the greater the risks we face in operating our business.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Economic, capital market and political conditions could adversely affect our business, results of operations and financial condition.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Global economic conditions, financial markets and geopolitical events have, at times, experienced turmoil which could have material adverse impacts on our financial condition or our ability to achieve targeted results of operations due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reduced and delayed demand for our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increased risk of order cancellations or delays;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downward pressure on the prices of our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supply chain challenges in sourcing raw materials;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greater difficulty in collecting accounts receivable;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risks to our liquidity, including the possibility that we might not have access to our cash and short-term investments or to our line of credit when needed.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Price inflation for labor and materials could adversely affect our business, results of operations and financial condition.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experienced considerable price inflation in our costs for labor and materials since the pandemic, which adversely affected our business, results of operations and financial condition. We may not be able to pass through future inflationary cost increases under our existing firm-fixed-price (“FFP”) contracts and we may only be able to recoup a portion of our increased costs under our reimbursement-type contracts. Our ability to raise prices to reflect increased costs may be limited by competitive conditions in the market for our products and services. We continue to work to mitigate such pressures on our business operations as they develop.</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loss of one or more of our largest customers or programs could adversely affect our results of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are dependent on a small number of customers for a large portion of our revenues. A significant decrease in the sales to or loss of any of our major customers would have a material adverse effect on our business and results of operations. In fiscal 2026, RTX Corporation accounted for 15% of our total net revenues, Lockheed Martin accounted for 11% of our total net revenues, and Northrop Grumman accounted for 10% of our total net revenues. In fiscal 2025, RTX Corporation accounted for 13% of our total net revenues and both Lockheed Martin and the U. S. Navy accounted for 10% of our total net revenues. In fiscal 2024, L3Harris accounted for 12% of our total net revenues, Lockheed Martin accounted for 11% of our total net revenues and RTX Corporation accounted for 10% of our total net revenues.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and customers periodically otherwise re-compete technical redesigns of components we are currently selling to them, either of which leads to a shift of production on such a program away from us which in turn could lead to lower revenues overall if not fully mitigated with gains in new or existing programs. Further, new programs may yield lower margins than legacy programs, which could result in an overall reduction in gross margins.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Ineffective inventory management may lead to excess or obsolete stock, higher costs, operational disruptions or inaccurate valuation.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maintain significant amounts of raw materials, work</w:t>
        <w:noBreakHyphen/>
        <w:t>in</w:t>
        <w:noBreakHyphen/>
        <w:t>process and finished goods to support production and customer demand. Inaccurate demand forecasting, changes in customer requirements, supply chain disruptions or production inefficiencies may result in excess or obsolete inventory. Failure to effectively manage our inventory could result in production delays, increased carrying costs, inventory write</w:t>
        <w:noBreakHyphen/>
        <w:t>downs or misstatements in inventory valuation.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Failure to respond to competition or evolving technology could lead to customer loss and missed business opportunities. The emergence of commodity-type substitutes may cause customers to delay purchases or seek alternatives.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markets are highly competitive, with frequent technological advances and evolving industry standards. Competitors may offer lower pricing, superior products or better delivery, reducing demand for our offerings. Operational challenges have impacted our on-time delivery, affecting visibility and revenue. Customers may opt for lower-cost alternatives or insource previously outsourced products. Rapid technological changes could lead to new competitors, resulting in lost customers and programs. Negative perceptions regarding cost or delivery issues may further impact our ability to secure business. Limited engagement with key government-funded laboratories (e.g., DARPA, MIT Lincoln Labs and MITRE) may hinder our ability to become a design partner for defense prime contractors. As defense agencies evaluate lessons learned from modern conflicts, new entrants offering low</w:t>
        <w:noBreakHyphen/>
        <w:t>cost, modular systems may gain influence in early design phases, reducing our access to future programs.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are designed to operate under strict physical constraints and harsh conditions. Historically, these requirements have limited the use of lower-cost commodity systems. However, advancing technology and evolving military requirements may increase the acceptability of such alternatives. The entry of commercial server manufacturers and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into aerospace and defense electronics could reduce demand for our products, negatively impacting revenue and operating results.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Defense customers require frequent technological advancements for military superiority. Historically, many design projects receive funding without actual deployment, and deployed systems favor subcontractors involved in the design phase. To secure future business, we must consistently provide superior technology in a timely and cost-effective manner.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design-in process is lengthy and costly, with no assurance that we will continue meeting customer specifications. Failing to anticipate technological shifts, customer needs or demand fluctuations could negatively impact financial results, including inventory obsolescence. Building inventory ahead of contractual commitments or purchasing end-of-life materials before confirmed customer demand increases this risk.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Product complexity occasionally leads to manufacturing delays. For example, in fiscal year 2024, we halted production for months on multiple secure computing programs due to a root cause analysis, materially affecting financial results and customer confidence. These challenges could recur in the future on other programs. In contrast, competitors producing simpler, lower</w:t>
        <w:noBreakHyphen/>
        <w:t>cost systems may be less susceptible to similar production disruptions, further impacting our competitive position.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Competition from existing or new companies could cause us to experience downward pressure on prices, fewer customer orders, reduced margins, the inability to take advantage of new business opportunities and the loss of market share.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compete in highly competitive industries, and our customers generally extend the competitive pressures they face throughout their respective supply chains. Additionally, our markets are facing increasing industry consolidation, resulting in larger competitors who have more market share putting more downward pressure on prices and offering a more robust portfolio of products and services. We are subject to competition based upon product design, performance, pricing, quality, on time delivery and support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Our defense prime contractor customers could decide to pursue one or more of our product development areas as a core competency and insource that technology development and production rather than purchase that capability from us as a supplier. This competition could result in fewer customer orders and a loss of market share.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unable to obtain critical components from suppliers, which could disrupt or delay our ability to deliver products to our customers.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Several components used in our products are currently obtained from sole-source suppliers. We are dependent on a limited number of key vendors for certain critical components such as FPGAs, ASICs, processors, memory products and specialty glass.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There can be no assurance that these suppliers will continue to meet our requirements. The timing and extent of these impacts remain uncertain, and we expect supply chain, inflation, and pricing pressures to persist. These challenges may be further exacerbated by factors such as economic downturns, changes in trade policies, supplier capacity or quality issues, supplier financial instability, natural disasters, pandemics, or logistics disruptions.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 Carrying increased levels of inventory also increases our potential risk of future inventory obsolescence.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Price escalation for semiconductor and memory components may adversely affect our profitability.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advanced electronic components, including semiconductor microchips, memory modules and specialized microelectronics, to manufacture our products and solutions. The global market for these components has experienced, and may continue to experience, volatility and price increases. These cost increases are driven by factors beyond our control, including escalating global demand, supply chain constraints, geopolitical tensions and inflationary pressures. A significant portion of our business is conducted through FFP contracts, and in some cases we assume the full financial risk for all costs incurred during performance. Consequently, a substantial increase in the cost of memory or other chips, if not mitigated through customer funded inventory purchases or other measures, may erode our operating margins. Continued cost escalation across our broader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supply chain, combined with our inability to adjust FFP contract pricing, could materially and adversely affect our business, financial condition and results of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Trade policies and export controls could significantly increase our manufacturing costs, reduce gross margins and disrupt demand for our products.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There is substantial uncertainty with respect to trade policies, enforcement and treaties between the U.S. and other countries. The U.S. government continues to implement broad tariffs on imported goods and components, including temporary baseline duties of 10% or higher alongside sweeping country-specific reciprocal tariffs. While certain measures face ongoing domestic legal and structural modifications, the U.S. Trade Representative has proposed shifting these baseline duties into long-term frameworks under Section 301 and Section 232 authorities. Concurrently, major U.S. trading partners have enacted retaliatory tariffs. As a result, we face direct exposure to increased costs on products and components imported into the U.S. Our gross margins could be reduced, potentially significantly, if we cannot pass these costs to customers. Furthermore, lag times between our tariff payments at importation and customer recovery could materially adversely impact our operating cash flow in a given period. Any significant price increases passed along to our customers may reduce overall demand.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Beyond tariffs, the U.S. government has continually expanded export-control restrictions under the Export Administration Regulations (“EAR”) and International Traffic in Arms Regulations (“ITAR”) targeting advanced electronics, semiconductors, and dual-use technologies. These regulations have increased licensing requirements, added country-specific controls, and expanded definitions of controlled technologies, thereby increasing our compliance burdens and potential product redesign requirements. Regulatory enforcement, audits and civil penalties have intensified. Even inadvertent violations of EAR or ITAR could result in substantial fines, mandatory remediation or export restrictions, materially harming our operations and customer relationships. Mitigating these rapidly shifting trade barriers and compliance rules can be expensive, time-consuming and highly disruptive to our management and global supply chain. We cannot be sure of our ability to obtain any licenses required to export our products or to receive authorization from the U.S. government for international sales or domestic sales to foreign persons including transfers of technical data or the provision of technical services.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not be able to effectively manage our relationships with contract manufacturers.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may not be able to effectively manage our relationship with contract manufacturers, and the contract manufacturers may not meet future requirements for timely delivery. We rely on contract manufacturers to build hardware sub-assemblies for certain of our products in accordance with our specifications. During the normal course of business, we may provide demand forecasts to contract manufacturers several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 These risks may be enhanced for our EMEA operations as we outsourced our former Swiss manufacturing operations to Cicor Group in June 2025, and Cicor will be transitioning manufacturing from our legacy Geneva location, which they now operate, to their other facilities in Switzerland and the United Kingdom during fiscal 2027.</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exposed to risks associated with international operations and markets.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market and sell products in international markets and have sales offices and manufacturing and/or engineering facilities and subsidiaries in Switzerland, Spain and the United Kingdom. Revenues from international operations accounted for 2% of our total net revenues in fiscal 2026, and accounted for 5% of our total net revenues in fiscal 2025 and 2024. We also ship directly from our U.S. operations to international customers. There are inherent risks in transacting business internationally,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applicable laws and regulatory requirements;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export and import restrictions, including export controls relating to technology and sanctioned parties;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tariffs and other trade barriers;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less favorable IP laws;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longer payment cycles;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problems in collecting accounts receivable;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adverse economic conditions in foreign markets;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political instability;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fluctuations in currency exchange rates, which may lead to lower operating margins, or may cause us to raise prices which could result in reduced revenues;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foreign national priorities and government budgets, including local manufacturing of defense-related goods and services;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expatriation controls;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potential adverse tax consequences.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one or more of these factors will not have a material adverse effect on our future international activities and, consequently, on our business and results of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a pension plan (the “Plan”) for Swiss employees, mandated by Swiss law. Since participants of the Plan are entitled to a defined rate of interest on contributions made, the Plan meets the criteria for a defined benefit plan under U.S. GAAP. The Plan, an independent pension fund, is part of a multi-employer plan with unrestricted joint liability for all participating companies and the economic interest in the Plan’s overfunding or underfunding is allocated to each participating company based on an allocation key determined by the Plan. U.S. GAAP requires an employer to recognize the funded status of the defined benefit plan on the balance sheet, which we have presented in other long-term liabilities on our Consolidated Balance Sheets at July 3, 2026. The funded status may vary from year to year due to changes in the fair value of the Plan’s assets and variations on the underlying assumptions in the Plan and we may have to record an increased liability as a result of fluctuations in the value of the Plan’s assets. As of July 3, 2026, we had a liability of $3.1 million in Other non-current liabilities representing the net under-funded status of the Plan.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addition, we must comply with the Foreign Corrupt Practices Act, or the FCPA, and the anti-corruption laws of the countries in which we operate. Those laws generally prohibit the giving of anything of value to win business. If we or our intermediaries fail to comply with the requirements of international applicable anti-corruption laws, governmental authorities in the United States or the countries in which we operate could seek to impose civil and criminal penalties, or restrict or limit our ability to do business, which could have a material adverse effect on our business, results of operations, financial condition and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need for continued or increased investment in R&amp;D may increase expenses and reduce our profitability.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business is characterized by the need for continued investment in R&amp;D. If we fail to invest sufficiently in R&amp;D, our products could become less attractive to potential customers and our business and financial condition could be materially and adversely affected. Our operating results could be materially harmed if our R&amp;D efforts fail to result in new products or if revenues fall below expectations. As a result of our commitment to invest in R&amp;D, spending levels of R&amp;D expenses as a percentage of revenues may fluctuate in the future. In addition, defense prime contractors could increase their requirement for subcontractors, like us, to increase their share in the R&amp;D costs for new programs and design wins.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results of operations are subject to fluctuation from period to period and may not be an accurate indication of future performance.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While our revenues are generated through the sale of products and services across hundreds of programs with no single program contributing more than 10% of our annual revenues, we have experienced fluctuations in operating results due to shifts in timing or quantities across certain of our larger programs. Customers specify delivery date requirements that coincide with their need for our products and services on the programs in which we participate. Because these customers may use our products and services in connection with a variety of defense programs or other projects with different sizes and durations, a customer’s orders for one quarter generally do not indicate a trend for future orders by that customer or on that program. As such,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Results of operations in any period should not be considered indicative of the results to be expected for any future period.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High quarterly book-ship ratios have pressured our inventory and cash flow management at various times, necessitating increased inventory balances to ensure quarterly revenue attainment. Increased inventory balances tie up additional capital, limiting our operational flexibility. Some of our customers may have become conditioned to wait until the end of a quarter to place orders in the expectation of receiving a discount. Customers conditioned to seek quarter-end discounts increase risk and uncertainty in our financial forecasting and decrease our margins and profitability.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quarterly results may be subject to fluctuations resulting from other factors,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delays in completion of internal product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delays in shipping hardware and software or licensing design IP;</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delays in acceptance testing by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change in the mix of products sold;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customer or program order patterns;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production delays due to quality problems;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achieve or maintain quality certifications, such as AS9100;</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nonconformity with contractual or other requirements, including the need to respond to corrective action requests;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inability to scale quick reaction capability products due to low product volume;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shortages and increased costs of components;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excess and obsolescence of inventory;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delays due to the implementation of new tariffs or other trade barriers;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timing of product line transitions;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declines in quarterly revenues from previous generations of products following announcement of replacement products containing more advanced technology;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Estimates at Completion (“EAC”) on fixed price engagements, which represent a substantial percentage of our business, or inaccurate cost estimation at time of proposal, leading to unanticipated cost increases.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contracts require that our facilities remain certified at the AS9100 or ISO9001 level in order to ship products from the relevant facility. Failure to obtain or maintain the required certification may require a waiver by the customer for shipments to continue until the certification is obtained. There can be no assurance that we will receive any customer waivers if a required certification is lost or delayed.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Another factor contributing to fluctuations in our quarterly results is the fixed nature of expenditures on personnel, facilities and information technology. Expense levels for these programs are based, in significant part, on expectations of future revenues. If actual quarterly revenues are below management’s expectations, our results of operations could be adversely affected.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Over time revenue recognition is more reliant on estimates than the accounting for some of our component sales. Changes in EACs on fixed price engagements, which represent a substantial percentage of our business, also requires judgment, including in assessing risks, estimating contract revenue and costs and predicting future performance. Actual results could differ from those estimates, and changes in estimates in subsequent periods could cause our results of operations to fluctuate.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rely on the significant experience and specialized expertise of our senior management, engineering and operational staff and must retain and attract qualified and highly skilled personnel to grow our business successfully.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performance is substantially dependent on the continued services and performance of our senior management and our highly qualified team of engineers and operational staff, many of whom have numerous years of experience, specialized expertise in our industry and security clearances required for certain defense projects. If we are not successful in hiring and retaining such employees, we may not be able to extend or maintain our engineering and operational expertise and our future product development efforts could be adversely affected. Competition for hiring these employees is intense, especially individuals with specialized skills and security clearances required for our business, and we may be unable to hire and retain enough staff to implement our growth strategy or to perform on our existing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experience a disaster or other business continuity problem, we may not be able to recover successfully, which could cause material financial loss, loss of human capital, regulatory actions, reputational harm or legal liability.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If we experience a local or regional disaster or other business continuity problem, such as an earthquake, terrorist attack, pandemic or other natural or man-made disaster, our continued success will depend, in part, on the availability of our personnel, our facilities and the proper functioning of our network, telecommunication and other business systems and operations. As we scale our operations, the potential for natural or man-made disasters, political, economic, or infrastructure instabilities, or other country- or region-specific business continuity risks increases.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insurance coverage, customer indemnifications or other liability protections may be inadequate to cover our significant business risks, which could have a material adverse effect on our financial position.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may be subject, in the ordinary course of business, to losses resulting from product liability, cyber-attacks, accidents, natural disasters and other claims against us, for which we may have no insurance coverage. The policies limits and terms of coverage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Risk Related to Artificial Intelligence Technologies and Agentic AI</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use of AI tools in our internal operations and product</w:t>
        <w:noBreakHyphen/>
        <w:t>development processes, as well as the integration of customer</w:t>
        <w:noBreakHyphen/>
        <w:t>directed AI capabilities into the hardware and software we provide, exposes us to evolving technical, cybersecurity, regulatory and operational risks that could adversely affect our business, financial condition and results of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do not develop or commercialize proprietary AI or machine</w:t>
        <w:noBreakHyphen/>
        <w:t>learning models. However, we increasingly rely on third</w:t>
        <w:noBreakHyphen/>
        <w:t>party AI tools to support engineering, software development, supply</w:t>
        <w:noBreakHyphen/>
        <w:t>chain planning, quality assurance and cybersecurity monitoring. In addition, certain defense</w:t>
        <w:noBreakHyphen/>
        <w:t>electronics subsystems, modules and components that we design incorporate processing architectures, embedded software and secure data pathways intended to host or accelerate AI algorithms developed by our customers. As a subcontractor on major defense programs and a prime contractor on select efforts, our reliance on AI</w:t>
        <w:noBreakHyphen/>
        <w:t>enabled processes and AI</w:t>
        <w:noBreakHyphen/>
        <w:t>capable products introduces several risks.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AI tools used internally may generate inaccurate, incomplete or biased outputs, or may behave unpredictably when applied to complex engineering or operational data. Errors introduced by AI</w:t>
        <w:noBreakHyphen/>
        <w:t>assisted design, code generation or analysis could lead to product defects, schedule delays, rework or noncompliance with customer specifications. Because our products support mission</w:t>
        <w:noBreakHyphen/>
        <w:t>critical defense applications, any such issues could result in contractual liabilities, warranty claims or reputational harm.</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use of third</w:t>
        <w:noBreakHyphen/>
        <w:t>party AI tools and cloud</w:t>
        <w:noBreakHyphen/>
        <w:t>based AI services also increases our exposure to cybersecurity threats. Emerging “agentic AI” systems, AI models capable of autonomous action, multi</w:t>
        <w:noBreakHyphen/>
        <w:t>step task execution or self</w:t>
        <w:noBreakHyphen/>
        <w:t>directed interaction with digital environments, may amplify cyber risks by enabling adversaries to conduct more sophisticated, adaptive and scalable attacks. These threats may include automated vulnerability discovery, targeted phishing, model</w:t>
        <w:noBreakHyphen/>
        <w:t>driven malware generation, data poisoning or attempts to manipulate or compromise AI</w:t>
        <w:noBreakHyphen/>
        <w:t>assisted development pipelines. A successful attack could compromise sensitive technical data, degrade product integrity or disrupt our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hardware and embedded software we deliver may also be targeted by adversaries seeking to exploit AI</w:t>
        <w:noBreakHyphen/>
        <w:t>related interfaces, accelerators or data flows used by our customers’ AI models. Although we do not control the AI algorithms our customers deploy, vulnerabilities in our products, whether real or perceived, could be attributed to us and may result in increased scrutiny, additional testing requirements or contractual remedies.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regulatory environment for AI is rapidly evolving. Future U.S. government or DoW requirements related to responsible AI use, algorithmic assurance, data provenance, cybersecurity or supply</w:t>
        <w:noBreakHyphen/>
        <w:t>chain integrity may impose new compliance obligations on our internal processes or on the AI</w:t>
        <w:noBreakHyphen/>
        <w:t>capable hardware and software we provide. Compliance may require additional investment, redesign of certain products or changes to our development practices. Failure to meet applicable requirements could result in bid disqualification, reduced eligibility for future awards or contract termination.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Public and stakeholder concerns regarding AI, particularly in defense applications, may also lead to increased scrutiny of our practices. Negative perceptions, whether accurate or not, could affect customer confidence, employee recruitment or our ability to participate in certain programs.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Any of these risks, individually or in combination, could materially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Risks Related to Our Growth Strategy, M&amp;A and Acquisition Integration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Implementation of our growth strategy may not be successful, which could affect our ability to increase revenues and profits.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growth strategy includes developing new products, adding new customers and programs within our existing markets and entering new markets both domestically and internationally, developing our manufacturing capabilities, as well as identifying and integrating acquisitions and achieving revenue and cost synergies and economies of scale. Our ability to compete in new markets will depend upon several factors including, among others: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create demand for products in new markets;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respond to changes in our customers’ businesses by updating existing products and introducing, in a timely fashion, new products which meet the needs of our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increase our market visibility and penetration with prime defense contractors, government agencies and government funded laboratories;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quality of our new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our ability to respond rapidly to technological changes;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increase utilization of our manufacturing capacity as well as our ability to deliver on schedule and on budget;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successfully integrate acquisitions and achieve revenue and cost synergies and economies of scale.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failure to do any of the foregoing could have a material adverse effect on our business, financial condition and results of operations. In addition, we may face competition in these new markets from various companies that may have substantially greater R&amp;D resources, marketing and financial resources, manufacturing capability and/or customer support organizations.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Acquisitions may adversely affect our financial condition.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part of our strategy for growth, we may explore acquisitions or strategic alliances, which ultimately may not be completed or be beneficial to us. While we expect any acquisitions to result in synergies and other financial and operational benefits, we may be unable to realize these synergies or other benefits in the timeframe that we expect or at all. The integration process may be complex, costly and time consuming. Acquisitions may pose risks to our business,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problems and increased costs in connection with the integration of the personnel, business systems, operations, technologies or products of the acquired businesses;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layering of integration activity due to multiple overlapping acquisitions;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unanticipated issues, expenses, charges or liabilities related to the acquisitions;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implement our business plan for the combined business or to achieve anticipated increases in revenues and profitability;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diversion of management’s attention from our organic business;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adverse effects on business relationships with suppliers and customers, including the failure to retain key customers and programs;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acquired assets becoming impaired as a result of technical advancements or worse-than-expected performance by the acquired company;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rationalize supply chain, manufacturing capacity, locations, logistics and operating models to achieve anticipated economies of scale, or disruptions to supply chain, manufacturing or product design operations during the combination of facilities;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rationalize business, information and communication systems and to expand the IT infrastructure and security protocols throughout the enterprise;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volatility associated with accounting for earn-outs in a given transaction;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entering markets in which we have no, or limited, prior experience;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environmental liabilities at current or previous sites of the acquired business;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poor compliance and document retention and retrieval programs pre-acquisition at acquired companies, which may lead to liabilities for violations, or impact the business acquired when placed under our compliance programs;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unanticipated changes in applicable laws or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potential loss of key employees;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the impact of any assumed legal proceedings; and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adverse effects on our internal control over financial reporting before the acquiree’s complete integration into our control environment.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any acquisitions or investments we could: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issue stock that would dilute our existing shareholders;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incur debt and assume liabilities;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obtain financing on unfavorable terms, or not be able to obtain financing on any terms at all;</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incur amortization expenses related to acquired intangible assets or incur large and immediate write-offs;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incur large expenditures related to office closures of the acquired companies, including costs relating to the termination of employees and facility and leasehold improvement charges resulting from our having to vacate the acquired companies’ premises;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reduce the cash that would otherwise be available to fund operations or for other purposes.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may not be able to maintain the levels of revenue, earnings or operating efficiency that we and our prior acquisitions had achieved or might achieve separately. You should not place undue reliance on any anticipated synergies. In addition, our competitors could try to emulate our strategy, leading to greater competition for acquisition targets which could lead to larger competitors if they succeed in emulating our strategy.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incur substantial indebtedness.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4, 2025, we amended our Revolver, providing for a new five-year revolving credit facility with a borrowing capacity of $850.0 million. As of July 3, 2026, we had $441.5 million of outstanding borrowings on the Revolver.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Revolver accrues interest, at our option, at floating rates tied to Secured Overnight Financing Rate (“SOFR”) or the prime rate plus an applicable percentage. The applicable percentage is established pursuant to a pricing grid based on our total net leverage ratio. We are exposed to the impact of interest rate changes primarily through our borrowing activities. Subject to the limits contained in the Revolver, we may incur substantial additional debt from time to time to finance working capital, capital expenditures, investments or acquisitions, or for other purposes. If we do so, the risks related to our debt could intensify. Specifically, our debt could have important consequences to our investors, including the following: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making it more difficult for us to satisfy our obligations under our debt instruments, including, without limitation, the Revolver; and if we fail to comply with these requirements, an event of default could result;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limiting our ability to obtain additional financing to fund future working capital, capital expenditures, acquisitions or other general corporate requirements;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requiring a substantial portion of our cash flows to be dedicated to debt service payments instead of other purposes, thereby reducing the amount of cash flows available for working capital, capital expenditures, acquisitions and other general corporate purposes;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increasing our vulnerability to general adverse economic and industry conditions;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exposing us to the risk of increased interest rates as certain of our borrowings have variable interest rates, which could increase the cost of servicing our financial instruments and could materially reduce our profitability and cash flows;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limiting our flexibility in planning for and reacting to changes in the industry in which we compete;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placing us at a disadvantage compared to other, less leveraged competitors; and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Revolver contains restrictive covenants that may limit our ability to engage in activities that are in our long-term best interest. Our failure to comply with those covenants could result in an event of default which, if not cured or waived, could result in the acceleration of all our debt. And, if we were unable to repay the amounts due and payable, the lenders under the Revolver could proceed against the collateral granted to them to secure that indebtedness.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Increases in interest rates would increase the cost of servicing our financial instruments with exposure to interest rate risk and could materially reduce our profitability and cash flows. Assuming that we had $100.0 million of floating rate debt outstanding, our annual interest expense would change by approximately $1.0 million for each 100 basis point increase in interest rates. We may also incur costs related to interest rate hedges, including the termination of any such hedges. As of July 3, 2026, we had a swap agreement in effect that fixed $300.0 million of the total $441.5 million of outstanding borrowings under the Revolver at a rate of 4.66%. The movement of interest rates would affect the value of such swap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Limited or negative free cash flow as we experienced during certain prior periods could eventually lead to a challenge in servicing our debt.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have a significant amount of goodwill and intangible assets on our consolidated financial statements that are subject to impairment based upon future adverse changes in our business or prospects.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At July 3, 2026, the carrying values of goodwill and identifiable intangible assets on our balance sheet were $942.4 million and $175.8 million, respectively. We evaluate indefinite lived intangible assets and goodwill for impairment annually in the fourth quarter, or more frequently if events or changes in circumstances indicate that the asset might be impaired.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Indefinite lived intangible assets are impaired and goodwill impairment is indicated when their book value exceeds fair value. 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 The value of goodwill and intangible assets from the allocation of purchase price from our acquisitions will be derived from our business operating plans and is susceptible to an adverse change in demand, input costs or general changes in our business or industry and could require an impairment charge in the future.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Risks Related to Legal, Regulatory and Compliance Matters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face risks and uncertainties associated with defense-related contracts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Whether our contracts are directly with the U.S. government, a foreign government or one of their respective agencies, or indirectly as a subcontractor or team member, our contracts and subcontracts are subject to special risks. For example: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only entitle us to recover costs incurred, settlement expenses and profit on work completed prior to termination.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 compete for contracts in a competitive bidding process. We may not be awarded the contract if the pricing or product offering is not competitive, either at our level or the prime or subcontractor level. In the event we are awarded a contract, we are subject to protests by losing bidders of contract awards that can result in the reopening of the bidding process and changes in governmental policies or regulations and other political factors. We may be subject to multiple rebid requirements over the life of a defense program to continue to participate in such program, which can result in the loss of the program or significantly reduce our revenue or margin. Requirements for more frequent technology refreshes on defense programs may lead to increased costs and lower long-term revenues.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Consolidation among defense industry contractors has resulted in a few large contractors with increased bargaining power relative to us.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customers include U.S. government contractors who must comply with and are affected by laws and regulations relating to the formation, administration and performance of U.S. government contracts. When we contract with the U.S. government, we must comply with these laws and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us and the U.S. government.</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We sell certain products and services to U.S. and international defense contractors or directly to the U.S. government on a commercial item basis, eliminating the requirement to certify cost or pricing data. To the extent that there are interpretations or changes in the Federal Acquisition Regulations (“FAR”) regarding the qualifications necessary to sell commercial items, there could be a material impact on our business and operating results. Changes could be accelerated due to changes in our mix of business, in federal regulations, or in the interpretation of federal regulations, which may subject us to increased oversight by the Defense Contract Audit Agency (“DCAA”) for certain of our products or services. Such changes could also trigger contract coverage for a larger percentage of our contracts under the Cost Accounting Standards (“CAS”), requiring compliance with a defined set of business systems criteria. Failure to comply with applicable CAS requirements could adversely impact our ability to win future CAS-type contracts and subject us to 5% billing withholding on open cost type contracts and those subject to progress payment financing. For example, one of our business entities is currently operating on a disapproved CAS system and that business is subject to billing withholding which has resulted in approximately $0.4 million of cash withheld. We have recently completed a pre-award accounting system audit with DCAA to allow this business to perform cost-type contracts while the system remains disapproved, and we anticipate the system to be approved during fiscal 2027 upon completion of a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system audit by DCAA. Going forward, we may also need to enhance our processes and information systems to support cost estimating, accounting, purchasing and earned value management systems.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 are subject to the Department of War Cybersecurity Maturity Model Certification (“CMMC”) in connection with our defense work for the U.S. government and defense prime contractors. While currently suspended, our inability to meet the qualifications to the CMMC and any amendments may increase our costs or delay the award of contracts if we are unable to certify that we satisfy such cybersecurity requirements at our enterprise level and into our supply chain. Further, our suppliers in general are not as prepared to comply with CMMC requirements today as we are, and thus we may have to change suppliers or delay production to the extent the application of such requirements materially effects our supply chain.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U.S. government or a defense prime contractor customer could require us to relinquish data rights to a product in connection with performing work on a defense contract, which could lead to a loss of valuable technology and IP in order to participate in a government program.</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U.S. government or a defense prime contractor customer could require us to enter into cost reimbursable contracts that could offset our cost efficiency initiatives.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We anticipate that sales to our U.S. prime defense contractor customers as part of Foreign Military Sales (“FMS”) programs will be an increasing part of our business going forward. These FMS sales combine several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We must comply with security requirements pursuant to 32 CFR Part 117, formerly known as the National Industrial Security Program Operating Manual, or NISPOM, and other U.S. government security protocols when accessing sensitive information. Many of our facilities maintain a facility security clearance and many of our employees maintain a personal security clearance to access sensitive information necessary to the performance of our work on certain U.S. government contracts and subcontracts. Failure to comply with such security requirements may subject us to civil or criminal penalties, loss of access to sensitive information, loss of a U.S. government contract or subcontract or potentially debarment as a government contractor.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 may need to invest additional capital to build out higher level security infrastructure at certain of our facilities to capture new design wins on defense programs with higher level security requirements. In addition, we may need to invest in additional secure laboratory space to integrate efficiently subsystem level solutions and maintain quality assurance on current and future programs.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products are complex, and undetected defects may increase our costs, harm our reputation with customers or lead to costly litigation.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products are extremely complex and must operate successfully with complex products of our customers and their other vendors. Our products may contain undetected errors when first introduced or as we introduce product upgrades. The pressures we face to be the first to market new products or functionality and the elapsed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warranty costs and costs to support our service contracts and divert the attention of personnel from our product development efforts. Also, hostile third parties or nation states may try to install malicious code or devices into our products or software.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Risks Related to Information Technology and Intellectual Property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need to invest in new information technology systems and infrastructure to scale our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may need to adopt new information technology systems and infrastructure to scale our business and obtain the synergies from prior acquisitions as well as organic growth. Our information technology and business systems and infrastructure could create product development or production work stoppages, unnecessarily increase our inventory, negatively impact product delivery times and quality and increase our compliance costs. In addition, an inability to maximize the utility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and benefit of our current information technology and business tools could impact our ability to meet cost reduction and planned efficiency and operational improvement goals.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rely on enterprise resource planning systems and other complementary information technology systems to keep financial records, process orders, manage inventory and operate other critical functions. We have invested, and will continue to invest, significant capital and human resources in our systems and training, and we regularly implement new systems, consolidate systems or remove systems as necessary to operate our business. Any disruptions, delays or deficiencies in the transition, design or implementation of these changes could have a negative impact on our results of operations and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suffer ransomware breaches, data breaches, or phishing diversions involving the designs, schematics or source code for our products or other sensitive information, our business and financial results could be adversely affected.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constant attempts at cyber intrusion as nation-state hackers seek access to technology used in U.S. defense programs and criminal enterprise hackers, which may or may not be affiliated with foreign governments, use attacks to disable critical infrastructure and extort companies for ransom payments or sell proprietary information to third parties. We are also regularly targeted by spear phishing attacks in which an email directed at a specific individual or department is disguised to appear to be from a trusted source to obtain sensitive information. Like all DoW contractors that process, store or transmit controlled unclassified information, we must meet minimum security standards or risk losing our DoW contracts. A breach, whether physical, electronic or otherwise, of the systems on which this sensitive data is stored could lead to damage or piracy of our products or to the shutdown of business systems. If we experience a data security breach from an external source or a data exfiltration from an insider threat, we may have incident response costs, management distraction, regulatory inquiries, a loss in sales or increased costs arising from the restoration or implementation of additional security measures, any of which could adversely affect our business and financial results. Other potential costs could include damage to our reputation, loss of brand value, loss of stock market value and litigation. A security breach that involves classified information could subject us to civil or criminal penalties, loss of a government contract, loss of access to classified information or debarment as a government contractor. Similarly, a breach that involves loss of customer-provided data could subject us to loss of a customer, loss of a program or contract, litigation costs and legal damages and reputational harm. We have experienced cyber intrusions involving the loss of some proprietary data in the past which did not result in material effects on our business or operations, but we cannot assure you that any future cyber intrusion would not be material or that prior intrusions could have more material effects than initially determined. Like other defense contractors, from time to time we have experienced the loss of proprietary data due to employees retaining proprietary information in violation of company policies and applicable regulations, resulting in investigation and remediation expenses as well as the other risks outlined above. While we have deployed protective measures to counter these attacks, there is no assurance that these measures will detect all threats or prevent a cybersecurity attack because of the continuously evolving nature of such attacks.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We may be unsuccessful in protecting our intellectual property rights which could result in the loss of a competitive advantage. If we become subject to intellectual property infringement claims, we could incur significant expenses and could be prevented from selling specific products.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ability to compete effectively against other companies in our industry depends, in part, on our ability to protect our current and future proprietary technology under patent, copyright, trademark, trade secret and unfair competition laws. We cannot assure you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been subject to claims that we infringe the IP rights of others and we may become subject to such claims in the future. We cannot assure you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unauthorized disclosure of our trade secrets could harm our business.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attempt to protect our trade secrets by entering into confidentiality agreements and intellectual property assignment agreements with our employees, contractors and third parties. We also protect our trade secrets with our IT systems, internal policies, restrictive agreements and other protective actions. The people who receive our trade secrets may breach their agreements by disclosing the information to others without our authorization. If the agreements are breached and our other protective measures are bypassed or ignored, then there may not be an adequate remedy available to us because it can be expensive and time-consuming to effectively enforce our rights with no guarantees of success. The unauthorized disclosure of our trade secrets could result in harm to our business, such as a negative impact on our reputation or the ability of our competitors to sell products and services that are similar to ours and therefore reduce the demand for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trading price of our common stock may continue to be volatile, which may adversely affect our business, and investors in our common stock may experience substantial losses.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stock price has been and may continue to be volatile. This volatility may or may not be related to our operating performance. Our operating results, from time to time, may be below the expectations of public market analysts and investors, which could have a material adverse effect on the market price of our common stock. Market rumors or the dissemination of false or misleading information may impact our stock price. When the market price of a stock has been volatile, holders of that stock will sometimes file securities class action litigation against the company that issued the stock. If any shareholders were to file a lawsuit, we could incur substantial costs defending the lawsuit, which could also divert the time and attention of management. During fiscal 2023 and 2024, we experienced significant stock price declines following some of our earnings releases as well as after the announcement that the Board of Directors had concluded its review of strategic alternatives in June 2023, in each case with law firms announcing investigations after the event. On December 13, 2023, a securities class action complaint was filed against us in the U.S. District Court for the District of Massachusetts, and subsequent derivative lawsuits have been filed related to the matters asserted in the securities class action. The securities class action complaint alleged that our public disclosures in SEC filings and on earnings calls were false and/or misleading. During fiscal 2026, we settled the securities class action litigation, and our settlement in principle of the derivative claims is subject to court approval. In April 2026, five funds associated with Starboard Value LP (“Starboard”), representing approximately 14% of the class in the securities class action litigation, requested exclusion from the class by sending notice to the settlement administrator. In June 2026, Starboard filed a separate legal action against the Company in Massachusetts state court with similar allegations as the securities class action and additional claims related to its prior standstill agreement with the Company.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We have never paid cash dividends on our common stock and we do not anticipate paying any dividends in the foreseeable future.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declared or paid cash dividends on any of our classes of capital stock to date and we currently intend to retain our future earnings, if any, to fund the development and growth of our business, to reduce our level of debt, and for future mergers and acquisitions. As a result, capital appreciation, if any, of our common stock will be the sole source of gain for the foreseeable future.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larger credit facility. The sale of additional equity securities or securities convertible into our common shares could result in additional dilution to our stockholders. The incurrence of additional indebtedness would result in increased debt service obligations and could result in operating and financing covenants that would restrict our operations. We cannot assure you that financing will be available in amounts or on terms acceptable to us, if at all. If we fail to raise additional funds, we may need to sell debt or additional equity securities or to reduce our growth to a level that can be supported by our cash flow.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Provisions in our organizational documents and Massachusetts law and other actions we have taken could make it more difficult for a third party to acquire us.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Provisions of our articles of organization and by-laws could have the effect of discouraging a third party from making a proposal to acquire us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For example, on December 27, 2021, the Board of Directors adopted a Shareholder Rights Plan which, as amended, expired on the date of our annual meeting of shareholders in October 2022. The rights of holders of common stock will be subject to, and may be adversely affected by, the rights of the holders of any such class or series of preferred stock that may be issued.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 Massachusetts Business Corporation Act permits directors to look beyond the interests of shareholders and consider other constituencies in discharging their duties.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determining what the director of a Massachusetts corporation reasonably believes to be in the best interests of the corporation, a director may consider the interests of the corporation's employees, suppliers, creditors, and customers, the economy of the state, the region, and the nation, community and societal considerations and the long-term and short-term interests of the corporation and its shareholders, including the possibility that these interests may be best served by the continued independence of the corporation.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Shareholder activism could cause us to incur significant expense, disrupt our business, result in a proxy contest or litigation and impact our stock price.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subject to shareholder activism and may be subject to such activism in the future, which could result in substantial costs and divert management’s and our Board’s attention and resources from our business. Such shareholder activism could give rise to perceived uncertainties as to our future, adversely affect our relationships with our employees, customers, or suppliers and make it more difficult to attract and retain qualified personnel. We may be required to incur significant fees and other expenses related to activist shareholder matters, including for third party advisors. We may be subjected to a proxy contest or to litigation by activist investors. Our stock price has been and could be subject to significant fluctuation or otherwise be adversely affected by the events, risks and uncertainties of any shareholder activism.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1C.CYBERSECURITY</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assess and identify material risks from cybersecurity threats primarily through the work of our Chief Information Officer (“CIO”) as part of our Enterprise Risk Management (“ERM”) process and through regularly scheduled meetings of our multidisciplinary cyber critical incident response team. The ERM process, administered by management with input from business leaders and our global and corporate functions, monitors material risks facing Mercury, including cybersecurity threats. Our CIO works directly with our CFO, CLO, and other members of senior management to assess cybersecurity threats as part of the ERM process. Our CIO oversees the internal cybersecurity organization headed by our Chief Information Security Officer (our “Cybersecurity Team”).</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could be negatively impacted by a security breach, through a cyber-attack, cyber intrusion, insider threat, supply chain incident, or other significant disruption of our IT networks and related systems. See “Item 1A - Risk Factors” in this Annual Report for a further discussion of specific risks related to cybersecurity threats.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Cybersecurity Team monitors activity, scans applications and systems for vulnerabilities and risk from cybersecurity threats and creates action plans to address and track identified cybersecurity threats until they have been remediated. Activities and cybersecurity incidents are reported to our cyber critical incident response team, and the CISO, who briefs our Compliance Committee, a dedicated committee of senior management focused on regulatory compliance. Our Cybersecurity Team also routinely engages with third parties, including government agencies focused on cyber resiliency, to manage risks from cybersecurity threats. For example, we are members of the DoW Defense Industrial Base Collaborative Information Sharing Environment, the National Defense Information Sharing and Analysis Center, and the National Security Agency Enduring Security Framework as well as Infragard, a partnership between the FBI and members of the private sector for the protection of U.S. critical infrastructure. These organizations share real-time cybersecurity threat information and best practices in protecting, detecting and recovering from cybersecurity threats.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maintain an insider threat program designed to identify, assess, and address potential internal risks from within our Company. Our program evaluates potential risks consistent with industry practices, customer requirements and applicable law, including privacy and other considerations. As a government contractor, we must comply with extensive cybersecurity regulations, including the Defense Federal Acquisition Regulation Supplement related to adequately safeguarding controlled unclassified information and reporting cybersecurity incidents to the DoW. Our policies and implemented controls reflect our adherence to these requirements.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Additionally, as part of our processes to manage risks related to a breach in our information systems, management requires employees to take cybersecurity trainings and shares regular awareness updates regarding cybersecurity threats. Our Cybersecurity Team regularly tests employees throughout the year to assess the effectiveness of our cybersecurity training. We also conduct penetration testing of our network and undertake cybersecurity assessments to improve our risk mitigation and assist in the determination of a potential material impact caused by a cybersecurity incident.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provides oversight of our ERM process and other guidelines and policies governing the processes by which our CEO and senior management assess our exposure to risk, including risk from cybersecurity threats. Our management Compliance Committee receives briefings from our CIO, Chief Information Security Officer, and other members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e01e126a3eb42f1a350c3cee11901dd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of senior management on cybersecurity threats and related matters and assists the Board in its oversight and review of our ERM process.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Compliance Committee reviews our cybersecurity risk across the enterprise and our cybersecurity strategy framework and operational posture. The Compliance Committee also reviews our IT, data security and other systems, processes, policies, procedures and controls to (a) identify, assess, monitor, and mitigate cybersecurity risks; (b) identify measures to protect and safeguard against cybersecurity threats and breaches of confidential information and data and IT infrastructure and our other assets or assets of our customers or other third parties in our possession or custody; (c) support the response and management of cybersecurity threats and data breach incidents; and (d) aid in compliance with legal and regulatory requirements governing cybersecurity or data security reporting requirements.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To date, we have not experienced any cybersecurity incidents that have had a material effect on the Company or our financial position, results of operations and/or cash flows. We continue to invest in cybersecurity and enhance the resiliency of our networks and to strengthen our internal controls and processes, which are designed to help protect our systems and infrastructure, and the data they contain. For more information regarding the risks we face from cybersecurity threats, please see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2.PROPERTIES    </w:t>
      </w:r>
    </w:p>
    <w:p>
      <w:pPr>
        <w:pStyle w:val="TextBody"/>
        <w:bidi w:val="0"/>
        <w:spacing w:lineRule="auto" w:line="288" w:before="180" w:after="283"/>
        <w:ind w:left="0" w:right="0" w:firstLine="490"/>
        <w:jc w:val="left"/>
        <w:rPr/>
      </w:pPr>
      <w:r>
        <w:rPr>
          <w:rFonts w:ascii="Times New Roman;serif" w:hAnsi="Times New Roman;serif"/>
          <w:b w:val="false"/>
          <w:color w:val="000000"/>
          <w:sz w:val="20"/>
        </w:rPr>
        <w:t>The following table sets forth our significant properties as of July 3, 2026:</w:t>
      </w:r>
      <w:r>
        <w:rPr>
          <w:color w:val="000000"/>
        </w:rPr>
        <w:t> </w:t>
      </w:r>
    </w:p>
    <w:tbl>
      <w:tblPr>
        <w:tblW w:w="5518" w:type="dxa"/>
        <w:jc w:val="left"/>
        <w:tblInd w:w="0" w:type="dxa"/>
        <w:tblLayout w:type="fixed"/>
        <w:tblCellMar>
          <w:top w:w="28" w:type="dxa"/>
          <w:left w:w="28" w:type="dxa"/>
          <w:bottom w:w="28" w:type="dxa"/>
          <w:right w:w="28" w:type="dxa"/>
        </w:tblCellMar>
      </w:tblPr>
      <w:tblGrid>
        <w:gridCol w:w="725"/>
        <w:gridCol w:w="640"/>
        <w:gridCol w:w="645"/>
        <w:gridCol w:w="109"/>
        <w:gridCol w:w="109"/>
        <w:gridCol w:w="109"/>
        <w:gridCol w:w="109"/>
        <w:gridCol w:w="259"/>
        <w:gridCol w:w="259"/>
        <w:gridCol w:w="263"/>
        <w:gridCol w:w="109"/>
        <w:gridCol w:w="109"/>
        <w:gridCol w:w="109"/>
        <w:gridCol w:w="575"/>
        <w:gridCol w:w="575"/>
        <w:gridCol w:w="814"/>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Size in</w:t>
              <w:br/>
              <w:t>Sq.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Commitment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Andover, MA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2032</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Phoenix, AZ</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NH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Oxnard,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2028</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Torrance,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2029</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Gulf Breeze, FL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Cypress,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2028</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Upper Saddle River, NJ</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2027</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Alpharetta, GA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2028</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Chantilly, VA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2028</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Torrance,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2029</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Huntsville, 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2031</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actively manage our facilities and are in pursuit of lease extensions or alternative locations for facilities with expiration dates in the next one to two years. In addition, we lease a number of smaller offices around the world primarily for sales and administrative purposes. See Note B and Note I to the consolidated financial statements for more information regarding our obligations under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3.LEGAL PROCEEDINGS</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ourself vigorously. The outcome of these matters, individually and in the aggregate, is not expected to have a material impact on our cash flows, results of operations, or financial position. Please see Note K to our consolidated financial statements (under the caption "Legal Claims")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4.1.INFORMATION ABOUT OUR EXECUTIVE OFFICERS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pPr>
      <w:r>
        <w:rPr>
          <w:rFonts w:ascii="Times New Roman;serif" w:hAnsi="Times New Roman;serif"/>
          <w:b w:val="false"/>
          <w:i/>
          <w:color w:val="000000"/>
          <w:sz w:val="20"/>
        </w:rPr>
        <w:t>William L. Ballhaus</w:t>
      </w:r>
      <w:r>
        <w:rPr>
          <w:rFonts w:ascii="Times New Roman;serif" w:hAnsi="Times New Roman;serif"/>
          <w:b w:val="false"/>
          <w:color w:val="000000"/>
          <w:sz w:val="20"/>
        </w:rPr>
        <w:t>, age 59, joined the Company’s Board of Directors as a non-employee director in June 2022, was appointed interim President and Chief Executive Officer on June 24, 2023, and was appointed President and CEO effective August 15, 2023. In October 2023, Mr. Ballhaus became the Company’s Chairman of the Board effective with the annual meeting of shareholders. Mr. Ballhaus has significant experience in the aerospace, defense, and technology industries, including multiple CEO roles, as well as experience in operational transformations and delivering strong results. He previously served as Chairman and CEO of Blackboard, Inc., a leading EdTech company, from 2016 until its merger with Anthology in 2021. Prior to that, he served as CEO and President of SRA International, Inc., a provider of information technology services, from 2011 until the creation of CSRA Inc. from SRA International Inc.’s and CSC’s U.S. public sector business. Before that, Mr. Ballhaus served as CEO and President of government contractor DynCorp International from 2008 to 2010. Mr. Ballhaus has also held senior leadership positions at BAE Systems, Boeing, and Hughes, where he led global government and commercial technology businesses particularly focused on software and IT.</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David E. Farnsworth</w:t>
      </w:r>
      <w:r>
        <w:rPr>
          <w:rFonts w:ascii="Times New Roman;serif" w:hAnsi="Times New Roman;serif"/>
          <w:b w:val="false"/>
          <w:color w:val="000000"/>
          <w:sz w:val="20"/>
        </w:rPr>
        <w:t>, age 66, joined Mercury in July 2023 as Executive Vice President and Chief Financial Officer. Mr. Farnsworth was the Chief Financial Officer of HawkEye 360, a radio frequency data analytics company from 2020 to 2023. Before joining HawkEye 360, Mr. Farnsworth was Vice President and Chief Financial Officer for Integrated Defense Systems of Raytheon Company from 2018 to 2020. Before that, he was CFO for the Intelligence, Information and Services segment of Raytheon. In March 2025, Mr. Farnsworth was appointed as a non-voting Board advisor at V2X Inc., and in August 2025 he was appointed to the Board at V2X, a leading facilities management, logistics and network communications services company.</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Stuart H. Kupinsky</w:t>
      </w:r>
      <w:r>
        <w:rPr>
          <w:rFonts w:ascii="Times New Roman;serif" w:hAnsi="Times New Roman;serif"/>
          <w:b w:val="false"/>
          <w:color w:val="000000"/>
          <w:sz w:val="20"/>
        </w:rPr>
        <w:t>, age 58, joined Mercury in February 2024 as Executive Vice President, Chief Legal Officer, and Corporate Secretary. Previously, Mr. Kupinsky served as Chief Legal Officer and General Counsel for five public and private technology companies, including Tekelec, Inc., a public global telecommunications technology company serving the U.S. Department of Defense until its sale to Oracle. Mr. Kupinsky was also Chief Counsel for FirstNet, a multibillion-dollar independent government agency building a nationwide network for first responders. Earlier in his career he served as a trial attorney for the U.S. Department of Justice and as a law clerk on the U.S. Court of Appeals for the Federal Circuit.</w:t>
      </w:r>
    </w:p>
    <w:p>
      <w:pPr>
        <w:pStyle w:val="TextBody"/>
        <w:bidi w:val="0"/>
        <w:spacing w:lineRule="auto" w:line="288" w:before="100" w:after="283"/>
        <w:ind w:left="0" w:right="0" w:firstLine="490"/>
        <w:jc w:val="both"/>
        <w:rPr/>
      </w:pPr>
      <w:r>
        <w:rPr>
          <w:rFonts w:ascii="Times New Roman;serif" w:hAnsi="Times New Roman;serif"/>
          <w:b w:val="false"/>
          <w:i/>
          <w:color w:val="000000"/>
          <w:sz w:val="20"/>
        </w:rPr>
        <w:t>Steven V. Ratner</w:t>
      </w:r>
      <w:r>
        <w:rPr>
          <w:rFonts w:ascii="Times New Roman;serif" w:hAnsi="Times New Roman;serif"/>
          <w:b w:val="false"/>
          <w:color w:val="000000"/>
          <w:sz w:val="20"/>
        </w:rPr>
        <w:t>, age 50, joined Mercury in May 2022 as Senior Vice President and Chief Human Resources Officer and in September 2023 he became the Company’s Executive Vice President, Chief Human Resources Officer. Mr. Ratner brings more than 25 years of human resources leadership experience with extensive HR strategy, compensation, and employee engagement expertise. Prior to Mercury, he was Vice President of Human Resources for Raytheon Missiles &amp; Defense, a Raytheon business segment with approximately $16 billion in annual revenues and over 30,000 employees worldwide, from 2020 to 2022. Prior to that, he was Vice President of Human Resources and Security at Raytheon Integrated Defense Systems from 2015 to 2020. He has held numerous HR leadership positions throughout his career.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STOCKHOLDER MATTERS AND ISSUER PURCHASES OF EQUITY SECURITIES</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tbl>
      <w:tblPr>
        <w:tblW w:w="4088" w:type="dxa"/>
        <w:jc w:val="left"/>
        <w:tblInd w:w="0" w:type="dxa"/>
        <w:tblLayout w:type="fixed"/>
        <w:tblCellMar>
          <w:top w:w="28" w:type="dxa"/>
          <w:left w:w="28" w:type="dxa"/>
          <w:bottom w:w="28" w:type="dxa"/>
          <w:right w:w="28" w:type="dxa"/>
        </w:tblCellMar>
      </w:tblPr>
      <w:tblGrid>
        <w:gridCol w:w="629"/>
        <w:gridCol w:w="554"/>
        <w:gridCol w:w="556"/>
        <w:gridCol w:w="211"/>
        <w:gridCol w:w="721"/>
        <w:gridCol w:w="109"/>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Fourth quarter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Fourth quarter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July 3, 2026, we had 319 record shareholders and 73,817 nominee holders.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shares of our common stock. We currently intend to retain any earnings for future growth. Accordingly, we do not anticipate that any cash dividends will be declared or paid on our common stock in the foreseeable future.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Net Share Settlement Plans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we made no net share settlements of our common stock in connection with the surrender of shares to cover the minimum taxes on vesting of restricted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 Plans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repurchases of common stock during the three months ended July 3, 2026. See Note O in the accompanying consolidated financial statements for more information on our share repurchase program.</w:t>
      </w:r>
    </w:p>
    <w:tbl>
      <w:tblPr>
        <w:tblW w:w="10205" w:type="dxa"/>
        <w:jc w:val="left"/>
        <w:tblInd w:w="0" w:type="dxa"/>
        <w:tblLayout w:type="fixed"/>
        <w:tblCellMar>
          <w:top w:w="28" w:type="dxa"/>
          <w:left w:w="28" w:type="dxa"/>
          <w:bottom w:w="28" w:type="dxa"/>
          <w:right w:w="28" w:type="dxa"/>
        </w:tblCellMar>
      </w:tblPr>
      <w:tblGrid>
        <w:gridCol w:w="508"/>
        <w:gridCol w:w="447"/>
        <w:gridCol w:w="455"/>
        <w:gridCol w:w="109"/>
        <w:gridCol w:w="109"/>
        <w:gridCol w:w="109"/>
        <w:gridCol w:w="437"/>
        <w:gridCol w:w="437"/>
        <w:gridCol w:w="438"/>
        <w:gridCol w:w="109"/>
        <w:gridCol w:w="109"/>
        <w:gridCol w:w="109"/>
        <w:gridCol w:w="334"/>
        <w:gridCol w:w="644"/>
        <w:gridCol w:w="172"/>
        <w:gridCol w:w="109"/>
        <w:gridCol w:w="109"/>
        <w:gridCol w:w="109"/>
        <w:gridCol w:w="775"/>
        <w:gridCol w:w="775"/>
        <w:gridCol w:w="778"/>
        <w:gridCol w:w="109"/>
        <w:gridCol w:w="109"/>
        <w:gridCol w:w="109"/>
        <w:gridCol w:w="476"/>
        <w:gridCol w:w="1866"/>
        <w:gridCol w:w="355"/>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the Plans or Programs </w:t>
            </w:r>
          </w:p>
          <w:p>
            <w:pPr>
              <w:pStyle w:val="TableContents"/>
              <w:bidi w:val="0"/>
              <w:spacing w:lineRule="auto" w:line="240" w:before="0" w:after="0"/>
              <w:jc w:val="center"/>
              <w:rPr/>
            </w:pPr>
            <w:r>
              <w:rPr>
                <w:rFonts w:ascii="Times New Roman;serif" w:hAnsi="Times New Roman;serif"/>
                <w:b/>
                <w:color w:val="000000"/>
                <w:sz w:val="16"/>
              </w:rPr>
              <w:t>($ in thousands)</w:t>
            </w:r>
            <w:r>
              <w:rPr>
                <w:rFonts w:ascii="Times New Roman;serif" w:hAnsi="Times New Roman;serif"/>
                <w:b/>
                <w:color w:val="000000"/>
                <w:sz w:val="10"/>
              </w:rPr>
              <w:t>(3)</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March 28, 2026 - May 1,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May 2, 2026 - May 29, 2026</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May 30, 2026 - July 3,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We close our books and records for each 52-week or 53-week fiscal year on the Friday closest to the last day in June to align our financial close with our business processes and needs. As a result, our fiscal months often differ from calendar months. For example, July 3, 2026 was the last day of our June 2026 fiscal month.</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Excludes commissions paid and other costs of execution, including taxes.</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 xml:space="preserve">(3) On November 3, 2025, the Board of Directors authorized a new share repurchase program for the purchase of up to $200.0 million of our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Equity Compensation Plans</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Shareholders Meeting.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May 7, 2026, Stuart H. Kupinsky, the Company’s Executive Vice President, Chief Legal Officer, and Corporate Secretary, adopted a trading arrangement intended to comply with Rule 10b5</w:t>
        <w:noBreakHyphen/>
        <w:t xml:space="preserve">1 under the Securities Exchange Act of 1934,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e01e126a3eb42f1a350c3cee11901dd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amended. The plan provides for the potential sale of up to 10,000 shares of the Company’s common stock, subject to the terms and conditions of the plan. The plan is scheduled to expire on May 28, 2027. The adoption of the plan was made during an open trading window and at a time when the executive represented that they were not in possession of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6.[RESERVED]</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From time to time, information provided, statements made by our employees or information included in our filings with the SEC may contain statements that are not historical facts but that are “forward-looking statements,” which involve risks and uncertainties.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cost increases, our inability to increase production and deliver products on time and with appropriate quality, continued funding of defense programs, the timing and amounts of such funding, general economic and business conditions, including unforeseen weakness in our markets, effects of any U.S. federal government shutdown or extended continuing resolution, effects of increasingly volatile geopolitical events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our products, shortages or delays in receiving components, supply chain delays or volatility for critical components, production delays or unanticipated expenses including due to quality issues or manufacturing execution issues, failure to meet contractual performance specifications,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adverse findings in government audits or investigations,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including the risks from heightened, persistent, and increasingly sophisticated nation-state level cyberattacks and emerging threats associated with agentic AI-enabled cyber tools, changes in tax rates or tax regulations, changes to interest rate swaps or other cash flow hedging arrangements, changes to generally accepted accounting principles, difficulties in retaining key employees and customers, litigation, including the state law claim related to our settled federal securities class action lawsuit,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Mercury Systems is a global leader in aerospace and defense electronics, providing breakthrough capabilities in signal and data processing. With a four-decade legacy of innovation that spans silicon to systems and RF front ends to effectors, we accelerate commercial technology adoption to deliver powerful and secure mission-critical processing solutions to the edge. We are headquartered in Andover, Massachusetts, and have multiple locations worldwide. Our end-to-end processing ecosystem, the Mercury Processing Platform, is built on technologies we have developed and acquired over 40 years. Our technologies are available as standard products or custom solutions from silicon to system scale to ensure interoperability, reduced complexity, optimized performance and speed development.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As a leading manufacturer of essential components, modules and subsystems, we sell to the top U.S. and European defense prime contractors, the U.S. government and OEM commercial aerospace companies. Our customers deploy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solutions for a variety of applications including sensor and radar processing, electronic warfare, avionics, weapons, and C4I. We deliver a trusted, robust portfolio of proven capabilities, built on the most advanced commercial silicon technologies to exceed the performance needs of our defense and commercial customers.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capabilities, technology, people, culture and R&amp;D strategy all differentiate Mercury in the aerospace and defense industry. We maintain our technological edge by investing in the critical building blocks of processing, developing valuable IP and embracing open standards and architectures. This lets us rapidly shape these building blocks into products and solutions for highly data-intensive missions, including emerging areas like AI processing at the edge.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of July 3, 2026, we had 2,102 employees. Our consolidated revenues, net loss, diluted net loss per share, adjusted earnings per share and adjusted EBITDA for fiscal 2026 were $983.6 million, $(29.7) million, $(0.50), $1.06 and $150.2 million, respectively. Our consolidated revenues, net loss, diluted net loss per share, adjusted earnings per share and adjusted EBITDA for fiscal 2025 were $912.0 million, $(37.9) million, $(0.65), $0.64 and $119.4 million, respectively. See the Non-GAAP Financial Measures section for a reconciliation to our most directly comparable GAAP financial measures.</w:t>
      </w:r>
    </w:p>
    <w:p>
      <w:pPr>
        <w:pStyle w:val="TextBody"/>
        <w:bidi w:val="0"/>
        <w:spacing w:lineRule="auto" w:line="288" w:before="240" w:after="283"/>
        <w:jc w:val="both"/>
        <w:rPr/>
      </w:pPr>
      <w:r>
        <w:rPr>
          <w:rFonts w:ascii="Times New Roman;serif" w:hAnsi="Times New Roman;serif"/>
          <w:b/>
          <w:color w:val="000000"/>
          <w:sz w:val="20"/>
        </w:rPr>
        <w:t>B</w:t>
      </w:r>
      <w:r>
        <w:rPr>
          <w:rFonts w:ascii="Times New Roman;serif" w:hAnsi="Times New Roman;serif"/>
          <w:b/>
          <w:color w:val="000000"/>
          <w:sz w:val="16"/>
        </w:rPr>
        <w:t>USINESS</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EVELOPMENTS</w:t>
      </w:r>
      <w:r>
        <w:rPr>
          <w:rFonts w:ascii="Times New Roman;serif" w:hAnsi="Times New Roman;serif"/>
          <w:b/>
          <w:color w:val="000000"/>
          <w:sz w:val="20"/>
        </w:rPr>
        <w: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FISCAL 2026</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November 3, 2025, the Board of Directors authorized a new share repurchase program for the purchase of up to $200.0 million of our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Repurchased shares are accounted for as authorized and unissued shares. All share repurchases are made in accordance with Rule 10b-18. As of July 3, 2026, there was $185.0 million available for future share repurchases under this share repurchase program See Note O in the accompanying consolidated financial statements for more information on our share repurchase program.</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November 4, 2025, we executed Amendment No. 7 to the Revolver. This amendment extended the maturity date of the credit facility by five years to November 4, 2030 with a facility size of $850.0 million. We had $591.5 million in outstanding borrowings prior to the closing of Amendment No. 7. On April 30, 2026, we repaid $150.0 million of the Revolver, leaving $441.5 million drawn on the Revolver as of that date. The repayment was funded with available cash on hand and did not affect our assessment of liquidity or capital resources. We remained in compliance with all applicable financial covenants both before and after the partial repayment. We continue to evaluate opportunities to further reduce outstanding borrowings under the facility depending on market conditions, operational requirements and cash flows. See Note L in the accompanying consolidated financial statements for further discussions of the Revolver.</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March 3, 2026, we completed the asset acquisition of a provider of specialized manufacturing processes that support key Mercury programs that are ramping into production.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we entered into a $100.0 million committed Receivables Purchase Agreement ("RPA") with a new party. The RPA has an initial term of one year. Pursuant to the RPA, the new party committed to purchase receivables at a discount from a list of certain of our customers, maintaining a balance of purchased receivables at or below $100.0 million. On June 4, 2026, we terminated the Receivables Purchase and Servicing Agreement ("RPSA") in conjunction with entering into the new RPA.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FISCAL 2025</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August 13, 2024, we entered into Amendment No. 6 (“Amendment No. 6”) to our credit agreement dated May 2, 2016, as amended to date. Amendment No. 6 permanently decreased borrowing capacity to $900.0 million, with a temporary reduction in credit availability to $750.0 million until we meet a minimum consolidated EBITDA level of $75.0 million excluding (a) adjustments for cost savings, operating expense reductions and synergies, (b) EAC charges and other non-cash expenses, charges, and losses addbacks and (c) deducts to reverse EAC charges previously added back, in each case for a last twelve-month period. We had $591.5 million in outstanding borrowings both prior to and following the closing of Amendment No. 6. See Note L in the accompanying consolidated financial statements for further discussions of the Revolver.</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January 29, 2025, we executed a workforce reduction that eliminated approximately 145 positions, which resulted in restructuring charges of $4.9 million for employee separation costs, which costs are classified as restructuring and other charges within our statement of operations and other comprehensive income. The headcount savings, primarily within R&amp;D and cost of revenues, are expected to yield annualized savings of approximately $15 million, a portion of which is expected to be reinvested in the business with the remainder supporting improved profitability and operating leverage for our fiscal year 2026.</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2025, we announced the departure of our Executive Vice President and Chief Operating Officer, with Mr. Ballhaus, our Chairman and CEO, leading the business operations group, with the group’s senior leaders reporting directly to him. Mr. Farnsworth, our Executive Vice President and Chief Financial Officer, assumed additional responsibilities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leading a rigorous and focused organization-wide management operating system; actioning a robust and aligned technology investment strategy; overseeing execution related customer engagements; and driving operational performance.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April 15, 2025, we entered into a strategic supply agreement under which Cicor Group acquired the Company's manufacturing operations in Plan-Les-Ouates, Switzerland, and exclusively provides contract manufacturing to supply the Company's international operations with electronic products over the next five years.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we completed an asset acquisition of Star Lab, a subsidiary of Wind River Systems, Inc., that provides anti-tamper and cybersecurity software solutions designed to protect mission-critical processors from advanced attacks. </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2026 V</w:t>
      </w:r>
      <w:r>
        <w:rPr>
          <w:rFonts w:ascii="Times New Roman;serif" w:hAnsi="Times New Roman;serif"/>
          <w:b/>
          <w:color w:val="000000"/>
          <w:sz w:val="16"/>
        </w:rPr>
        <w:t>S</w:t>
      </w:r>
      <w:r>
        <w:rPr>
          <w:rFonts w:ascii="Times New Roman;serif" w:hAnsi="Times New Roman;serif"/>
          <w:b/>
          <w:color w:val="000000"/>
          <w:sz w:val="20"/>
        </w:rPr>
        <w:t>. 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 xml:space="preserve">2025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Refer to Item 7 of the Company's Form 10-K issued on August 11, 2025 for prior year discussion related to fiscal 2025.</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There were 53 weeks and 52 weeks included in the results of operations for fiscal 2026 and fiscal 2025, respectively.</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for the periods indicated, financial data from the Consolidated Statements of Operations and Comprehensive Loss:</w:t>
      </w:r>
    </w:p>
    <w:tbl>
      <w:tblPr>
        <w:tblW w:w="9200" w:type="dxa"/>
        <w:jc w:val="left"/>
        <w:tblInd w:w="0" w:type="dxa"/>
        <w:tblLayout w:type="fixed"/>
        <w:tblCellMar>
          <w:top w:w="28" w:type="dxa"/>
          <w:left w:w="28" w:type="dxa"/>
          <w:bottom w:w="28" w:type="dxa"/>
          <w:right w:w="28" w:type="dxa"/>
        </w:tblCellMar>
      </w:tblPr>
      <w:tblGrid>
        <w:gridCol w:w="1345"/>
        <w:gridCol w:w="1185"/>
        <w:gridCol w:w="1190"/>
        <w:gridCol w:w="211"/>
        <w:gridCol w:w="826"/>
        <w:gridCol w:w="109"/>
        <w:gridCol w:w="109"/>
        <w:gridCol w:w="109"/>
        <w:gridCol w:w="109"/>
        <w:gridCol w:w="308"/>
        <w:gridCol w:w="308"/>
        <w:gridCol w:w="458"/>
        <w:gridCol w:w="109"/>
        <w:gridCol w:w="109"/>
        <w:gridCol w:w="109"/>
        <w:gridCol w:w="211"/>
        <w:gridCol w:w="826"/>
        <w:gridCol w:w="109"/>
        <w:gridCol w:w="109"/>
        <w:gridCol w:w="109"/>
        <w:gridCol w:w="109"/>
        <w:gridCol w:w="308"/>
        <w:gridCol w:w="308"/>
        <w:gridCol w:w="51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provision (benefit)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0"/>
        <w:jc w:val="left"/>
        <w:rPr/>
      </w:pPr>
      <w:r>
        <w:rPr>
          <w:rFonts w:ascii="Times New Roman;serif" w:hAnsi="Times New Roman;serif"/>
          <w:b/>
          <w:color w:val="000000"/>
          <w:sz w:val="20"/>
        </w:rPr>
        <w:t>R</w:t>
      </w:r>
      <w:r>
        <w:rPr>
          <w:rFonts w:ascii="Times New Roman;serif" w:hAnsi="Times New Roman;serif"/>
          <w:b/>
          <w:color w:val="000000"/>
          <w:sz w:val="16"/>
        </w:rPr>
        <w:t>EVENUES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$71.6 million, or 7.9%, to $983.6 million during fiscal 2026, as compared to $912.0 million during fiscal 2025. Point in time revenue and over time revenue represented 53% and 47%, respectively, of total revenue during fiscal 2026. Over time revenue increased $40.5 million and point in time revenue increased $31.1 million. Point in time revenue and over time revenue represented 53% and 47%, respectively, of total revenues during fiscal 2025.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experienced revenue increases across the modules and sub-assemblies, components, and integrated solutions product groupings of $43.5 million, $15.1 million, and $13.0 million, respectively. The increase in total revenue was primarily driven by the other sensor and effector, radar, electronic warfare, and C4I end applications increases of $46.9 million, $19.1 million, $16.4 million, and $1.6 million respectively, partially offset by a decrease to other end applications of $12.2 million. We experienced increases across several of our platforms during fiscal 2026 when compared to fiscal 2025; Land, Naval, Space, and Other platforms increased $53.7 million, $23.7 million, $22.0 million, and $10.3 million respectively, partially offset by a decrease to the Airborne platform of $38.1 million. The largest program increases were related to a secure processing program, an integrated space program, SEWIP, and PGK, partially offset by Aegis and T-45. There were no programs comprising 10% or more of our revenues for fiscal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G</w:t>
      </w:r>
      <w:r>
        <w:rPr>
          <w:rFonts w:ascii="Times New Roman;serif" w:hAnsi="Times New Roman;serif"/>
          <w:b/>
          <w:color w:val="000000"/>
          <w:sz w:val="16"/>
        </w:rPr>
        <w:t>ROSS</w:t>
      </w:r>
      <w:r>
        <w:rPr>
          <w:color w:val="000000"/>
        </w:rPr>
        <w:t xml:space="preserve"> </w:t>
      </w:r>
      <w:r>
        <w:rPr>
          <w:rFonts w:ascii="Times New Roman;serif" w:hAnsi="Times New Roman;serif"/>
          <w:b/>
          <w:color w:val="000000"/>
          <w:sz w:val="20"/>
        </w:rPr>
        <w:t>M</w:t>
      </w:r>
      <w:r>
        <w:rPr>
          <w:rFonts w:ascii="Times New Roman;serif" w:hAnsi="Times New Roman;serif"/>
          <w:b/>
          <w:color w:val="000000"/>
          <w:sz w:val="16"/>
        </w:rPr>
        <w:t>ARGIN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Gross margin was 28.6% for fiscal 2026, an increase of 70 basis points from the 27.9% gross margin realized during fiscal 2025. The higher gross margin was primarily driven by lower manufacturing variances of $15.8 million, partially offset by higher scrap, inventory reserves, and warranty provisions of $3.8 million, $2.3 million, and $1.1 million, respectively. The increase was also driven by net EAC change impact on our programs recognized over time of $18.7 million recorded in the period, an incremental improvement of approximately $2.3 million, or 40 basis points, when compared to the prior period.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had the following aggregate effects of favorable and unfavorable margin impacts as a result of changes in estimates across our portfolio for the period presented:</w:t>
      </w:r>
    </w:p>
    <w:tbl>
      <w:tblPr>
        <w:tblW w:w="5863" w:type="dxa"/>
        <w:jc w:val="left"/>
        <w:tblInd w:w="0" w:type="dxa"/>
        <w:tblLayout w:type="fixed"/>
        <w:tblCellMar>
          <w:top w:w="28" w:type="dxa"/>
          <w:left w:w="28" w:type="dxa"/>
          <w:bottom w:w="28" w:type="dxa"/>
          <w:right w:w="28" w:type="dxa"/>
        </w:tblCellMar>
      </w:tblPr>
      <w:tblGrid>
        <w:gridCol w:w="1058"/>
        <w:gridCol w:w="931"/>
        <w:gridCol w:w="935"/>
        <w:gridCol w:w="109"/>
        <w:gridCol w:w="109"/>
        <w:gridCol w:w="109"/>
        <w:gridCol w:w="211"/>
        <w:gridCol w:w="796"/>
        <w:gridCol w:w="109"/>
        <w:gridCol w:w="109"/>
        <w:gridCol w:w="109"/>
        <w:gridCol w:w="109"/>
        <w:gridCol w:w="212"/>
        <w:gridCol w:w="802"/>
        <w:gridCol w:w="155"/>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favorable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changes in estimates are assessed based on historical results and cumulative adjustments are recorded to recognize revenue to date based on changes in estimated margin on programs, factored for potential risks and opportunities. We utilize the latest and best information available when revising our estimates and apply consistent judgment across the full portfolio of programs.</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ELLING</w:t>
      </w:r>
      <w:r>
        <w:rPr>
          <w:rFonts w:ascii="Times New Roman;serif" w:hAnsi="Times New Roman;serif"/>
          <w:b/>
          <w:color w:val="000000"/>
          <w:sz w:val="20"/>
        </w:rPr>
        <w:t>, G</w:t>
      </w:r>
      <w:r>
        <w:rPr>
          <w:rFonts w:ascii="Times New Roman;serif" w:hAnsi="Times New Roman;serif"/>
          <w:b/>
          <w:color w:val="000000"/>
          <w:sz w:val="16"/>
        </w:rPr>
        <w:t>ENERAL</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DMINISTRATIVE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$20.6 million, or 13.4%, to $175.0 million during fiscal 2026 as compared to $154.4 million during fiscal 2025. The increase was primarily driven by higher compensation expense of $20.5 million, of which $10.5 million was related to stock compensation. The increase was also driven by software licensing fees and litigation and settlement expense of $3.6 million and $3.5 million, respectively. These increases were partially offset by lower depreciation and consulting expense of $4.0 million and $3.2 million, respectively.</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ESEARCH</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$7.9 million, or 11.7%, to $59.7 million during fiscal 2026, as compared to $67.6 million for fiscal 2025. The decrease was primarily driven by efficiency improvements and the savings from headcount reductions of approximately 270 employees, initiated across fiscal 2025 and 2026, resulting in lower expense of $13.1 million. There was also decreased software license fees and depreciation expense of $2.0 million and $1.8 million, respectively. These decreases were partially offset by changes in engineering utilization and higher supplies expense of $7.8 million and $2.3 million, respectively.</w:t>
      </w:r>
    </w:p>
    <w:p>
      <w:pPr>
        <w:pStyle w:val="TextBody"/>
        <w:bidi w:val="0"/>
        <w:spacing w:lineRule="auto" w:line="288" w:before="180" w:after="283"/>
        <w:jc w:val="both"/>
        <w:rPr/>
      </w:pPr>
      <w:r>
        <w:rPr>
          <w:rFonts w:ascii="Times New Roman;serif" w:hAnsi="Times New Roman;serif"/>
          <w:b/>
          <w:color w:val="000000"/>
          <w:sz w:val="20"/>
        </w:rPr>
        <w:t>A</w:t>
      </w:r>
      <w:r>
        <w:rPr>
          <w:rFonts w:ascii="Times New Roman;serif" w:hAnsi="Times New Roman;serif"/>
          <w:b/>
          <w:color w:val="000000"/>
          <w:sz w:val="16"/>
        </w:rPr>
        <w:t>MORTIZATION</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NTANGIBLE</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decreased $3.9 million to $38.9 million during fiscal 2026, as compared to $42.8 million for fiscal 2025, due to various customer relationship intangibles being fully amortized in fiscal 2025 and fiscal 2026.</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ESTRUCTURING</w:t>
      </w:r>
      <w:r>
        <w:rPr>
          <w:color w:val="000000"/>
        </w:rPr>
        <w:t xml:space="preserve"> </w:t>
      </w:r>
      <w:r>
        <w:rPr>
          <w:rFonts w:ascii="Times New Roman;serif" w:hAnsi="Times New Roman;serif"/>
          <w:b/>
          <w:color w:val="000000"/>
          <w:sz w:val="16"/>
        </w:rPr>
        <w:t xml:space="preserve">AND </w:t>
      </w:r>
      <w:r>
        <w:rPr>
          <w:rFonts w:ascii="Times New Roman;serif" w:hAnsi="Times New Roman;serif"/>
          <w:b/>
          <w:color w:val="000000"/>
          <w:sz w:val="20"/>
        </w:rPr>
        <w:t>O</w:t>
      </w:r>
      <w:r>
        <w:rPr>
          <w:rFonts w:ascii="Times New Roman;serif" w:hAnsi="Times New Roman;serif"/>
          <w:b/>
          <w:color w:val="000000"/>
          <w:sz w:val="16"/>
        </w:rPr>
        <w:t xml:space="preserve">THER </w:t>
      </w:r>
      <w:r>
        <w:rPr>
          <w:rFonts w:ascii="Times New Roman;serif" w:hAnsi="Times New Roman;serif"/>
          <w:b/>
          <w:color w:val="000000"/>
          <w:sz w:val="20"/>
        </w:rPr>
        <w:t>C</w:t>
      </w:r>
      <w:r>
        <w:rPr>
          <w:rFonts w:ascii="Times New Roman;serif" w:hAnsi="Times New Roman;serif"/>
          <w:b/>
          <w:color w:val="000000"/>
          <w:sz w:val="16"/>
        </w:rPr>
        <w:t>HARGES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we incurred $5.9 million of restructuring and other charges, related to severance related charges associated with workforce reductions initiated during the period that eliminated approximately 100 positions, predominantly in selling, general and administrative, research and development, and manufacturing. Restructuring and other charges during fiscal 2025 related to severance related charges primarily associated with the reduction in workforce initiated January 29, 2025 that eliminated approximately 145 positions, predominantly in research and development.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All of the Restructuring and other charges are classified as Operating expenses in the Consolidated Statements of Operations and Comprehensive Loss and any remaining restructuring obligations are expected to be paid within the next twelve months.</w:t>
      </w:r>
    </w:p>
    <w:p>
      <w:pPr>
        <w:pStyle w:val="TextBody"/>
        <w:bidi w:val="0"/>
        <w:spacing w:lineRule="auto" w:line="288" w:before="180" w:after="283"/>
        <w:jc w:val="both"/>
        <w:rPr/>
      </w:pPr>
      <w:r>
        <w:rPr>
          <w:rFonts w:ascii="Times New Roman;serif" w:hAnsi="Times New Roman;serif"/>
          <w:b/>
          <w:color w:val="000000"/>
          <w:sz w:val="20"/>
        </w:rPr>
        <w:t>A</w:t>
      </w:r>
      <w:r>
        <w:rPr>
          <w:rFonts w:ascii="Times New Roman;serif" w:hAnsi="Times New Roman;serif"/>
          <w:b/>
          <w:color w:val="000000"/>
          <w:sz w:val="16"/>
        </w:rPr>
        <w:t>CQUISITION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OSTS</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THER</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ELATED</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XPENSES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 were $1.3 million during fiscal 2026, as compared to $2.0 million during fiscal 2025. The acquisition costs and other related expenses we incurred during fiscal 2026 includes $0.5 million related to run-rate amortization of fair value adjustments from purchase accounting as well as an immaterial amount of costs incurred in the asset acquisition of a provider of specialized manufacturing processes.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Acquisition costs during fiscal 2025 included $1.4 million related to the sale of our manufacturing operations in Switzerland and the associated supply agreement with Cicor Group as well as $0.6 million related to run-rate amortization of fair value adjustments from purchase accounting on prior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could incur acquisition costs and other related expenses periodically in the future as we continue to seek acquisition opportunities to expand our technological capabilities and especially within the sensor and effector and C4I markets. Transaction costs incurred by the acquiree prior to the consummation of an acquisition would not be reflected in our historical results of operations.</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 xml:space="preserve">NTEREST </w:t>
      </w:r>
      <w:r>
        <w:rPr>
          <w:rFonts w:ascii="Times New Roman;serif" w:hAnsi="Times New Roman;serif"/>
          <w:b/>
          <w:color w:val="000000"/>
          <w:sz w:val="20"/>
        </w:rPr>
        <w:t>I</w:t>
      </w:r>
      <w:r>
        <w:rPr>
          <w:rFonts w:ascii="Times New Roman;serif" w:hAnsi="Times New Roman;serif"/>
          <w:b/>
          <w:color w:val="000000"/>
          <w:sz w:val="16"/>
        </w:rPr>
        <w:t xml:space="preserve">NCOME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$7.7 million of interest income in fiscal 2026, as compared to $3.6 million in fiscal 2025. The increase was driven by higher average cash and cash equivalents and higher average interest rates on deposits during the period. </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 xml:space="preserve">NTEREST </w:t>
      </w:r>
      <w:r>
        <w:rPr>
          <w:rFonts w:ascii="Times New Roman;serif" w:hAnsi="Times New Roman;serif"/>
          <w:b/>
          <w:color w:val="000000"/>
          <w:sz w:val="20"/>
        </w:rPr>
        <w:t>E</w:t>
      </w:r>
      <w:r>
        <w:rPr>
          <w:rFonts w:ascii="Times New Roman;serif" w:hAnsi="Times New Roman;serif"/>
          <w:b/>
          <w:color w:val="000000"/>
          <w:sz w:val="16"/>
        </w:rPr>
        <w:t>XPENSE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Interest expense for fiscal 2026 decreased to $29.6 million, as compared to $33.4 million in fiscal 2025. The decrease was driven primarily by lower average rates and lower average borrowings on our Revolver during the period. Outstanding borrowings under our Revolver were $441.5 million and $591.5 million at July 3, 2026 and June 27, 2025, respectively.</w:t>
      </w:r>
    </w:p>
    <w:p>
      <w:pPr>
        <w:pStyle w:val="TextBody"/>
        <w:bidi w:val="0"/>
        <w:spacing w:lineRule="auto" w:line="288" w:before="180" w:after="283"/>
        <w:jc w:val="both"/>
        <w:rPr/>
      </w:pPr>
      <w:r>
        <w:rPr>
          <w:rFonts w:ascii="Times New Roman;serif" w:hAnsi="Times New Roman;serif"/>
          <w:b/>
          <w:color w:val="000000"/>
          <w:sz w:val="20"/>
        </w:rPr>
        <w:t>O</w:t>
      </w:r>
      <w:r>
        <w:rPr>
          <w:rFonts w:ascii="Times New Roman;serif" w:hAnsi="Times New Roman;serif"/>
          <w:b/>
          <w:color w:val="000000"/>
          <w:sz w:val="16"/>
        </w:rPr>
        <w:t xml:space="preserve">THER </w:t>
      </w:r>
      <w:r>
        <w:rPr>
          <w:rFonts w:ascii="Times New Roman;serif" w:hAnsi="Times New Roman;serif"/>
          <w:b/>
          <w:color w:val="000000"/>
          <w:sz w:val="20"/>
        </w:rPr>
        <w:t>E</w:t>
      </w:r>
      <w:r>
        <w:rPr>
          <w:rFonts w:ascii="Times New Roman;serif" w:hAnsi="Times New Roman;serif"/>
          <w:b/>
          <w:color w:val="000000"/>
          <w:sz w:val="16"/>
        </w:rPr>
        <w:t xml:space="preserve">XPENSE, </w:t>
      </w:r>
      <w:r>
        <w:rPr>
          <w:rFonts w:ascii="Times New Roman;serif" w:hAnsi="Times New Roman;serif"/>
          <w:b/>
          <w:color w:val="000000"/>
          <w:sz w:val="20"/>
        </w:rPr>
        <w:t>N</w:t>
      </w:r>
      <w:r>
        <w:rPr>
          <w:rFonts w:ascii="Times New Roman;serif" w:hAnsi="Times New Roman;serif"/>
          <w:b/>
          <w:color w:val="000000"/>
          <w:sz w:val="16"/>
        </w:rPr>
        <w:t>ET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Other expense, net for fiscal 2026 increased to $7.3 million, as compared to $1.0 million in fiscal 2025. The increase was primarily driven by $1.9 million of other expense during fiscal 2026, as compared to $6.2 million of other income during fiscal 2025 related to the gain associated with the sale of manufacturing operations to Cicor Group of $3.3 million and the sale of our mc.com domain name of $2.7 million. The increase was also driven by $1.1 million of net foreign currency translation losses during fiscal 2026, as compared to $1.7 million of net foreign currency translation gains during fiscal 2025. These increases were partially offset by lower securities class expense, financing costs, and consulting costs of $2.4 million, $1.5 million, and $0.5 million, respectively.</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NCOME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6"/>
        </w:rPr>
        <w:t xml:space="preserve">AXES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an income tax provision of $0.8 million and an income tax benefit of $12.5 million on losses before income taxes of $28.9 million and $50.4 million for fiscal years 2026 and 2025, respectively.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2026 differed from the federal statutory rate primarily due to nondeductible compensation and valuation allowances recorded, partially offset by tax benefits related to stock compensation.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2025 differed from the federal statutory rate primarily due to federal and state research and development tax credits, changes to reserves for unrecognized income tax benefits and state taxes, partially offset by nondeductible compensation and tax provisions related to stock compensation.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maintain a valuation allowance on our foreign net operating loss carryforwards and the majority of our state research and development tax credit carryforwards. The realizability of deferred tax assets is continuously monitored, and the need for a valuation allowance is reassessed each reporting period based on the best available information. While sufficient taxable income to utilize the remainder of deferred tax assets is currently projected, changes to our forecast could lead to the establishment of a valuation allowance in future periods.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which includes a broad range of tax provisions and extended and modified certain provisions of the Tax Cuts and Jobs Act ("TCJA"), including, but not limited to, EBITDA-based interest expense limitation and immediate expensing of domestic research and development expenditures. We have evaluated the impact of this legislation, which results primarily in a timing difference, with no material impact on our effective tax rate.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come from existing cash and cash generated from operations, our Revolver, and our ability to raise capital under our universal shelf registration statement. Our near-term fixed commitments for cash expenditures consist primarily of payments under operating leases and inventory purchase commitments. Our working capital balance, which we define as Total current assets less Cash and cash equivalents and Total current liabilities, as of July 3, 2026 was $430.6 million, as compared to $448.7 million as of June 27, 2025.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Based on our current plans and business conditions, we believe that existing cash and cash equivalents, our available Revolver, cash generated from operations and our financing capabilities will be sufficient to satisfy our anticipated cash requirements for at least the next twelve months.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4, 2023, we filed a shelf registration statement on Form S-3ASR with the SEC. The shelf registration statement, which was effective upon filing with the SEC, registered each of the following securities: debt securities,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stock, common stock, warrants and units. We intend to use the proceeds from financings using the shelf registration statement for general corporate purposes, which may include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acquisition of other companies or businesses;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repayment and refinancing of debt;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capital expenditures;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working capital;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other purposes as described in the prospectus supplement.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unlimited amount available under the shelf registration statement.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August 13, 2024, we executed Amendment No. 6 to the Revolver, decreasing the permanent borrowing capacity to $900.0 million, with a temporary reduction in credit availability to $750.0 million until we met a minimum consolidated EBITDA level of $75.0 million excluding (a) adjustments for cost savings, operating expense reductions and synergies, (b) EAC charges and other non-cash expenses, charges, and losses addbacks and (c) deducts to reverse EAC charges previously added back, in each case for a last twelve-month period. The temporary reduction in credit availability was removed as of the filing of our fiscal 2025 Q2 compliance certificate, and capacity returned to $900 million.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November 4, 2025, we executed Amendment No. 7 to the Revolver. This amendment extended the maturity date of the credit facility by five years to November 4, 2030, with a facility size of $850.0 million.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we made payments of $150.0 million on the Revolver with no additional borrowings. As of July 3, 2026, the Company was in compliance with all covenants and conditions under the Revolver. The borrowing capacity as defined under the Revolver as of July 3, 2026 is approximately $850.0 million, less outstanding borrowings of $441.5 million. See Note L in the accompanying consolidated financial statements for further discussion of the Revolver.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Receivables Purchase Agreement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2024, we entered into a $60.0 million committed RPSA. The RPSA had an initial term of two years. Pursuant to the RPSA, the new party committed to purchase receivables at a discount from a list of certain of our customers, maintaining a balance of purchased receivables at or below $60.0 million. On December 10, 2025, we amended the RPSA to increase the facility from $60.0 million to $75.0 million. On June 4, 2026, we terminated the RPSA in conjunction with entering into a new receivables purchase agreement.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June 1, 2026, we entered into a $100.0 million committed RPA with a new party. The RPA has an initial term of one year. Pursuant to the RPA, the new party committed to purchase receivables at a discount from a list of certain of our customers, maintaining a balance of purchased receivables at or below $100.0 million. We had $72.3 million of factored accounts receivable, of which $71.9 million was included within Accounts receivable, net of allowance for credit losses on our Consolidated Balance Sheet and $0.4 million was recorded in Due to factoring facility on our Consolidated Balance Sheet as of July 3, 2026. We incurred factoring fees of approximately $1.7 million during fiscal 2026. We had $60.0 million of factored accounts receivable, of which $52.2 million was included within Accounts receivable, net of allowance for credit losses on our Consolidated Balance Sheet and $7.8 million was recorded in Due to factoring facility on our Consolidated Balance Sheet as of June 27, 2025. We incurred factoring fees of approximately $1.8 million during fiscal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Agreement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November 3, 2025, the Board of Directors authorized a new share repurchase program for the purchase of up to $200.0 million of our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Repurchased shares are accounted for as authorized and unissued shares. All share repurchases are made in accordance with Rule 10b-18. During fiscal 2026, 222 shares of our common stock were repurchased under the share repurchase program at an average cost of $67.70 per share. As of July 3, 2026, there was $185.0 million available for future share repurchases under this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CASH FLOWS</w:t>
      </w:r>
    </w:p>
    <w:tbl>
      <w:tblPr>
        <w:tblW w:w="7276" w:type="dxa"/>
        <w:jc w:val="left"/>
        <w:tblInd w:w="0" w:type="dxa"/>
        <w:tblLayout w:type="fixed"/>
        <w:tblCellMar>
          <w:top w:w="28" w:type="dxa"/>
          <w:left w:w="28" w:type="dxa"/>
          <w:bottom w:w="28" w:type="dxa"/>
          <w:right w:w="28" w:type="dxa"/>
        </w:tblCellMar>
      </w:tblPr>
      <w:tblGrid>
        <w:gridCol w:w="1561"/>
        <w:gridCol w:w="1377"/>
        <w:gridCol w:w="1381"/>
        <w:gridCol w:w="211"/>
        <w:gridCol w:w="901"/>
        <w:gridCol w:w="109"/>
        <w:gridCol w:w="109"/>
        <w:gridCol w:w="109"/>
        <w:gridCol w:w="109"/>
        <w:gridCol w:w="211"/>
        <w:gridCol w:w="826"/>
        <w:gridCol w:w="109"/>
        <w:gridCol w:w="109"/>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Fiscal Years Ended </w:t>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decreased by $94.8 million during fiscal 2026 primarily as the result of the $150.0 million repayment on the Revolver, $34.3 million invested in purchases of property and equipment, $15.0 million of cash paid for shares of the Company's common stock under the share repurchase program, and $3.2 million of cash paid in deferred financing and offering costs. These outflows were partially offset by $102.4 million provided by operating activities and $5.4 million of proceeds from employee stock plans.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we had an inflow of $102.4 million in cash from operating activities compared to a $138.9 million inflow during fiscal 2025. The reduced inflow during fiscal 2026 was primarily due to lower inventory of $27.4 million, lower deferred revenues and customer advances of $26.0 million, lower prepaid expenses and other current assets of $12.2 million, and a lower inflow from depreciation and amortization expense of $9.3 million. This activity was partially offset by a higher stock-based compensation expense of $16.1 million and an inflow of $1.8 million from the benefit for deferred income taxes, as compared to an outflow of $10.6 million in the prior period.</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we invested $35.7 million, an increase of $22.2 million, as compared to $13.5 million during fiscal 2025. During fiscal 2026, we purchased property and equipment of $34.3 million and paid $1.4 million of cash in the asset acquisition of a provider of specialized manufacturing processes. During fiscal 2025, we purchased property and equipment of $19.8 million and paid $4.5 million of cash in the asset acquisition of Star Lab, partially offset by the proceeds from the sale of manufacturing operations to Cicor Group of $6.2 million, $2.7 million provided by the sale of mc.com, and an inflow of $1.9 million provided by other investing activities.</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we had $162.7 million in cash used in financing activities, as compared to $1.4 million in cash provided by financing activities during fiscal 2025. During fiscal 2026, we made payments of $150.0 million on the Revolver with no additional borrowings. Fiscal 2026 included $15.0 million of cash paid for shares of the Company's common stock under the share repurchase program, and $3.2 million of cash paid in financing costs in conjunction with the amendment to our Revolver during the second quarter of fiscal 2026. This activity was partially offset by $5.4 million of proceeds from employee stock plans. During fiscal 2025, we made no borrowings or repayments on the Revolver. Fiscal 2025 included $3.7 million of proceeds from employee stock plans, partially offset by $2.2 million of cash paid in deferred financing in conjunction with the amendment to our Revolver during the first quarter of fiscal 2025.</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OMMITMENTS</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ONTRACTUAL</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BLIGATIONS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is a schedule of our commitments and contractual obligations outstanding at July 3, 2026:</w:t>
      </w:r>
    </w:p>
    <w:tbl>
      <w:tblPr>
        <w:tblW w:w="8478" w:type="dxa"/>
        <w:jc w:val="left"/>
        <w:tblInd w:w="0" w:type="dxa"/>
        <w:tblLayout w:type="fixed"/>
        <w:tblCellMar>
          <w:top w:w="28" w:type="dxa"/>
          <w:left w:w="28" w:type="dxa"/>
          <w:bottom w:w="28" w:type="dxa"/>
          <w:right w:w="28" w:type="dxa"/>
        </w:tblCellMar>
      </w:tblPr>
      <w:tblGrid>
        <w:gridCol w:w="656"/>
        <w:gridCol w:w="579"/>
        <w:gridCol w:w="58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See Note B and Note I to the consolidated financial statements for more information regarding our obligations under leases.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Purchase obligations represent open non-cancelable purchase commitments for certain inventory components and services used in normal operations. The purchase commitments covered by these agreements aggregated $269.2 million at July 3, 2026.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had a liability of $3.5 million for uncertain tax positions that have been taken or are expected to be taken in various income tax returns as of July 3, 2026. We do not know the ultimate resolution of these uncertain tax positions and as such,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know the ultimate timing of payments related to this liability. Accordingly, these amounts are not included in the above table.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IP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may elect from time to time to purchase and subsequently retire shares of common stock in order to settle employees’ tax liabilities associated with vesting of a restricted stock award. These transactions would be treated as a use of cash in financing activities in our Consolidated Statements of Cash Flows.</w:t>
      </w:r>
    </w:p>
    <w:p>
      <w:pPr>
        <w:pStyle w:val="TextBody"/>
        <w:bidi w:val="0"/>
        <w:spacing w:lineRule="auto" w:line="288" w:before="180" w:after="283"/>
        <w:jc w:val="both"/>
        <w:rPr/>
      </w:pPr>
      <w:r>
        <w:rPr>
          <w:rFonts w:ascii="Times New Roman;serif" w:hAnsi="Times New Roman;serif"/>
          <w:b/>
          <w:color w:val="000000"/>
          <w:sz w:val="20"/>
        </w:rPr>
        <w:t>O</w:t>
      </w:r>
      <w:r>
        <w:rPr>
          <w:rFonts w:ascii="Times New Roman;serif" w:hAnsi="Times New Roman;serif"/>
          <w:b/>
          <w:color w:val="000000"/>
          <w:sz w:val="16"/>
        </w:rPr>
        <w:t>FF</w:t>
      </w:r>
      <w:r>
        <w:rPr>
          <w:rFonts w:ascii="Times New Roman;serif" w:hAnsi="Times New Roman;serif"/>
          <w:b/>
          <w:color w:val="000000"/>
          <w:sz w:val="20"/>
        </w:rPr>
        <w:t>-B</w:t>
      </w:r>
      <w:r>
        <w:rPr>
          <w:rFonts w:ascii="Times New Roman;serif" w:hAnsi="Times New Roman;serif"/>
          <w:b/>
          <w:color w:val="000000"/>
          <w:sz w:val="16"/>
        </w:rPr>
        <w:t>ALANCE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HEET</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RRANGEMENTS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Other than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and 2025, we did not engage in any related party transactions.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our periodic communications, we discuss certain important measures that are not calculated according to U.S. Generally Accepted Accounting Principles (“GAAP”), including adjusted EBITDA, adjusted income (loss), adjusted earnings (loss) per share, and free cash flow.</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before other non-operating adjustments, interest income and expense, income taxes, depreciation, amortization of intangible assets, restructuring and other charges, impairment of long-lived assets, acquisition, financing and other third party costs, fair value adjustments from purchase accounting, litigation and settlement income and expense, and stock-based and other non-cash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portion of bonus compensation for executive officers and other key employees based on operating performance, evaluating short-term and long-term operating trends in our operations and allocating resources to various initiatives and operational requirements. We believe that adjusted EBITDA permits a comparative assessment of our operating performance, relative to our performance based on our GAAP results, while isolating the effects of charges that may vary from period to period without any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 We believe that trends in our adjusted EBITDA are valuable indicators of our operating performance.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our net loss, the most directly comparable GAAP financial measure, to our adjusted EBITDA: </w:t>
      </w:r>
    </w:p>
    <w:tbl>
      <w:tblPr>
        <w:tblW w:w="8802" w:type="dxa"/>
        <w:jc w:val="left"/>
        <w:tblInd w:w="0" w:type="dxa"/>
        <w:tblLayout w:type="fixed"/>
        <w:tblCellMar>
          <w:top w:w="28" w:type="dxa"/>
          <w:left w:w="28" w:type="dxa"/>
          <w:bottom w:w="28" w:type="dxa"/>
          <w:right w:w="28" w:type="dxa"/>
        </w:tblCellMar>
      </w:tblPr>
      <w:tblGrid>
        <w:gridCol w:w="1658"/>
        <w:gridCol w:w="1460"/>
        <w:gridCol w:w="1472"/>
        <w:gridCol w:w="211"/>
        <w:gridCol w:w="826"/>
        <w:gridCol w:w="109"/>
        <w:gridCol w:w="109"/>
        <w:gridCol w:w="109"/>
        <w:gridCol w:w="109"/>
        <w:gridCol w:w="211"/>
        <w:gridCol w:w="826"/>
        <w:gridCol w:w="109"/>
        <w:gridCol w:w="109"/>
        <w:gridCol w:w="109"/>
        <w:gridCol w:w="109"/>
        <w:gridCol w:w="211"/>
        <w:gridCol w:w="90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adjustments,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financing and other third party costs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from purchase accounting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and other non-cash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Restructuring and other charges are related to management's decision to undertake certain actions to realign our cost structure through workforce reductions and the closure of certain facilities, businesses and lines of business. These charges are typically related to acquisitions and organizational redesign programs initiated as part of discrete post-acquisition integration activities. We believe these items are non-routine and may not be indicative of ongoing operating results.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Acquisition, financing and other third party costs for fiscal 2026 are related to costs incurred in the asset acquisition of a provider of specialized manufacturing processes. Acquisition, financing and other third party costs for fiscal 2025 are related to costs associated with the sale of manufacturing operations to Cicor Group and financing costs.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These non-GAAP financial measures may not be computed in the same manner as similarly titled measures used by other companies. We use these measures along with the corresponding GAAP financial measures to manage our business and to evaluate our performance compared to prior periods and the marketplace. We define adjusted income as net income before other non-operating adjustments, amortization of intangible assets, restructuring and other charges, impairment of long-lived assets, acquisition, financing and other third party costs, fair value adjustments from purchase accounting, litigation and settlement income and expense, and stock-based and other non-cash compensation expense. The impact to income taxes includes the impact to the effective tax rate, current tax provision and deferred tax provision. Adjusted EPS expresses adjusted income on a per share basis using weighted average diluted shares outstanding.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Adjusted income and adjusted EPS are non-GAAP financial measures and should not be considered in isolation or as a substitute for financial information provided in accordance with GAAP.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2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loss and diluted loss per share, the most directly comparable GAAP financial measures, to adjusted income and adjusted EPS:</w:t>
      </w:r>
    </w:p>
    <w:tbl>
      <w:tblPr>
        <w:tblW w:w="10205" w:type="dxa"/>
        <w:jc w:val="left"/>
        <w:tblInd w:w="0" w:type="dxa"/>
        <w:tblLayout w:type="fixed"/>
        <w:tblCellMar>
          <w:top w:w="28" w:type="dxa"/>
          <w:left w:w="28" w:type="dxa"/>
          <w:bottom w:w="28" w:type="dxa"/>
          <w:right w:w="28" w:type="dxa"/>
        </w:tblCellMar>
      </w:tblPr>
      <w:tblGrid>
        <w:gridCol w:w="1219"/>
        <w:gridCol w:w="698"/>
        <w:gridCol w:w="703"/>
        <w:gridCol w:w="211"/>
        <w:gridCol w:w="751"/>
        <w:gridCol w:w="109"/>
        <w:gridCol w:w="109"/>
        <w:gridCol w:w="109"/>
        <w:gridCol w:w="109"/>
        <w:gridCol w:w="211"/>
        <w:gridCol w:w="541"/>
        <w:gridCol w:w="109"/>
        <w:gridCol w:w="109"/>
        <w:gridCol w:w="109"/>
        <w:gridCol w:w="109"/>
        <w:gridCol w:w="211"/>
        <w:gridCol w:w="751"/>
        <w:gridCol w:w="109"/>
        <w:gridCol w:w="109"/>
        <w:gridCol w:w="109"/>
        <w:gridCol w:w="109"/>
        <w:gridCol w:w="211"/>
        <w:gridCol w:w="541"/>
        <w:gridCol w:w="109"/>
        <w:gridCol w:w="109"/>
        <w:gridCol w:w="109"/>
        <w:gridCol w:w="109"/>
        <w:gridCol w:w="211"/>
        <w:gridCol w:w="856"/>
        <w:gridCol w:w="109"/>
        <w:gridCol w:w="109"/>
        <w:gridCol w:w="109"/>
        <w:gridCol w:w="109"/>
        <w:gridCol w:w="211"/>
        <w:gridCol w:w="541"/>
        <w:gridCol w:w="158"/>
      </w:tblGrid>
      <w:tr>
        <w:trPr/>
        <w:tc>
          <w:tcPr>
            <w:tcW w:w="121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r>
      <w:tr>
        <w:trPr/>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diluted loss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non-operating adjustments,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Impairment of long-lived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Acquisition, financing and other third party costs</w:t>
            </w:r>
            <w:r>
              <w:rPr>
                <w:rFonts w:ascii="Times New Roman;serif" w:hAnsi="Times New Roman;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adjustments from purchase accounting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and settlement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and other non-cash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Impact to income taxes</w:t>
            </w:r>
            <w:r>
              <w:rPr>
                <w:rFonts w:ascii="Times New Roman;serif" w:hAnsi="Times New Roman;serif"/>
                <w:b w:val="false"/>
                <w:color w:val="000000"/>
                <w:sz w:val="13"/>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(loss) and adjusted diluted earnings (loss)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Restructuring and other charges are related to management's decision to undertake certain actions to realign our cost structure through workforce reductions and the closure of certain facilities, businesses and lines of business. These charges are typically related to acquisitions and organizational redesign programs initiated as part of discrete post-acquisition integration activities. We believe these items are non-routine and may not be indicative of ongoing operating results.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Acquisition, financing and other third party costs for fiscal 2026 are related to costs incurred in the asset acquisition of a provider of specialized manufacturing processes. Acquisition, financing and other third party costs for fiscal 2025 are related to costs associated with the sale of manufacturing operations to Cicor Group and financing costs.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(3) 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can be valuable indicators of our operating performance and liquidity.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cash provided by operating activities, the most directly comparable GAAP financial measure, to free cash flow:</w:t>
      </w:r>
    </w:p>
    <w:tbl>
      <w:tblPr>
        <w:tblW w:w="8234" w:type="dxa"/>
        <w:jc w:val="left"/>
        <w:tblInd w:w="0" w:type="dxa"/>
        <w:tblLayout w:type="fixed"/>
        <w:tblCellMar>
          <w:top w:w="28" w:type="dxa"/>
          <w:left w:w="28" w:type="dxa"/>
          <w:bottom w:w="28" w:type="dxa"/>
          <w:right w:w="28" w:type="dxa"/>
        </w:tblCellMar>
      </w:tblPr>
      <w:tblGrid>
        <w:gridCol w:w="1252"/>
        <w:gridCol w:w="1105"/>
        <w:gridCol w:w="1108"/>
        <w:gridCol w:w="211"/>
        <w:gridCol w:w="826"/>
        <w:gridCol w:w="109"/>
        <w:gridCol w:w="109"/>
        <w:gridCol w:w="109"/>
        <w:gridCol w:w="109"/>
        <w:gridCol w:w="211"/>
        <w:gridCol w:w="826"/>
        <w:gridCol w:w="109"/>
        <w:gridCol w:w="109"/>
        <w:gridCol w:w="109"/>
        <w:gridCol w:w="109"/>
        <w:gridCol w:w="228"/>
        <w:gridCol w:w="779"/>
        <w:gridCol w:w="117"/>
        <w:gridCol w:w="109"/>
        <w:gridCol w:w="109"/>
        <w:gridCol w:w="109"/>
        <w:gridCol w:w="109"/>
        <w:gridCol w:w="109"/>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i/>
          <w:color w:val="000000"/>
          <w:sz w:val="20"/>
        </w:rPr>
        <w:t>R</w:t>
      </w:r>
      <w:r>
        <w:rPr>
          <w:rFonts w:ascii="Times New Roman;serif" w:hAnsi="Times New Roman;serif"/>
          <w:b w:val="false"/>
          <w:i/>
          <w:color w:val="000000"/>
          <w:sz w:val="16"/>
        </w:rPr>
        <w:t>EVENUE</w:t>
      </w:r>
      <w:r>
        <w:rPr>
          <w:color w:val="000000"/>
        </w:rPr>
        <w:t xml:space="preserve"> </w:t>
      </w:r>
      <w:r>
        <w:rPr>
          <w:rFonts w:ascii="Times New Roman;serif" w:hAnsi="Times New Roman;serif"/>
          <w:b w:val="false"/>
          <w:i/>
          <w:color w:val="000000"/>
          <w:sz w:val="20"/>
        </w:rPr>
        <w:t>R</w:t>
      </w:r>
      <w:r>
        <w:rPr>
          <w:rFonts w:ascii="Times New Roman;serif" w:hAnsi="Times New Roman;serif"/>
          <w:b w:val="false"/>
          <w:i/>
          <w:color w:val="000000"/>
          <w:sz w:val="16"/>
        </w:rPr>
        <w:t>ECOGNITION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recognize revenue at a point in time or over time as the performance obligations are met. A performance obligation is a promise in a contract to transfer a distinct good or service to the customer. Contracts with distinct performance obligations recognized at a point in time, with or without an allocation of the transaction price, totaled 53% of revenues for the fiscal years ended July 3, 2026 and June 27, 2025, respectively. Total revenue recognized under contracts over time was 47% revenues for the fiscal years ended July 3, 2026 and June 27, 2025, respectively.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Revenue recognized at a point in time generally relates to contracts that include a combination of components, modules and sub-assemblies, integrated subsystems and related system integration or other services. Revenue is recognized at a point in time for these products and services (versus over time recognition) due to the following: (i) customers are only able to consume the benefits provided by us upon completion of the product or service; (ii) customers do not control the product or service prior to completion; and (iii) we do not have an enforceable right to payment at all times for performance completed to date. Accordingly, there is little judgment in determining when control of the good or service transfers to the customer, and revenue is recognized upon shipment (for goods) or completion (for services).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transaction price is allocated to each performance obligation using the standalone selling price of each distinct good or service in the contract. Standalone selling prices of our goods and services are generally not directly observable. Accordingly, the primary method used to estimate standalone selling price is the expected cost plus a margin approach, under which we forecast the expected costs of satisfying a performance obligation and then add an appropriate margin for that distinct good or service. The objective of the expected cost plus a margin approach is to determine the price at which we would transact if the product or service were sold by us on a standalone basis. Our determination of the expected cost plus a margin approach involves the consideration of several factors based on the specific facts and circumstances of each contract. Specifically, we consider the cost to produce the deliverable, the anticipated margin on that deliverable, the selling price and profit margin for similar parts, our ongoing pricing strategy and policies, often based on the price list established and updated by management on a regular basis, the value of any enhancements that have been built into the deliverable and the characteristics of the varying markets in which the deliverable is sold.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Revenue is recognized over time (versus point in time recognition) for long-term contracts with development, production and service activities where the performance obligations are satisfied over time. These over time contracts involve the design, development, manufacture, or modification of complex modules and sub-assemblies or integrated subsystems and related services. Revenue is recognized over time, given: (i) our performance creates or enhances an asset that the customer controls as the asset is created or enhanced; or (ii) our performance creates an asset with no alternative use to us and (iii) we have an enforceable right to payment for performance completed to date. We consider the nature of these contracts and the types of products and services provided when determining the proper accounting for a particular contract. These contracts include both fixed-price and cost reimbursable contracts. Our cost reimbursable contracts typically include cost-plus fixed fee and Time and Material (“T&amp;M”) contracts. We consider whether contracts should be combined or segmented, and based on this assessment, we combine closely related contracts when all the applicable criteria are met. The combination of two or more contracts requires judgment in determining whether the intent of entering into the contracts was effectively to enter into a single contract, which should be combined to reflect an overall profit rate. Similarly, we may separate an arrangement, which may consist of a single contract or group of contracts, with varying rates of profitability, only if the applicable criteria are met. Judgment also is involved in determining whether a single contract or group of contracts may be segmented based on how the arrangement and the related performance criteria were negotiated. The decision to combine a group of contracts or segment a contract could change the amount of revenue and gross profit recorded in a given period. For all types of contracts, we recognize anticipated contract losses as soon as they become known and estimable. These losses are recognized in advance of contract performance and as of July 3, 2026, approximately $4.0 million of these costs were in Accrued expenses on our Consolidated Balance Sheet.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For over time contracts, we typically leverage the input method, using a cost-to-cost measure of progress. We believe that this method represents the most faithful depiction of our performance because it directly measures value transferred to the customer. Contract estimates and estimates of any variable consideration are based on various assumptions to project the outcome of future events that may span several years. These assumptions include: the amount of time to complete the contract, including the assessment of the nature and complexity of the work to be performed; the cost and availability of materials; the availability of subcontractor services and materials; and the availability and timing of funding from the customer. We bear the risk of changes in estimates to complete on a fixed-price contract which may cause profit levels to vary from period to period. For cost reimbursable contracts, we are reimbursed periodically for allowable costs and are paid a portion of the fee based on contract progress. In the limited instances where we enter into T&amp;M contracts, revenue recognized reflects the number of direct labor hours expended in the performance of a contract multiplied by the contract billing rate, as well as reimbursement of other direct billable costs. For T&amp;M contracts, we elected to use a practical expedient permitted by ASC 606 whereby revenue is recognized in the amount for which we have a right to invoice the customer based on the control transferred to the customer. For over time contracts, we recognize anticipated contract losses as soon as they become known and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Accounting for contracts recognized over time requires significant judgment relative to estimating total contract revenues and costs, in particular, assumptions relative to the amount of time to complete the contract, including the assessment of the nature and complexity of the work to be performed. Our estimates are based upon the professional knowledge and experience of our engineers, program managers and other personnel, who review each over time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generally do not provide our customers with rights of product return other than those related to assurance warranty provisions that permit repair or replacement of defective goods over a period of 12 to 36 months. We accrue for anticipated warranty costs upon product shipment. We do not consider activities related to such assurance warranties, if any, to be a separate performance obligation. We offer separately priced extended warranties which generally range from 12 to 36 months that are treated as separate performance obligations. The transaction price allocated to extended warranties is recognized over time in proportion to the costs expected to be incurred in satisfying the obligations under the contract.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over time contracts, the portion of the payments retained by the customer is not considered a significant financing component because most contracts have a duration of less than one year and payment is received as progress is made. Many of our over time contracts have milestone payments, which align the payment schedule with the progress towards completion on the performance obligation. On some contracts, we may be entitled to receive an advance payment, which is not considered a significant financing component because it is used to facilitate inventory demands at the onset of a contract and to safeguard us from the failure of the other party to abide by some or all of their obligations under the contract.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are less than 10 percent of total revenues.</w:t>
      </w:r>
    </w:p>
    <w:p>
      <w:pPr>
        <w:pStyle w:val="TextBody"/>
        <w:bidi w:val="0"/>
        <w:spacing w:lineRule="auto" w:line="288" w:before="180" w:after="283"/>
        <w:jc w:val="both"/>
        <w:rPr/>
      </w:pPr>
      <w:r>
        <w:rPr>
          <w:rFonts w:ascii="Times New Roman;serif" w:hAnsi="Times New Roman;serif"/>
          <w:b w:val="false"/>
          <w:i/>
          <w:color w:val="000000"/>
          <w:sz w:val="20"/>
        </w:rPr>
        <w:t>I</w:t>
      </w:r>
      <w:r>
        <w:rPr>
          <w:rFonts w:ascii="Times New Roman;serif" w:hAnsi="Times New Roman;serif"/>
          <w:b w:val="false"/>
          <w:i/>
          <w:color w:val="000000"/>
          <w:sz w:val="16"/>
        </w:rPr>
        <w:t>NVENTORY</w:t>
      </w:r>
      <w:r>
        <w:rPr>
          <w:color w:val="000000"/>
        </w:rPr>
        <w:t xml:space="preserve"> </w:t>
      </w:r>
      <w:r>
        <w:rPr>
          <w:rFonts w:ascii="Times New Roman;serif" w:hAnsi="Times New Roman;serif"/>
          <w:b w:val="false"/>
          <w:i/>
          <w:color w:val="000000"/>
          <w:sz w:val="20"/>
        </w:rPr>
        <w:t>V</w:t>
      </w:r>
      <w:r>
        <w:rPr>
          <w:rFonts w:ascii="Times New Roman;serif" w:hAnsi="Times New Roman;serif"/>
          <w:b w:val="false"/>
          <w:i/>
          <w:color w:val="000000"/>
          <w:sz w:val="16"/>
        </w:rPr>
        <w:t>ALUATION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value our inventory at the lower of cost (first-in, first-out) or its net realizable value. We write down inventory for excess and obsolescence based upon assumptions about future demand, product mix and possible alternative uses. Actual demand, product mix and alternative usage may be higher or lower resulting in variations in our gross margin.</w:t>
      </w:r>
    </w:p>
    <w:p>
      <w:pPr>
        <w:pStyle w:val="TextBody"/>
        <w:bidi w:val="0"/>
        <w:spacing w:lineRule="auto" w:line="288" w:before="180" w:after="283"/>
        <w:jc w:val="both"/>
        <w:rPr/>
      </w:pPr>
      <w:r>
        <w:rPr>
          <w:rFonts w:ascii="Times New Roman;serif" w:hAnsi="Times New Roman;serif"/>
          <w:b w:val="false"/>
          <w:i/>
          <w:color w:val="000000"/>
          <w:sz w:val="20"/>
        </w:rPr>
        <w:t>G</w:t>
      </w:r>
      <w:r>
        <w:rPr>
          <w:rFonts w:ascii="Times New Roman;serif" w:hAnsi="Times New Roman;serif"/>
          <w:b w:val="false"/>
          <w:i/>
          <w:color w:val="000000"/>
          <w:sz w:val="16"/>
        </w:rPr>
        <w:t>OODWILL</w:t>
      </w:r>
      <w:r>
        <w:rPr>
          <w:rFonts w:ascii="Times New Roman;serif" w:hAnsi="Times New Roman;serif"/>
          <w:b w:val="false"/>
          <w:i/>
          <w:color w:val="000000"/>
          <w:sz w:val="20"/>
        </w:rPr>
        <w:t>, I</w:t>
      </w:r>
      <w:r>
        <w:rPr>
          <w:rFonts w:ascii="Times New Roman;serif" w:hAnsi="Times New Roman;serif"/>
          <w:b w:val="false"/>
          <w:i/>
          <w:color w:val="000000"/>
          <w:sz w:val="16"/>
        </w:rPr>
        <w:t>NTANGIBLE</w:t>
      </w:r>
      <w:r>
        <w:rPr>
          <w:color w:val="000000"/>
        </w:rPr>
        <w:t xml:space="preserve"> </w:t>
      </w:r>
      <w:r>
        <w:rPr>
          <w:rFonts w:ascii="Times New Roman;serif" w:hAnsi="Times New Roman;serif"/>
          <w:b w:val="false"/>
          <w:i/>
          <w:color w:val="000000"/>
          <w:sz w:val="20"/>
        </w:rPr>
        <w:t>A</w:t>
      </w:r>
      <w:r>
        <w:rPr>
          <w:rFonts w:ascii="Times New Roman;serif" w:hAnsi="Times New Roman;serif"/>
          <w:b w:val="false"/>
          <w:i/>
          <w:color w:val="000000"/>
          <w:sz w:val="16"/>
        </w:rPr>
        <w:t>SSETS</w:t>
      </w:r>
      <w:r>
        <w:rPr>
          <w:color w:val="000000"/>
        </w:rPr>
        <w:t xml:space="preserve"> </w:t>
      </w:r>
      <w:r>
        <w:rPr>
          <w:rFonts w:ascii="Times New Roman;serif" w:hAnsi="Times New Roman;serif"/>
          <w:b w:val="false"/>
          <w:i/>
          <w:color w:val="000000"/>
          <w:sz w:val="16"/>
        </w:rPr>
        <w:t>AND</w:t>
      </w:r>
      <w:r>
        <w:rPr>
          <w:color w:val="000000"/>
        </w:rPr>
        <w:t xml:space="preserve"> </w:t>
      </w:r>
      <w:r>
        <w:rPr>
          <w:rFonts w:ascii="Times New Roman;serif" w:hAnsi="Times New Roman;serif"/>
          <w:b w:val="false"/>
          <w:i/>
          <w:color w:val="000000"/>
          <w:sz w:val="20"/>
        </w:rPr>
        <w:t>L</w:t>
      </w:r>
      <w:r>
        <w:rPr>
          <w:rFonts w:ascii="Times New Roman;serif" w:hAnsi="Times New Roman;serif"/>
          <w:b w:val="false"/>
          <w:i/>
          <w:color w:val="000000"/>
          <w:sz w:val="16"/>
        </w:rPr>
        <w:t>ONG</w:t>
      </w:r>
      <w:r>
        <w:rPr>
          <w:rFonts w:ascii="Times New Roman;serif" w:hAnsi="Times New Roman;serif"/>
          <w:b w:val="false"/>
          <w:i/>
          <w:color w:val="000000"/>
          <w:sz w:val="20"/>
        </w:rPr>
        <w:t>-</w:t>
      </w:r>
      <w:r>
        <w:rPr>
          <w:rFonts w:ascii="Times New Roman;serif" w:hAnsi="Times New Roman;serif"/>
          <w:b w:val="false"/>
          <w:i/>
          <w:color w:val="000000"/>
          <w:sz w:val="16"/>
        </w:rPr>
        <w:t>LIVED</w:t>
      </w:r>
      <w:r>
        <w:rPr>
          <w:color w:val="000000"/>
        </w:rPr>
        <w:t xml:space="preserve"> </w:t>
      </w:r>
      <w:r>
        <w:rPr>
          <w:rFonts w:ascii="Times New Roman;serif" w:hAnsi="Times New Roman;serif"/>
          <w:b w:val="false"/>
          <w:i/>
          <w:color w:val="000000"/>
          <w:sz w:val="20"/>
        </w:rPr>
        <w:t>A</w:t>
      </w:r>
      <w:r>
        <w:rPr>
          <w:rFonts w:ascii="Times New Roman;serif" w:hAnsi="Times New Roman;serif"/>
          <w:b w:val="false"/>
          <w:i/>
          <w:color w:val="000000"/>
          <w:sz w:val="16"/>
        </w:rPr>
        <w:t>SSETS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evaluate our goodwill for impairment annually in the fourth quarter and in any interim period in which events or circumstances arise that indicate our goodwill may be impaired.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test goodwill for impairment at the reporting unit level. Goodwill impairment guidance provides entities an option to perform a qualitative assessment (commonly known as “step zero”) to determine whether further impairment testing is necessary before performing the two-step test. The qualitative assessment requires significant judgments by management about macro-economic conditions including our operating environment, industry and other market considerations, entity-specific events related to financial performance or loss of key personnel, and other events that could impact the reporting unit. If we conclude that further testing is required, the impairment test is completed. Step one compares the fair value of the reporting unit with its carrying value, including goodwill. If the carrying amount of a reporting unit exceeds the reporting unit’s fair value, the amount by which the carrying value exceeds the fair value is recognized as an impairment loss. We estimate the fair value of our reporting units using the income approach based upon a Discounted Cash Flow ("DCF") model. The income approach requires the use of many assumptions and estimates including future revenues, expenses, capital expenditures, and working capital, as well as discount factors and income tax rates. The discount rates used in the DCF model were based on a Weighted-Average Cost of Capital (“WACC”) determined from relevant market comparisons, adjusted upward for specific reporting unit risks (primarily the uncertainty of achieving projected operating cash flows). A terminal value growth rate was applied to the final year of the projected period, which reflects our estimate of stable, perpetual growth. We then calculated a present value of the respective cash flows for each reporting unit to arrive at an estimate of fair value under the income approach. Finally, we compared the estimates of our fair values to our total market capitalization to assess the reasonableness of our reporting units’ combined determined fair value.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Key assumptions of the forecast model over expected revenues, expenses, capital expenditures, and working capital, as well as discount factors and income tax rates are subject to a high degree of judgment and complexity. We make every effort to forecast future financial performance as accurately as possible with the information available at the time the forecast is developed. These assumptions were reviewed by management and compared to assumptions used in prior analyses and were deemed reasonable. There were no material changes in the key assumptions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There are inherent uncertainties and management judgment required in these determinations and risks to the forecast included but are not limited to program/product execution, transition from development to production programs, industry related make-buy decisions, and global market conditions. Changes in these estimates and assumptions could materially affect the results of our tests for goodwill impairment. We continuously monitor and evaluate relevant events and circumstances that could unfavorably impact our significant assumptions used in testing goodwill, including macroeconomic conditions, industry and market considerations, financial performance and expectations of projected financial performance and cash flows, and changes in our stock price in relation to the carrying value of its reporting units, among other relevant factors. It is possible that future changes in such circumstances, or in the inputs and assumptions used in estimating the fair value of our reporting units, could require us to perform an interim impairment assessment and record an impairment charge. In addition, we use the market approach, which compares the reporting unit to publicly traded companies and transactions involving similar businesses, to support the conclusions of the income approach.</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utilizes the management approach for determining its operating segment in accordance with ASC 280. During the second quarter of fiscal 2026, the Company completed its internal reorganization, which changed how segment management reviewed discrete financial information, by consolidating two divisions into a single integrated structure that unified all lines of business and matrixed business functions. The Company's U.S.-based businesses are now aligned into two product-oriented reporting units, Signal Technologies and Processing Technologies, a third reporting unit focused on more comprehensive solutions, Integrated Processing Solutions, and a fourth reporting unit is dedicated to bringing its advanced edge processing capabilities to the international market, Europe, the Middle East and Africa ("EMEA"). The Company concluded that the internal reorganization and change in reporting units qualified as a triggering event and required goodwill to be tested for impairment during the second quarter of fiscal 2026. As required by ASC 350, the Company tested goodwill for impairment immediately before and after the reorganization. The testing indicated that the fair values of the Company's reporting units each had an estimated fair value substantially in excess of their carrying values. As a result of these analyses, it was determined that goodwill was not impaired before or after the reorganization. There has been no change to the Company's conclusion of one operating and reportable segment in fiscal 2026.</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In accordance with FASB ASC 350, </w:t>
      </w:r>
      <w:r>
        <w:rPr>
          <w:rFonts w:ascii="Times New Roman;serif" w:hAnsi="Times New Roman;serif"/>
          <w:b w:val="false"/>
          <w:i/>
          <w:color w:val="000000"/>
          <w:sz w:val="20"/>
        </w:rPr>
        <w:t>Intangibles-Goodwill and Other</w:t>
      </w:r>
      <w:r>
        <w:rPr>
          <w:color w:val="000000"/>
        </w:rPr>
        <w:t xml:space="preserve"> </w:t>
      </w:r>
      <w:r>
        <w:rPr>
          <w:rFonts w:ascii="Times New Roman;serif" w:hAnsi="Times New Roman;serif"/>
          <w:b w:val="false"/>
          <w:color w:val="000000"/>
          <w:sz w:val="20"/>
        </w:rPr>
        <w:t xml:space="preserve">(“ASC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Component level financial information is reviewed by management across four divisions: Signal Technologies, Processing Technologies, Integrated Processing Solutions, and EMEA. Accordingly, these were determined to be the Company's reporting units.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part of our annual goodwill impairment testing, we utilized a discount rate for each of our reporting units, as defined by ASC 350, that we believe represents the risks that our businesses face, considering their sizes, the current economic environment, and other industry data we believe is appropriate. The discount rates for Signal Technologies, Processing Technologies, Integrated Processing Solutions, and EMEA were each 8.0%. The annual testing indicated that the fair values of our Signal Technologies, Processing Technologies, Integrated Processing Solutions, and EMEA reporting units had an estimated fair value substantially in excess of their carrying values, and thus no further testing was required.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review finite-lived intangible assets and long-lived assets when indications of potential impairment exist, such as a significant reduction in undiscounted cash flows associated with the assets. Should the fair value of our finite-lived intangible assets or long-lived assets decline because of reduced operating performance, market declines, or other indicators of impairment, a charge to operations for impairment may be necessary. </w:t>
      </w:r>
    </w:p>
    <w:p>
      <w:pPr>
        <w:pStyle w:val="TextBody"/>
        <w:bidi w:val="0"/>
        <w:spacing w:lineRule="auto" w:line="288" w:before="100" w:after="283"/>
        <w:jc w:val="both"/>
        <w:rPr/>
      </w:pPr>
      <w:r>
        <w:rPr>
          <w:rFonts w:ascii="Times New Roman;serif" w:hAnsi="Times New Roman;serif"/>
          <w:b w:val="false"/>
          <w:i/>
          <w:color w:val="000000"/>
          <w:sz w:val="20"/>
        </w:rPr>
        <w:t>I</w:t>
      </w:r>
      <w:r>
        <w:rPr>
          <w:rFonts w:ascii="Times New Roman;serif" w:hAnsi="Times New Roman;serif"/>
          <w:b w:val="false"/>
          <w:i/>
          <w:color w:val="000000"/>
          <w:sz w:val="16"/>
        </w:rPr>
        <w:t>NCOME</w:t>
      </w:r>
      <w:r>
        <w:rPr>
          <w:color w:val="000000"/>
        </w:rPr>
        <w:t xml:space="preserve"> </w:t>
      </w:r>
      <w:r>
        <w:rPr>
          <w:rFonts w:ascii="Times New Roman;serif" w:hAnsi="Times New Roman;serif"/>
          <w:b w:val="false"/>
          <w:i/>
          <w:color w:val="000000"/>
          <w:sz w:val="20"/>
        </w:rPr>
        <w:t>T</w:t>
      </w:r>
      <w:r>
        <w:rPr>
          <w:rFonts w:ascii="Times New Roman;serif" w:hAnsi="Times New Roman;serif"/>
          <w:b w:val="false"/>
          <w:i/>
          <w:color w:val="000000"/>
          <w:sz w:val="16"/>
        </w:rPr>
        <w:t>AXES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evaluating our ability to recover deferred tax assets, we consider all available positive and negative evidence, including our past operating results, our forecast of future earnings, future taxable income and tax planning strategies. The assumptions utilized in determining future taxable income require significant judgment. We record a valuation allowance against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We reevaluate our uncertain tax positions on a quarterly basis and any changes to these positions as a result of tax audits, tax laws or other facts and circumstances could result in additional charges to operations.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See Note B to consolidated financial statements (under the caption “Recently Issued Accounting Pronouncements”).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See Note B to consolidated financial statements (under the caption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7A.QUANTITATIVE AND QUALITATIVE DISCLOSURES ABOUT MARKET RISK</w:t>
      </w:r>
    </w:p>
    <w:p>
      <w:pPr>
        <w:pStyle w:val="TextBody"/>
        <w:bidi w:val="0"/>
        <w:spacing w:lineRule="auto" w:line="288" w:before="180" w:after="283"/>
        <w:jc w:val="left"/>
        <w:rPr/>
      </w:pPr>
      <w:r>
        <w:rPr>
          <w:rFonts w:ascii="Times New Roman;serif" w:hAnsi="Times New Roman;serif"/>
          <w:b/>
          <w:color w:val="000000"/>
          <w:sz w:val="20"/>
        </w:rPr>
        <w:t>I</w:t>
      </w:r>
      <w:r>
        <w:rPr>
          <w:rFonts w:ascii="Times New Roman;serif" w:hAnsi="Times New Roman;serif"/>
          <w:b/>
          <w:color w:val="000000"/>
          <w:sz w:val="16"/>
        </w:rPr>
        <w:t>NTEREST</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ATE</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interest rate risk is related primarily to our investment portfolio and the Revolver.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also are exposed to the impact of interest rate changes primarily through our borrowing activities. For our variable rate borrowings, we may use a fixed interest rate swap, effectively converting a portion of variable rate borrowings to fixed rate borrowings in order to mitigate the impact of interest rate changes on earnings. We utilize interest rate derivatives to mitigate interest rate exposure with respect to our financing arrangements. There were $441.5 million of outstanding borrowings against the Revolver at July 3, 2026. </w:t>
      </w:r>
    </w:p>
    <w:p>
      <w:pPr>
        <w:pStyle w:val="TextBody"/>
        <w:bidi w:val="0"/>
        <w:spacing w:lineRule="auto" w:line="288" w:before="180" w:after="283"/>
        <w:jc w:val="left"/>
        <w:rPr/>
      </w:pPr>
      <w:r>
        <w:rPr>
          <w:rFonts w:ascii="Times New Roman;serif" w:hAnsi="Times New Roman;serif"/>
          <w:b/>
          <w:color w:val="000000"/>
          <w:sz w:val="20"/>
        </w:rPr>
        <w:t>C</w:t>
      </w:r>
      <w:r>
        <w:rPr>
          <w:rFonts w:ascii="Times New Roman;serif" w:hAnsi="Times New Roman;serif"/>
          <w:b/>
          <w:color w:val="000000"/>
          <w:sz w:val="16"/>
        </w:rPr>
        <w:t>ONCENTRATION</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REDIT</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principally of cash, cash equivalents, accounts receivable, unbilled receivables and costs in excess of billings. We place our cash and cash equivalents with financial institutions with high credit quality. As of July 3, 2026 and June 27, 2025, we had $214.3 million and $309.1 million, respectively, of cash and cash equivalents on deposit or invested with our financial and lending institutions.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provide credit to customers in the normal course of business. We perform ongoing credit evaluations of our customers’ financial condition and limit the amount of credit extended when deemed necessary. As of July 3, 2026, five customers accounted for 54% of our receivables, unbilled receivables and costs in excess of billings. As of June 27, 2025, five customers accounted for 48% of our receivables, unbilled receivables and costs in excess of billings.</w:t>
      </w:r>
    </w:p>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16"/>
        </w:rPr>
        <w:t>OREIGN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URRENCY</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operate primarily in the United States; however, we conduct business outside the United States through our foreign subsidiaries in Switzerland, the United Kingdom and Spain where business is largely transacted in non-U.S. dollar currencies. Accordingly, we are subject to exposure from adverse movements in the exchange rates of local currencies. Local currencies are used as the functional currency for our non-U.S. subsidiaries. Consequently, changes in the exchange rates of the currencies may impact the translation of the foreign subsidiaries’ statements of operations into U.S. dollars, which may in turn affect our Consolidated Statement of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R</w:t>
      </w:r>
      <w:r>
        <w:rPr>
          <w:rFonts w:ascii="Times New Roman;serif" w:hAnsi="Times New Roman;serif"/>
          <w:b/>
          <w:color w:val="000000"/>
          <w:sz w:val="16"/>
        </w:rPr>
        <w:t>EPORT</w:t>
      </w:r>
      <w:r>
        <w:rPr>
          <w:color w:val="000000"/>
        </w:rPr>
        <w:t> </w:t>
      </w:r>
      <w:r>
        <w:rPr>
          <w:rFonts w:ascii="Times New Roman;serif" w:hAnsi="Times New Roman;serif"/>
          <w:b/>
          <w:color w:val="000000"/>
          <w:sz w:val="16"/>
        </w:rPr>
        <w:t>OF</w:t>
      </w:r>
      <w:r>
        <w:rPr>
          <w:color w:val="000000"/>
        </w:rPr>
        <w:t> </w:t>
      </w:r>
      <w:r>
        <w:rPr>
          <w:rFonts w:ascii="Times New Roman;serif" w:hAnsi="Times New Roman;serif"/>
          <w:b/>
          <w:color w:val="000000"/>
          <w:sz w:val="20"/>
        </w:rPr>
        <w:t>I</w:t>
      </w:r>
      <w:r>
        <w:rPr>
          <w:rFonts w:ascii="Times New Roman;serif" w:hAnsi="Times New Roman;serif"/>
          <w:b/>
          <w:color w:val="000000"/>
          <w:sz w:val="16"/>
        </w:rPr>
        <w:t>NDEPENDENT</w:t>
      </w:r>
      <w:r>
        <w:rPr>
          <w:color w:val="000000"/>
        </w:rPr>
        <w:t> </w:t>
      </w:r>
      <w:r>
        <w:rPr>
          <w:rFonts w:ascii="Times New Roman;serif" w:hAnsi="Times New Roman;serif"/>
          <w:b/>
          <w:color w:val="000000"/>
          <w:sz w:val="20"/>
        </w:rPr>
        <w:t>R</w:t>
      </w:r>
      <w:r>
        <w:rPr>
          <w:rFonts w:ascii="Times New Roman;serif" w:hAnsi="Times New Roman;serif"/>
          <w:b/>
          <w:color w:val="000000"/>
          <w:sz w:val="16"/>
        </w:rPr>
        <w:t>EGISTERED</w:t>
      </w:r>
      <w:r>
        <w:rPr>
          <w:color w:val="000000"/>
        </w:rPr>
        <w:t> </w:t>
      </w:r>
      <w:r>
        <w:rPr>
          <w:rFonts w:ascii="Times New Roman;serif" w:hAnsi="Times New Roman;serif"/>
          <w:b/>
          <w:color w:val="000000"/>
          <w:sz w:val="20"/>
        </w:rPr>
        <w:t>P</w:t>
      </w:r>
      <w:r>
        <w:rPr>
          <w:rFonts w:ascii="Times New Roman;serif" w:hAnsi="Times New Roman;serif"/>
          <w:b/>
          <w:color w:val="000000"/>
          <w:sz w:val="16"/>
        </w:rPr>
        <w:t>UBLIC</w:t>
      </w:r>
      <w:r>
        <w:rPr>
          <w:color w:val="000000"/>
        </w:rPr>
        <w:t>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w:t>
      </w:r>
      <w:r>
        <w:rPr>
          <w:rFonts w:ascii="Times New Roman;serif" w:hAnsi="Times New Roman;serif"/>
          <w:b/>
          <w:color w:val="000000"/>
          <w:sz w:val="20"/>
        </w:rPr>
        <w:t>F</w:t>
      </w:r>
      <w:r>
        <w:rPr>
          <w:rFonts w:ascii="Times New Roman;serif" w:hAnsi="Times New Roman;serif"/>
          <w:b/>
          <w:color w:val="000000"/>
          <w:sz w:val="16"/>
        </w:rPr>
        <w:t>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Mercury Systems, Inc. and subsidiaries (the Company) as of July 3, 2026 and June 27, 2025, the related consolidated statements of operations and comprehensive loss, shareholders’ equity, and cash flows for each of the years in the three-year period ended July 3, 2026, and the related notes and financial statement schedule II - valuation and qualifying accounts (collectively, the consolidated financial statements). We also have audited the Company’s internal control over financial reporting as of July 3, 2026, based on criteria established in Internal Control – Integrated Framework (2013) issued by the Committee of Sponsoring Organizations of the Treadway Commission.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July 3, 2026 and June 27, 2025, and the results of its operations and its cash flows for each of the years in the three-year period ended July 3, 2026, in conformity with U.S. generally accepted accounting principles. Also in our opinion, the Company maintained, in all material respects, effective internal control over financial reporting as of July 3, 2026 based on criteria established in Internal Control – Integrated Framework (2013) issued by the Committee of Sponsoring Organizations of the Treadway Commission.</w:t>
      </w:r>
    </w:p>
    <w:p>
      <w:pPr>
        <w:pStyle w:val="TextBody"/>
        <w:bidi w:val="0"/>
        <w:spacing w:lineRule="auto" w:line="288" w:before="60" w:after="283"/>
        <w:jc w:val="both"/>
        <w:rPr/>
      </w:pPr>
      <w:r>
        <w:rPr>
          <w:rFonts w:ascii="Times New Roman;serif" w:hAnsi="Times New Roman;serif"/>
          <w:b w:val="false"/>
          <w:i/>
          <w:color w:val="000000"/>
          <w:sz w:val="20"/>
        </w:rPr>
        <w:t>Basis for Opinions</w:t>
      </w:r>
      <w:r>
        <w:rPr>
          <w:color w:val="000000"/>
        </w:rPr>
        <w:t xml:space="preser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Definition and Limitations of Internal Control Over Financial Reporting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Estimate of total contract costs to be incurred for certain fixed price contract revenue recognized over time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B to the consolidated financial statements, revenue recognized over time for the year ended July 3, 2026 represented 47% of total revenues. For contracts where revenue is recognized over time under fixed price arrangements, the Company recognizes revenue based on the ratio of (1) actual contract costs incurred to date to (2) the Company’s estimate of total contract costs to be incurred.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identified the evaluation of total contract costs to be incurred for certain fixed price contract revenue recognized over time as a critical audit matter given the complex nature of the Company’s products sold under such contracts. In particular, evaluating the Company’s judgments regarding the amount of time to complete the contracts, including the assessment of the nature and complexity of the work to be performed, involved a high degree of subjective auditor judgment.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process to develop estimates of total contract costs to be incurred for partially completed performance obligations. This included controls related to the estimated amount of time to complete the contracts, including the assessment of the nature and complexity of the work to be performed. We considered factors, including the value and stage of completion, to select certain customers’ contracts to evaluate the Company’s assumptions underlying the estimate of total contract costs to be incurred. We inspected the selected contracts to evaluate the Company’s identification of performance obligations and the determined method for measuring contract progress. We compared the Company’s original or prior period estimate of total contract costs to be incurred to the actual costs incurred for completed contracts to assess the Company’s ability to accurately estimate costs. We inquired of operational personnel of the Company to evaluate progress to date, the estimate of remaining costs to be incurred, and factors impacting the amount of time and cost to complete the selected contracts, including the assessment of the nature and complexity of the work to be performed. We inspected correspondence, if any, between the Company and the customers for the selected contracts as part of our evaluation of contract progress.</w:t>
      </w:r>
    </w:p>
    <w:p>
      <w:pPr>
        <w:pStyle w:val="TextBody"/>
        <w:bidi w:val="0"/>
        <w:spacing w:before="0" w:after="0"/>
        <w:ind w:left="0" w:right="0" w:firstLine="720"/>
        <w:jc w:val="left"/>
        <w:rPr/>
      </w:pPr>
      <w:r>
        <w:rPr/>
      </w:r>
    </w:p>
    <w:p>
      <w:pPr>
        <w:pStyle w:val="TextBody"/>
        <w:bidi w:val="0"/>
        <w:spacing w:lineRule="auto" w:line="288" w:before="60" w:after="283"/>
        <w:ind w:left="0" w:right="0" w:firstLine="297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2006.</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August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pPr>
      <w:r>
        <w:rPr>
          <w:rFonts w:ascii="Times New Roman;serif" w:hAnsi="Times New Roman;serif"/>
          <w:b w:val="false"/>
          <w:color w:val="000000"/>
          <w:sz w:val="20"/>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763"/>
        <w:gridCol w:w="2305"/>
        <w:gridCol w:w="2302"/>
        <w:gridCol w:w="196"/>
        <w:gridCol w:w="871"/>
        <w:gridCol w:w="109"/>
        <w:gridCol w:w="109"/>
        <w:gridCol w:w="109"/>
        <w:gridCol w:w="109"/>
        <w:gridCol w:w="196"/>
        <w:gridCol w:w="871"/>
        <w:gridCol w:w="109"/>
        <w:gridCol w:w="156"/>
      </w:tblGrid>
      <w:tr>
        <w:trPr/>
        <w:tc>
          <w:tcPr>
            <w:tcW w:w="2763"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$162 and $1,767 at July 3, 2026 and June 27,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Unbilled receivables and costs in excess of billings, net of allowance for credit losses of $5,311 for both July 3, 2026 and June 27,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2,322,776 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factoring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 and customer advances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K)</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1,000,000 shares authorized; no shares issued or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85,000,000 shares authorized; 59,600,732 and 59,003,174 shares issued and outstanding at July 3, 2026 and June 27,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2,322,776 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2,434,764 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pPr>
      <w:r>
        <w:rPr>
          <w:rFonts w:ascii="Times New Roman;serif" w:hAnsi="Times New Roman;serif"/>
          <w:b w:val="false"/>
          <w:color w:val="000000"/>
          <w:sz w:val="20"/>
        </w:rPr>
        <w:t>(In thousands, except per share data)</w:t>
      </w:r>
      <w:r>
        <w:rPr>
          <w:color w:val="000000"/>
        </w:rPr>
        <w:t> </w:t>
      </w:r>
    </w:p>
    <w:tbl>
      <w:tblPr>
        <w:tblW w:w="9225" w:type="dxa"/>
        <w:jc w:val="center"/>
        <w:tblInd w:w="0" w:type="dxa"/>
        <w:tblLayout w:type="fixed"/>
        <w:tblCellMar>
          <w:top w:w="28" w:type="dxa"/>
          <w:left w:w="28" w:type="dxa"/>
          <w:bottom w:w="28" w:type="dxa"/>
          <w:right w:w="28" w:type="dxa"/>
        </w:tblCellMar>
      </w:tblPr>
      <w:tblGrid>
        <w:gridCol w:w="1773"/>
        <w:gridCol w:w="1562"/>
        <w:gridCol w:w="1569"/>
        <w:gridCol w:w="211"/>
        <w:gridCol w:w="826"/>
        <w:gridCol w:w="109"/>
        <w:gridCol w:w="109"/>
        <w:gridCol w:w="109"/>
        <w:gridCol w:w="109"/>
        <w:gridCol w:w="211"/>
        <w:gridCol w:w="826"/>
        <w:gridCol w:w="109"/>
        <w:gridCol w:w="109"/>
        <w:gridCol w:w="109"/>
        <w:gridCol w:w="109"/>
        <w:gridCol w:w="211"/>
        <w:gridCol w:w="901"/>
        <w:gridCol w:w="10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and pension benefit plan,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Years Ended July 3, 2026, June 27, 2025 and June 28, 2024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93"/>
        <w:gridCol w:w="435"/>
        <w:gridCol w:w="438"/>
        <w:gridCol w:w="360"/>
        <w:gridCol w:w="361"/>
        <w:gridCol w:w="196"/>
        <w:gridCol w:w="109"/>
        <w:gridCol w:w="109"/>
        <w:gridCol w:w="109"/>
        <w:gridCol w:w="211"/>
        <w:gridCol w:w="466"/>
        <w:gridCol w:w="109"/>
        <w:gridCol w:w="109"/>
        <w:gridCol w:w="109"/>
        <w:gridCol w:w="109"/>
        <w:gridCol w:w="211"/>
        <w:gridCol w:w="976"/>
        <w:gridCol w:w="109"/>
        <w:gridCol w:w="109"/>
        <w:gridCol w:w="109"/>
        <w:gridCol w:w="109"/>
        <w:gridCol w:w="211"/>
        <w:gridCol w:w="826"/>
        <w:gridCol w:w="109"/>
        <w:gridCol w:w="109"/>
        <w:gridCol w:w="109"/>
        <w:gridCol w:w="109"/>
        <w:gridCol w:w="246"/>
        <w:gridCol w:w="842"/>
        <w:gridCol w:w="128"/>
        <w:gridCol w:w="109"/>
        <w:gridCol w:w="109"/>
        <w:gridCol w:w="109"/>
        <w:gridCol w:w="211"/>
        <w:gridCol w:w="976"/>
        <w:gridCol w:w="156"/>
      </w:tblGrid>
      <w:tr>
        <w:trPr/>
        <w:tc>
          <w:tcPr>
            <w:tcW w:w="9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6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866"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2023</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1,566,685 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defined contribution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2024</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defined contribution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1,473,461 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incentive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defined contribution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 2026</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1,497,458 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pPr>
      <w:r>
        <w:rPr>
          <w:rFonts w:ascii="Times New Roman;serif" w:hAnsi="Times New Roman;serif"/>
          <w:b w:val="false"/>
          <w:color w:val="000000"/>
          <w:sz w:val="20"/>
        </w:rPr>
        <w:t>(In thousands)</w:t>
      </w:r>
      <w:r>
        <w:rPr>
          <w:color w:val="000000"/>
        </w:rPr>
        <w:t> </w:t>
      </w:r>
    </w:p>
    <w:tbl>
      <w:tblPr>
        <w:tblW w:w="10205" w:type="dxa"/>
        <w:jc w:val="center"/>
        <w:tblInd w:w="0" w:type="dxa"/>
        <w:tblLayout w:type="fixed"/>
        <w:tblCellMar>
          <w:top w:w="28" w:type="dxa"/>
          <w:left w:w="28" w:type="dxa"/>
          <w:bottom w:w="28" w:type="dxa"/>
          <w:right w:w="28" w:type="dxa"/>
        </w:tblCellMar>
      </w:tblPr>
      <w:tblGrid>
        <w:gridCol w:w="2231"/>
        <w:gridCol w:w="1934"/>
        <w:gridCol w:w="1951"/>
        <w:gridCol w:w="196"/>
        <w:gridCol w:w="736"/>
        <w:gridCol w:w="109"/>
        <w:gridCol w:w="109"/>
        <w:gridCol w:w="109"/>
        <w:gridCol w:w="109"/>
        <w:gridCol w:w="210"/>
        <w:gridCol w:w="792"/>
        <w:gridCol w:w="116"/>
        <w:gridCol w:w="109"/>
        <w:gridCol w:w="109"/>
        <w:gridCol w:w="109"/>
        <w:gridCol w:w="196"/>
        <w:gridCol w:w="813"/>
        <w:gridCol w:w="109"/>
        <w:gridCol w:w="158"/>
      </w:tblGrid>
      <w:tr>
        <w:trPr/>
        <w:tc>
          <w:tcPr>
            <w:tcW w:w="2231"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matching contributions on defined contribution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 for bad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settlement for termination of 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unbilled receivables, and costs in excess of billings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accrued compensation, and due to factoring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 and customer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138,851 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assets and businesses,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manufacturing operations to Cicor Group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retirement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deferred financing and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128,578 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year</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(received) during the period for: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(refunded),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activity: Purchases of property and equipment incurred but not yet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activity: Inventory transfer to 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A.</w:t>
      </w:r>
      <w:r>
        <w:rPr>
          <w:rFonts w:ascii="Times New Roman;serif" w:hAnsi="Times New Roman;serif"/>
          <w:b/>
          <w:color w:val="000000"/>
          <w:sz w:val="20"/>
        </w:rPr>
        <w:t>Description of Business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Mercury Systems, Inc. (the Company) is a global leader in aerospace and defense electronics, providing breakthrough capabilities in signal and data processing. With a four-decade legacy of innovation that spans silicon to systems and radio frequency front ends to effectors, the Company accelerates commercial technology adoption to deliver powerful and secure mission-critical processing solutions to the edge. The Company is headquartered in Andover, Massachusetts, and has multiple locations worldwide. The Company's end-to-end processing ecosystem, the Mercury Processing Platform, is built on technologies the Company has developed and acquired over 40 years. The Company's technologies are available as standard products or custom solutions from silicon to system scale to ensure interoperability, reduced complexity, optimized performance, and speed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B.</w:t>
      </w:r>
      <w:r>
        <w:rPr>
          <w:rFonts w:ascii="Times New Roman;serif" w:hAnsi="Times New Roman;serif"/>
          <w:b/>
          <w:color w:val="000000"/>
          <w:sz w:val="20"/>
        </w:rPr>
        <w:t>Summary of Significant Accounting Policies</w:t>
      </w:r>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RINCIPLES</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ONSOLIDATION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the Company and its wholly-owned subsidiaries. All intercompany transactions and balances have been eliminated in consolidation. </w:t>
      </w:r>
    </w:p>
    <w:p>
      <w:pPr>
        <w:pStyle w:val="TextBody"/>
        <w:bidi w:val="0"/>
        <w:spacing w:lineRule="auto" w:line="288" w:before="180" w:after="283"/>
        <w:jc w:val="both"/>
        <w:rPr/>
      </w:pPr>
      <w:r>
        <w:rPr>
          <w:rFonts w:ascii="Times New Roman;serif" w:hAnsi="Times New Roman;serif"/>
          <w:b/>
          <w:color w:val="000000"/>
          <w:sz w:val="20"/>
        </w:rPr>
        <w:t>B</w:t>
      </w:r>
      <w:r>
        <w:rPr>
          <w:rFonts w:ascii="Times New Roman;serif" w:hAnsi="Times New Roman;serif"/>
          <w:b/>
          <w:color w:val="000000"/>
          <w:sz w:val="16"/>
        </w:rPr>
        <w:t>ASIS OF</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RESENTATION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fiscal 2026 are to the 53-week period from June 28, 2025 to July 3, 2026. All references to fiscal 2025 are to the 52-week period from June 29, 2024 to June 27, 2025. All references to fiscal 2024 are to the 52-week period from July 1, 2023 to June 28, 2024. </w:t>
      </w:r>
    </w:p>
    <w:p>
      <w:pPr>
        <w:pStyle w:val="TextBody"/>
        <w:bidi w:val="0"/>
        <w:spacing w:lineRule="auto" w:line="288" w:before="180" w:after="283"/>
        <w:jc w:val="both"/>
        <w:rPr/>
      </w:pPr>
      <w:r>
        <w:rPr>
          <w:rFonts w:ascii="Times New Roman;serif" w:hAnsi="Times New Roman;serif"/>
          <w:b/>
          <w:color w:val="000000"/>
          <w:sz w:val="20"/>
        </w:rPr>
        <w:t>U</w:t>
      </w:r>
      <w:r>
        <w:rPr>
          <w:rFonts w:ascii="Times New Roman;serif" w:hAnsi="Times New Roman;serif"/>
          <w:b/>
          <w:color w:val="000000"/>
          <w:sz w:val="16"/>
        </w:rPr>
        <w:t>SE</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STIMATES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pStyle w:val="TextBody"/>
        <w:bidi w:val="0"/>
        <w:spacing w:lineRule="auto" w:line="288" w:before="180" w:after="283"/>
        <w:jc w:val="both"/>
        <w:rPr/>
      </w:pPr>
      <w:r>
        <w:rPr>
          <w:rFonts w:ascii="Times New Roman;serif" w:hAnsi="Times New Roman;serif"/>
          <w:b/>
          <w:color w:val="000000"/>
          <w:sz w:val="20"/>
        </w:rPr>
        <w:t>B</w:t>
      </w:r>
      <w:r>
        <w:rPr>
          <w:rFonts w:ascii="Times New Roman;serif" w:hAnsi="Times New Roman;serif"/>
          <w:b/>
          <w:color w:val="000000"/>
          <w:sz w:val="16"/>
        </w:rPr>
        <w:t>USINESS</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OMBINATIONS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The Company utilizes the acquisition method of accounting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for all transactions and events in which it obtains control over one or more other businesses, to recognize the fair value of all assets and liabilities acquired, even if less than one hundred percent ownership is acquired, and in establishing the acquisition date fair value as of the measurement date for all assets and liabilities assumed. The Company also utilizes ASC 805 for the initial recognition and measurement, subsequent measurement and accounting, and disclosure of assets and liabilities arising from contingencies in business combinations. Other estimates include: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estimated step-ups for fixed assets and inventory;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estimated fair values of intangible assets;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estimated income tax assets and liabilities assumed from the acquiree.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uses its best estimates and assumptions as part of the purchase price allocation process to accurately value assets acquired and liabilities assumed at the business acquisition date, the estimates and assumptions are inherently uncertain and subject to refinement. As a result, during the purchase price allocation period, which is generally one year from the business acquisition date, the Company records adjustments to the assets acquired and liabilities assumed, with the corresponding offset to goodwill. For changes in the valuation of intangible assets between the preliminary and final purchase price allocation, the related amortization is adjusted in the period it occurs. Subsequent to the purchase price allocation period, any adjustment to assets acquired or liabilities assumed is included in operating results in the period in which the adjustment is determined. </w:t>
      </w:r>
    </w:p>
    <w:p>
      <w:pPr>
        <w:pStyle w:val="TextBody"/>
        <w:bidi w:val="0"/>
        <w:spacing w:lineRule="auto" w:line="288" w:before="180" w:after="283"/>
        <w:jc w:val="both"/>
        <w:rPr/>
      </w:pPr>
      <w:r>
        <w:rPr>
          <w:rFonts w:ascii="Times New Roman;serif" w:hAnsi="Times New Roman;serif"/>
          <w:b/>
          <w:color w:val="000000"/>
          <w:sz w:val="20"/>
        </w:rPr>
        <w:t>L</w:t>
      </w:r>
      <w:r>
        <w:rPr>
          <w:rFonts w:ascii="Times New Roman;serif" w:hAnsi="Times New Roman;serif"/>
          <w:b/>
          <w:color w:val="000000"/>
          <w:sz w:val="16"/>
        </w:rPr>
        <w:t>EASES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The Company measures its lease obligations in accordance with ASC 842,</w:t>
      </w:r>
      <w:r>
        <w:rPr>
          <w:color w:val="000000"/>
        </w:rPr>
        <w:t xml:space="preserve"> </w:t>
      </w:r>
      <w:r>
        <w:rPr>
          <w:rFonts w:ascii="Times New Roman;serif" w:hAnsi="Times New Roman;serif"/>
          <w:b w:val="false"/>
          <w:i/>
          <w:color w:val="000000"/>
          <w:sz w:val="20"/>
        </w:rPr>
        <w:t>Leases</w:t>
      </w:r>
      <w:r>
        <w:rPr>
          <w:rFonts w:ascii="Times New Roman;serif" w:hAnsi="Times New Roman;serif"/>
          <w:b w:val="false"/>
          <w:color w:val="000000"/>
          <w:sz w:val="20"/>
        </w:rPr>
        <w:t>, (“ASC 842”), which requires lessees to recognize a Right-of-Use (“ROU”) asset and lease liability for most lease arrangements.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arrangements involving the lease of facilities. Under ASC 842, at inception of the arrangement, the Company determines whether the contract is or contains a lease and whether the lease should be classified as an operating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financing lease. This determination, among other considerations, involves an assessment of whether the Company can control the underlying asset and have the right to obtain substantially all of the economic benefits or outputs from the asset.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ROU assets and lease liabilities as of the lease commencement date based on the net present value of the future minimum lease payments over the lease term. ASC 842 requires lessees to use the rate implicit in the lease unless it is not readily determinable and then it may use its Incremental Borrowing Rate (“IBR”) to discount the future minimum lease payments. Most of the Company's lease arrangements do not provide an implicit rate; therefore, the Company uses its IBR to discount the future minimum lease payments. The Company determines its IBR with its credit rating and current economic information available as of the commencement date, as well as the identified lease term. During the assessment of the lease term, the Company considers its renewal options and extensions within the arrangements and the Company includes these options when it is reasonably certain to extend the term of the lease.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has lease arrangements with both lease and non-lease components. Consideration is allocated to lease and non-lease components based on estimated standalone prices. The Company has elected to exclude non-lease components from the calculation of its ROU assets and lease liabilities. Leases with an initial term of 12 months or less do not result in recognition of a ROU asset and a lease liability and will be expensed as incurred over the lease term. Leases of this nature were immaterial to the Company’s consolidated financial statements.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 arrangements that contain incentives for tenant improvements as well as fixed rent escalation clauses. For contracts with tenant improvement incentives that are determined to be a leasehold improvement that will be owned by the lessee and the Company is reasonably certain to exercise, it records a reduction to the lease liability and amortizes the incentive over the identified term of the lease as a reduction to rent expense. The Company records rental expense on a straight-line basis over the identified lease term on contracts with rent escalation clauses.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Finance leases are not material to the Company's consolidated financial statements and the Company is not a lessor in any material lease arrangements. There are no material restrictions, covenants, sale and leaseback transactions, variable lease payments or residual value guarantees in the Company's lease arrangements. Operating leases are included in Operating lease right-of-use assets, net, Accrued expenses, and Operating lease liabilities in the Company's Consolidated Balance Sheets. See Note I to the consolidated financial statements for more information regarding our obligations under leases.</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EVENUE</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ECOGNITION</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The Company recognizes revenue in accordance with the five step model set forth by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(“ASC 606”), which involves identification of the contract(s), identification of performance obligations in the contract, determination of the transaction price, allocation of the transaction price to the previously identified performance obligations, and revenue recognition as the performance obligations are satisfied.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During step one of the five step model, the Company considers whether contracts should be combined or segmented, and based on this assessment, the Company combines closely related contracts when all the applicable criteria are met. The combination of two or more contracts requires judgment in determining whether the intent of entering into the contracts was effectively to enter into a single contract, which should be combined to reflect an overall profit rate. Similarly, the Company may separate an arrangement, which may consist of a single contract or group of contracts, with varying rates of profitability, only if the applicable criteria are met. Judgment also is involved in determining whether a single contract or group of contracts may be segmented based on how the arrangement and the related performance criteria were negotiated. The conclusion to combine a group of contracts or segment a contract could change the amount of revenue and gross profit recorded in a given period.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the performance obligation is satisfied. 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 The Company's contracts with customers generally do not include a right of return relative to delivered products. In certain cases, contracts are modified to account for changes in the contract specifications or requirements. In most instances, contract modifications are accounted for as part of the existing contract. Certain contracts with customers have options for the customer to acquire additional goods or services. In most cases the pricing of these options are reflective of the standalone selling price of the good or service. These options do not provide the customer with a material right and are accounted for only when the customer exercises the option to purchase the additional goods or services. If the option on the customer contract was not indicative of the standalone selling price of the good or service, the material right would be accounted for as a separate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Revenues are derived from the sales of products that are grouped into one of the following three categories: (i) components; (ii) modules and sub-assemblies; and (iii) integrated solutions. The Company also generates revenues from the performance of services, including systems engineering support, consulting, maintenance and other support, testing and installation. Each promised good or service within a contract is accounted for separately under the guidance of ASC 606 if they are distinct. Promised goods or services not meeting the criteria for being a distinct performance obligation are bundled into a single performance obligation with other goods or services that together meet the criteria for being distinct. The appropriate allocation of the transaction price and recognition of revenue is then determined for the bundled performance obligation.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Once the Company identifies the performance obligations, the Company then determines the transaction price, which includes estimating the amount of variable consideration to be included in the transaction price, if any. Variable consideration typically arises due to volume discounts, or other provisions that can either decrease or increase the transaction price. To the extent the transaction price includes variable consideration, the Company estimates the amount of variable consideration that should be included in the transaction price utilizing either the expected value method or the most likely amount method depending on the method the Company expects to better predict the amount of consideration to which it will be entitled. The determination of the estimates for variable consideration require judgment, and are based on past history with similar contracts and anticipated performance. Further, variable consideration is only included in the determination of the transaction price if it is probable that a significant reversal in the amount of revenue recognized will not occur. There are no constraints on the variable consideration recorded.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transaction price is allocated to each performance obligation using the standalone selling price of each distinct good or service in the contract. Standalone selling prices of the Company’s goods and services are generally not directly observable. Accordingly, the primary method used to estimate standalone selling price is the expected cost plus a margin approach, under which the Company estimates the expected costs of satisfying a performance obligation and then adds an appropriate margin for that distinct good or service. The objective of the expected cost plus a margin approach is to determine the price at which the Company would transact if the product or service were sold by the Company on a standalone basis. The Company's determination of the expected cost plus a margin approach involves the consideration of several factors based on the specific facts and circumstances of each contract. Specifically, the Company considers the cost to produce the deliverable, the anticipated margin on that deliverable, the selling price and profit margin for similar parts, the Company’s ongoing pricing strategy and policies, often based on the price list established and updated by management on a regular basis, the value of any enhancements that have been built into the deliverable and the characteristics of the varying markets in which the deliverable is sold.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analyzes the standalone selling prices used in its allocation of transaction price on contracts at least annually. Standalone selling prices will be analyzed on a more frequent basis if a significant change in the Company’s business necessitates a more frequent analysis or if the Company experiences significant variances in its selling prices.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Revenue recognized at a point in time generally relates to contracts that include a combination of components, modules and sub-assemblies, integrated solutions and related system integration or other services. Contracts with distinct performance obligations recognized at a point in time, with or without an allocation of the transaction price, totaled 53%, 53% and 45% of revenues in the fiscal years ended July 3, 2026, June 27, 2025 and June 28, 2024, respectively. Revenue is recognized at a point in time for these products and services (versus over time recognition) due to the following: (i) customers are only able to consume the benefits provided by the Company upon completion of the product or service; (ii) customers do not control the product or service prior to completion; and (iii) the Company does not have an enforceable right to payment at all times for performance completed to date. Accordingly, there is little judgment in determining when control of the good or service transfers to the customer, and revenue is generally recognized upon transfer of control (for goods) or completion (for services).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engages in contracts for development, production and service activities and recognizes revenue for performance obligations over time. These over time contracts involve the design, development, manufacture, or modification of complex modules and sub-assemblies or integrated subsystems and related services. Revenue is recognized over time, due to the fact that: (i) the Company’s performance creates or enhances an asset that the customer controls as the asset is created or enhanced; and (ii) the Company’s performance creates an asset with no alternative use to the Company and the Company has an enforceable right to payment for performance completed to date. The Company considers the nature of these contracts and the types of products and services provided when determining the proper accounting for a particular contract. These contracts include both fixed-price and cost reimbursable contracts. The Company’s cost reimbursable contracts typically include cost-plus fixed fee and Time and Material (“T&amp;M”) contracts.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For over time contracts, the Company typically leverages the input method, using a cost-to-cost measure of progress. The Company believes that this method represents the most faithful depiction of the Company’s performance because it directly measures value transferred to the customer. Contract estimates and estimates of any variable consideration are based on various assumptions to project the outcome of future events that may span several years. These assumptions include: the amount of time to complete the contract, including the assessment of the nature and complexity of the work to be performed; the cost and availability of materials; the availability of subcontractor services and materials; and the availability and timing of funding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customer. The Company bears the risk of changes in estimates to complete on a fixed-price contract which may cause profit levels to vary from period to period. For cost reimbursable contracts, the Company is reimbursed periodically for allowable costs and is paid a portion of the fee based on contract progress. In the limited instances where the Company enters into T&amp;M contracts, revenue recognized reflects the number of direct labor hours expended in the performance of a contract multiplied by the contract billing rate, as well as reimbursement of other direct billable costs. For T&amp;M contracts, the Company recognizes revenue in the amount for which the Company has a right to invoice the customer based on the control transferred to the customer. For over time contracts, the Company recognizes anticipated contract losses as soon as they become known and estimable.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Total revenue recognized under over time contracts was 47%, 47% and 55% of revenues in the fiscal years ended July 3, 2026, June 27, 2025 and June 28, 2024, respectively.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contracts recognized over time requires significant judgment relative to estimating total contract revenues and costs, in particular, assumptions relative to the amount of time to complete the contract, including the assessment of the nature and complexity of the work to be performed and the impact of contract amendments which may result in cumulative adjustments. The Company’s estimates are based upon the professional knowledge and experience of its engineers, program managers and other personnel, who review each over time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 The aggregate effects of these favorable and unfavorable changes across the Company’s portfolio of programs can have a significant effect upon its reported Income (loss) from operations, Net loss and Diluted net loss per share in each of the reporting periods. The net impact of changes in estimates had the following impact on the Company’s operating results: </w:t>
      </w:r>
    </w:p>
    <w:tbl>
      <w:tblPr>
        <w:tblW w:w="7884"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11"/>
        <w:gridCol w:w="796"/>
        <w:gridCol w:w="109"/>
        <w:gridCol w:w="109"/>
        <w:gridCol w:w="109"/>
        <w:gridCol w:w="109"/>
        <w:gridCol w:w="212"/>
        <w:gridCol w:w="803"/>
        <w:gridCol w:w="109"/>
        <w:gridCol w:w="109"/>
        <w:gridCol w:w="109"/>
        <w:gridCol w:w="109"/>
        <w:gridCol w:w="212"/>
        <w:gridCol w:w="802"/>
        <w:gridCol w:w="155"/>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Federal and state statutory rate of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generally does not provide its customers with rights of product return other than those related to assurance warranty provisions that permit repair or replacement of defective goods over a period of 12 to 36 months. The Company accrues for anticipated warranty costs upon product shipment. The Company does not consider activities related to such assurance warranties, if any, to be a separate performance obligation. The Company does offer separately priced extended warranties which generally range from 12 to 36 months that are treated as separate performance obligations. The transaction price allocated to extended warranties is recognized over time in proportion to the costs expected to be incurred in satisfying the obligations under the contract.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over time contracts, the portion of the payments retained by the customer is not considered a significant financing component because most contracts have a duration of less than one year and payment is received as progress is made. Many of the Company's over time contracts have milestone payments, which align the payment schedule with the progress towards completion on the performance obligation. On some contracts, the Company may be entitled to receive an advance payment, which is not considered a significant financing component because it is used to facilitate inventory demands at the onset of a contract and to safeguard the Company from the failure of the other party to abide by some or all of their obligations under the contract.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All revenues are reported net of government assessed taxes (e.g., sales taxes or value-added taxes).</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OSTS</w:t>
      </w:r>
      <w:r>
        <w:rPr>
          <w:color w:val="000000"/>
        </w:rPr>
        <w:t xml:space="preserve"> </w:t>
      </w:r>
      <w:r>
        <w:rPr>
          <w:rFonts w:ascii="Times New Roman;serif" w:hAnsi="Times New Roman;serif"/>
          <w:b/>
          <w:color w:val="000000"/>
          <w:sz w:val="16"/>
        </w:rPr>
        <w:t>TO</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BTAIN AND</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ULFILL</w:t>
      </w:r>
      <w:r>
        <w:rPr>
          <w:color w:val="000000"/>
        </w:rPr>
        <w:t xml:space="preserve"> </w:t>
      </w:r>
      <w:r>
        <w:rPr>
          <w:rFonts w:ascii="Times New Roman;serif" w:hAnsi="Times New Roman;serif"/>
          <w:b/>
          <w:color w:val="000000"/>
          <w:sz w:val="16"/>
        </w:rPr>
        <w:t>A</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ONTRACT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expenses sales commissions as incurred for contracts where the amortization period would have been one year or less. The Company had $1,143 and $627 of deferred sales commissions for contracts where the amortization period is greater than one year as of July 3, 2026 and June 27, 2025, respectively.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treat shipping and handling activities performed after the customer has obtained control of the related goods as a fulfillment cost. Such costs are accrued for in conjunction with the recognition of revenue for the goods and are classified as cost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ONTRACT</w:t>
      </w:r>
      <w:r>
        <w:rPr>
          <w:color w:val="000000"/>
        </w:rPr>
        <w:t xml:space="preserve"> </w:t>
      </w:r>
      <w:r>
        <w:rPr>
          <w:rFonts w:ascii="Times New Roman;serif" w:hAnsi="Times New Roman;serif"/>
          <w:b/>
          <w:color w:val="000000"/>
          <w:sz w:val="20"/>
        </w:rPr>
        <w:t>B</w:t>
      </w:r>
      <w:r>
        <w:rPr>
          <w:rFonts w:ascii="Times New Roman;serif" w:hAnsi="Times New Roman;serif"/>
          <w:b/>
          <w:color w:val="000000"/>
          <w:sz w:val="16"/>
        </w:rPr>
        <w:t>ALANCES</w:t>
      </w:r>
      <w:r>
        <w:rPr>
          <w:color w:val="000000"/>
        </w:rPr>
        <w: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Contract balances result from the timing of revenue recognized, billings and cash collections, and the generation of contract assets and liabilities. Contract assets represent revenue recognized in excess of amounts invoiced to the customer and the right to payment is not subject to the passage of time. Contract assets are presented as Unbilled receivables and costs in excess of billings, net of allowance for credit losses on the Company’s Consolidated Balance Sheets. Contract liabilities consist of deferred product revenue, billings in excess of revenues, deferred service revenue, and customer advances. Deferred product revenue represents amounts that have been invoiced to customers, but are not yet recognizable as revenue because the Company has not satisfied its performance obligations under the contract. Billings in excess of revenues represents milestone billing contracts where the billings of the contract exceed recognized revenues. Deferred service revenue primarily represents amounts invoiced to customers for annual maintenance contracts or extended warranty contracts, which are recognized over time in proportion to the costs expected to be incurred in satisfying the obligations under the contract. Customer advances represent deposits received from customers on an order. Contract liabilities are included in deferred revenue and the long-term portion of deferred revenue is included within other non-current liabilities on the Company’s Consolidated Balance Sheets. Contract balances are reported in a net position on a contract-by-contract basis.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contract asset balances were $285,760 and $278,475 as of July 3, 2026 and June 27, 2025, respectively. The contract asset balance increased due to revenue recognized under over time contracts of $467,131, offset by $459,846 of billings during the fiscal year ended July 3, 2026. The contract liability balances were $151,055 and $127,605 as of July 3, 2026 and June 27, 2025, respectively. The contract liability increased due to a higher volume of advanced milestone billing events as well as timing of revenue recognized across multiple programs.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fiscal 2026 that was included in the contract liability balance at June 27, 2025 was $92,566. </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EMAINING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ERFORMANCE</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BLIGATIONS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includes in its computation of remaining performance obligations customer orders for which it has accepted executed sales orders. The definition of remaining performance obligations excludes those contracts that provide the customer with the right to cancel or terminate the order with no substantial penalty, even if the Company’s historical experience indicates the likelihood of cancellation or termination is remote. As of July 3, 2026, the aggregate amount of the transaction price allocated to remaining performance obligations was $1,082. The Company expects to recognize approximately 46% of its remaining performance obligations as revenue in the next 12 months and the balance thereafter.</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QUIVALENTS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consisting of highly liquid money market funds and U.S. government and U.S. government agency issues with original maturities of 90 days or less at the date of purchase, are carried at fair market value which approximates cost. </w:t>
      </w:r>
    </w:p>
    <w:p>
      <w:pPr>
        <w:pStyle w:val="TextBody"/>
        <w:bidi w:val="0"/>
        <w:spacing w:lineRule="auto" w:line="288" w:before="120" w:after="283"/>
        <w:jc w:val="both"/>
        <w:rPr/>
      </w:pPr>
      <w:r>
        <w:rPr>
          <w:rFonts w:ascii="Times New Roman;serif" w:hAnsi="Times New Roman;serif"/>
          <w:b/>
          <w:color w:val="000000"/>
          <w:sz w:val="20"/>
          <w:shd w:fill="FFFFFF" w:val="clear"/>
        </w:rPr>
        <w:t>A</w:t>
      </w:r>
      <w:r>
        <w:rPr>
          <w:rFonts w:ascii="Times New Roman;serif" w:hAnsi="Times New Roman;serif"/>
          <w:b/>
          <w:color w:val="000000"/>
          <w:sz w:val="16"/>
          <w:shd w:fill="FFFFFF" w:val="clear"/>
        </w:rPr>
        <w:t>CCOUNTS</w:t>
      </w:r>
      <w:r>
        <w:rPr>
          <w:color w:val="000000"/>
          <w:shd w:fill="FFFFFF" w:val="clear"/>
        </w:rPr>
        <w:t xml:space="preserve"> </w:t>
      </w:r>
      <w:r>
        <w:rPr>
          <w:rFonts w:ascii="Times New Roman;serif" w:hAnsi="Times New Roman;serif"/>
          <w:b/>
          <w:color w:val="000000"/>
          <w:sz w:val="20"/>
          <w:shd w:fill="FFFFFF" w:val="clear"/>
        </w:rPr>
        <w:t>R</w:t>
      </w:r>
      <w:r>
        <w:rPr>
          <w:rFonts w:ascii="Times New Roman;serif" w:hAnsi="Times New Roman;serif"/>
          <w:b/>
          <w:color w:val="000000"/>
          <w:sz w:val="16"/>
          <w:shd w:fill="FFFFFF" w:val="clear"/>
        </w:rPr>
        <w:t>ECEIVABLE</w:t>
      </w:r>
    </w:p>
    <w:p>
      <w:pPr>
        <w:pStyle w:val="TextBody"/>
        <w:bidi w:val="0"/>
        <w:spacing w:lineRule="auto" w:line="288" w:before="1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Accounts receivable, net, represents amounts that have been billed and are currently due from customers. The Company maintains an allowance for credit losses to provide for the estimated amount of receivables that will not be collected. The Company provides credit to customers in the normal course of business. The Company performs ongoing credit evaluations of its customers’ financial condition and limits the amount of credit extended as necessary. The allowance is based upon an assessment of the customer's credit worthiness, reasonable forecasts about the future, history with the customer, recovery of balances from contract settlements, and the age of the receivable balance. The Company typically invoices a customer upon shipment of the product (or completion of a service) for contracts where revenue is recognized at a point in time. For contracts where revenue is recognized over time, the invoicing events are typically based on specified performance obligation deliverables or milestone events, or quantifiable measures of performance.</w:t>
      </w:r>
    </w:p>
    <w:p>
      <w:pPr>
        <w:pStyle w:val="TextBody"/>
        <w:bidi w:val="0"/>
        <w:spacing w:lineRule="auto" w:line="288" w:before="180" w:after="283"/>
        <w:jc w:val="left"/>
        <w:rPr/>
      </w:pPr>
      <w:r>
        <w:rPr>
          <w:rFonts w:ascii="Times New Roman;serif" w:hAnsi="Times New Roman;serif"/>
          <w:b/>
          <w:color w:val="000000"/>
          <w:sz w:val="20"/>
          <w:shd w:fill="FFFFFF" w:val="clear"/>
        </w:rPr>
        <w:t>A</w:t>
      </w:r>
      <w:r>
        <w:rPr>
          <w:rFonts w:ascii="Times New Roman;serif" w:hAnsi="Times New Roman;serif"/>
          <w:b/>
          <w:color w:val="000000"/>
          <w:sz w:val="16"/>
          <w:shd w:fill="FFFFFF" w:val="clear"/>
        </w:rPr>
        <w:t xml:space="preserve">CCOUNTS </w:t>
      </w:r>
      <w:r>
        <w:rPr>
          <w:rFonts w:ascii="Times New Roman;serif" w:hAnsi="Times New Roman;serif"/>
          <w:b/>
          <w:color w:val="000000"/>
          <w:sz w:val="20"/>
          <w:shd w:fill="FFFFFF" w:val="clear"/>
        </w:rPr>
        <w:t>R</w:t>
      </w:r>
      <w:r>
        <w:rPr>
          <w:rFonts w:ascii="Times New Roman;serif" w:hAnsi="Times New Roman;serif"/>
          <w:b/>
          <w:color w:val="000000"/>
          <w:sz w:val="16"/>
          <w:shd w:fill="FFFFFF" w:val="clear"/>
        </w:rPr>
        <w:t xml:space="preserve">ECEIVABLES </w:t>
      </w:r>
      <w:r>
        <w:rPr>
          <w:rFonts w:ascii="Times New Roman;serif" w:hAnsi="Times New Roman;serif"/>
          <w:b/>
          <w:color w:val="000000"/>
          <w:sz w:val="20"/>
          <w:shd w:fill="FFFFFF" w:val="clear"/>
        </w:rPr>
        <w:t>F</w:t>
      </w:r>
      <w:r>
        <w:rPr>
          <w:rFonts w:ascii="Times New Roman;serif" w:hAnsi="Times New Roman;serif"/>
          <w:b/>
          <w:color w:val="000000"/>
          <w:sz w:val="16"/>
          <w:shd w:fill="FFFFFF" w:val="clear"/>
        </w:rPr>
        <w:t>ACTORING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2024, the Company entered into a $60,000 committed Receivables Purchase and Servicing Agreement (“RPSA”). The RPSA has an initial term of two years. Pursuant to the RPSA, the counterparty has committed to purchase receivables at a discount from a list of certain of the Company’s customers, maintaining a balance of purchased receivables at or below $60,000. Under the RPSA, a portion of the factored receivables is paid by the counterparty in cash and classified as a deferred purchase price receivable, which is paid as receivables are collected by the Company. On December 10, 2025, the Company amended the RPSA to increase the facility from $60,000 to $75,000. On June 4, 2026, the Company terminated the RPSA in conjunction with entering into a new receivables purchase agreement.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entered into a $100,000 committed Receivables Purchase Agreement ("RPA") with a new party. The RPA has an initial term of one year. Pursuant to the RPA, the new party committed to purchase receivables at a discount from a list of certain of the Company's customers, maintaining a balance of purchased receivables at or below $100,000.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pPr>
      <w:r>
        <w:rPr>
          <w:rFonts w:ascii="Times New Roman;serif" w:hAnsi="Times New Roman;serif"/>
          <w:b w:val="false"/>
          <w:color w:val="000000"/>
          <w:sz w:val="20"/>
        </w:rPr>
        <w:t>Proceeds for amounts factored by the Company are recorded as an incr</w:t>
      </w:r>
      <w:r>
        <w:rPr>
          <w:rFonts w:ascii="Times New Roman;serif" w:hAnsi="Times New Roman;serif"/>
          <w:b w:val="false"/>
          <w:color w:val="000000"/>
          <w:sz w:val="20"/>
          <w:shd w:fill="FFFFFF" w:val="clear"/>
        </w:rPr>
        <w:t>ease to cash and a reduction to accounts receivable outstanding in the Consolidated Balance Sheets. Cash flows attributable to factored receivables are reflected as cash flows from operating activities in the Company's Consolidated Statements of Cash Flow</w:t>
      </w:r>
      <w:r>
        <w:rPr>
          <w:rFonts w:ascii="Times New Roman;serif" w:hAnsi="Times New Roman;serif"/>
          <w:b w:val="false"/>
          <w:color w:val="000000"/>
          <w:sz w:val="20"/>
        </w:rPr>
        <w:t>s. Factor</w:t>
      </w:r>
      <w:r>
        <w:rPr>
          <w:rFonts w:ascii="Times New Roman;serif" w:hAnsi="Times New Roman;serif"/>
          <w:b w:val="false"/>
          <w:color w:val="000000"/>
          <w:sz w:val="20"/>
          <w:shd w:fill="FFFFFF" w:val="clear"/>
        </w:rPr>
        <w:t>ing fe</w:t>
      </w:r>
      <w:r>
        <w:rPr>
          <w:rFonts w:ascii="Times New Roman;serif" w:hAnsi="Times New Roman;serif"/>
          <w:b w:val="false"/>
          <w:color w:val="000000"/>
          <w:sz w:val="20"/>
        </w:rPr>
        <w:t>es are included as Selling, general and administrative expenses in the Company's Consolidated Statements of Operations and Comprehensive Loss. The Company is responsible for collecting customer payments related to factored receivables and will remit these payments to the counterparty. From time to time, the Company will collect customer payments related to factored receivables, which are not remitted to the counterparty prior to the end of the period due to the timing of receiving funds from the customer. As of July 3, 2026 and June 27, 2025, the Company had collected $391 and $7,835, respectively, that was not remitted to the counterparty by period end. These collected balances are reflected as Cash and cash equivalents and the related obligation to remit the cash to the counterparty is recorded in Due to factoring facility on the Company's Consolidated Balance Sheet. The decrease in the receivable for these collections is reflected within the change in operating assets and liabilities within the Company's Consolidated Statement of Cash Flows for the fiscal year ended July 3, 2026.</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had $72,313 of factored accounts receivable, of which $71,922 was included within Accounts receivable, net of allowance for credit losses on the Company's Consolidated Balance Sheet and $391 was recorded in Due to factoring facility on the Company's Consolidated Balance Sheet as of July 3, 2026. The Company had $59,999 of factored accounts receivable, of which $52,164 was included within Accounts receivable, net of allowance for credit losses on the Company's Consolidated Balance Sheet and $7,835 was recorded in Due to factoring facility on the Company's Consolidated Balance Sheet as of June 27, 2025. The Company incurred factoring fees of approximately $1,709 and $1,758 for fiscal years 2026 and 2025, respectively.</w:t>
      </w:r>
    </w:p>
    <w:p>
      <w:pPr>
        <w:pStyle w:val="TextBody"/>
        <w:bidi w:val="0"/>
        <w:spacing w:lineRule="auto" w:line="288" w:before="180" w:after="283"/>
        <w:jc w:val="both"/>
        <w:rPr/>
      </w:pPr>
      <w:r>
        <w:rPr>
          <w:rFonts w:ascii="Times New Roman;serif" w:hAnsi="Times New Roman;serif"/>
          <w:b/>
          <w:color w:val="000000"/>
          <w:sz w:val="20"/>
        </w:rPr>
        <w:t>F</w:t>
      </w:r>
      <w:r>
        <w:rPr>
          <w:rFonts w:ascii="Times New Roman;serif" w:hAnsi="Times New Roman;serif"/>
          <w:b/>
          <w:color w:val="000000"/>
          <w:sz w:val="16"/>
        </w:rPr>
        <w:t>AIR</w:t>
      </w:r>
      <w:r>
        <w:rPr>
          <w:color w:val="000000"/>
        </w:rPr>
        <w:t xml:space="preserve"> </w:t>
      </w:r>
      <w:r>
        <w:rPr>
          <w:rFonts w:ascii="Times New Roman;serif" w:hAnsi="Times New Roman;serif"/>
          <w:b/>
          <w:color w:val="000000"/>
          <w:sz w:val="20"/>
        </w:rPr>
        <w:t>V</w:t>
      </w:r>
      <w:r>
        <w:rPr>
          <w:rFonts w:ascii="Times New Roman;serif" w:hAnsi="Times New Roman;serif"/>
          <w:b/>
          <w:color w:val="000000"/>
          <w:sz w:val="16"/>
        </w:rPr>
        <w:t>ALUE OF</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INANCIAL</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NSTRUMENTS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The Company measures at fair value certain financial assets and liabilities, including cash equivalents, restricted cash, interest rate derivatives, and contingent consideration. ASC 820, </w:t>
      </w:r>
      <w:r>
        <w:rPr>
          <w:rFonts w:ascii="Times New Roman;serif" w:hAnsi="Times New Roman;serif"/>
          <w:b w:val="false"/>
          <w:i/>
          <w:color w:val="000000"/>
          <w:sz w:val="20"/>
        </w:rPr>
        <w:t>Fair Value Measurement and Disclosures</w:t>
      </w:r>
      <w:r>
        <w:rPr>
          <w:rFonts w:ascii="Times New Roman;serif" w:hAnsi="Times New Roman;serif"/>
          <w:b w:val="false"/>
          <w:color w:val="000000"/>
          <w:sz w:val="20"/>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Level 1—Quoted prices for identical instruments in active markets;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ONCENTRATION</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REDIT</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principally of cash, cash equivalents, accounts receivable, unbilled receivables and costs in excess of billings. The Company places its cash and cash equivalents with financial institutions of high credit quality. As of July 3, 2026 and June 27, 2025, the Company had $214,306 and $309,099, respectively, of cash and cash equivalents on deposit or invested with its financial and lending institutions.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credit to customers in the normal course of business. The Company performs ongoing credit evaluations of its customers’ financial condition and limits the amount of credit extended when deemed necessary. As of July 3, 2026, five customers accounted for 54% of the Company's accounts receivable, unbilled receivables and costs in excess of billings. As of June 27, 2025, five customers accounted for 48% of the Company’s accounts receivable, unbilled receivables and costs in excess of billings.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to provide for the estimated amount of receivables that will not be fully collected. The allowance is based on the assessment of the following factors: customer creditworthiness; historical payment experience; age of outstanding receivables; and any applicable collateral.</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NVENTORY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stated at the lower of cost (first-in, first-out) or net realizable value, and consists of materials, labor and overhead. On a quarterly basis, the Company evaluates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 xml:space="preserve">EGMENT </w:t>
      </w:r>
      <w:r>
        <w:rPr>
          <w:rFonts w:ascii="Times New Roman;serif" w:hAnsi="Times New Roman;serif"/>
          <w:b/>
          <w:color w:val="000000"/>
          <w:sz w:val="20"/>
        </w:rPr>
        <w:t>I</w:t>
      </w:r>
      <w:r>
        <w:rPr>
          <w:rFonts w:ascii="Times New Roman;serif" w:hAnsi="Times New Roman;serif"/>
          <w:b/>
          <w:color w:val="000000"/>
          <w:sz w:val="16"/>
        </w:rPr>
        <w:t>NFORMATION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uses the management approach for segment disclosure, which designates the internal organization that is used by management for making operating decisions and assessing performance as the source of its reportable segments. The Company manages its business on the basis of one reportable segment, as a global leader in aerospace and defense electronics, providing breakthrough capabilities in signal and data processing. See Note Q for additional information.</w:t>
      </w:r>
    </w:p>
    <w:p>
      <w:pPr>
        <w:pStyle w:val="TextBody"/>
        <w:bidi w:val="0"/>
        <w:spacing w:lineRule="auto" w:line="288" w:before="180" w:after="283"/>
        <w:jc w:val="both"/>
        <w:rPr/>
      </w:pPr>
      <w:r>
        <w:rPr>
          <w:rFonts w:ascii="Times New Roman;serif" w:hAnsi="Times New Roman;serif"/>
          <w:b/>
          <w:color w:val="000000"/>
          <w:sz w:val="20"/>
        </w:rPr>
        <w:t>G</w:t>
      </w:r>
      <w:r>
        <w:rPr>
          <w:rFonts w:ascii="Times New Roman;serif" w:hAnsi="Times New Roman;serif"/>
          <w:b/>
          <w:color w:val="000000"/>
          <w:sz w:val="16"/>
        </w:rPr>
        <w:t>OODWILL</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NTANGIBLE</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the amount by which the purchase price of a business acquisition exceeded the fair values of the net identifiable assets on the date of purchase (see Note F). In accordance with the requirements of Intangibles-Goodwill and Other (“ASC 350”) Goodwill is not amortized. Goodwill is assessed for impairment at least annually, on a reporting unit basis, or when events and circumstances ("triggering event") occur indicating that the recorded goodwill may be impaired. Potential triggering events include macroeconomic conditions, industry and market considerations, financial performance and expectations of projected financial performance and cash flows, and changes in the Company's stock price in relation to the carrying value of its reporting units, among other relevant factors. Adverse changes to these events and circumstances could require the Company to perform an interim impairment test.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Intangible assets result from the Company’s various business acquisitions (see Note G) and certain licensed technologies, and consist of identifiable intangible assets, including completed technology, licensing agreements, patents, customer relationships, trademarks, backlog and non-compete agreements. Intangible assets are reported at cost, net of accumulated amortization and are either amortized on a straight-line basis over their estimated useful lives of up to 12.5 years or over the period the economic benefits of the intangible asset are consumed.</w:t>
      </w:r>
    </w:p>
    <w:p>
      <w:pPr>
        <w:pStyle w:val="TextBody"/>
        <w:bidi w:val="0"/>
        <w:spacing w:lineRule="auto" w:line="288" w:before="180" w:after="283"/>
        <w:jc w:val="left"/>
        <w:rPr/>
      </w:pPr>
      <w:r>
        <w:rPr>
          <w:rFonts w:ascii="Times New Roman;serif" w:hAnsi="Times New Roman;serif"/>
          <w:b/>
          <w:color w:val="000000"/>
          <w:sz w:val="20"/>
        </w:rPr>
        <w:t>L</w:t>
      </w:r>
      <w:r>
        <w:rPr>
          <w:rFonts w:ascii="Times New Roman;serif" w:hAnsi="Times New Roman;serif"/>
          <w:b/>
          <w:color w:val="000000"/>
          <w:sz w:val="16"/>
        </w:rPr>
        <w:t>ONG</w:t>
      </w:r>
      <w:r>
        <w:rPr>
          <w:rFonts w:ascii="Times New Roman;serif" w:hAnsi="Times New Roman;serif"/>
          <w:b/>
          <w:color w:val="000000"/>
          <w:sz w:val="20"/>
        </w:rPr>
        <w:t>-</w:t>
      </w:r>
      <w:r>
        <w:rPr>
          <w:rFonts w:ascii="Times New Roman;serif" w:hAnsi="Times New Roman;serif"/>
          <w:b/>
          <w:color w:val="000000"/>
          <w:sz w:val="16"/>
        </w:rPr>
        <w:t>LIVED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Long-lived assets primarily include property and equipment, intangible assets and ROU assets. The Company regularly evaluates its long-lived assets for events and circumstances that indicate a potential impairment in accordance with ASC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assets are retired or sold, the related cost and accumulated depreciation are removed from the accounts and any resulting gain or loss is included in the results of operations.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ASC 350. During fiscal 2026, 2025 and 2024, the Company capitalized $915, $444 and $2,086 of software development costs, respectively. </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NCOME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6"/>
        </w:rPr>
        <w:t>AXES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The Company accounts for income taxes under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RODUCT</w:t>
      </w:r>
      <w:r>
        <w:rPr>
          <w:color w:val="000000"/>
        </w:rPr>
        <w:t xml:space="preserve"> </w:t>
      </w:r>
      <w:r>
        <w:rPr>
          <w:rFonts w:ascii="Times New Roman;serif" w:hAnsi="Times New Roman;serif"/>
          <w:b/>
          <w:color w:val="000000"/>
          <w:sz w:val="20"/>
        </w:rPr>
        <w:t>W</w:t>
      </w:r>
      <w:r>
        <w:rPr>
          <w:rFonts w:ascii="Times New Roman;serif" w:hAnsi="Times New Roman;serif"/>
          <w:b/>
          <w:color w:val="000000"/>
          <w:sz w:val="16"/>
        </w:rPr>
        <w:t>ARRANTY</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CCRUAL</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product sales generally include a 12 to 36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tbl>
      <w:tblPr>
        <w:tblW w:w="7591" w:type="dxa"/>
        <w:jc w:val="left"/>
        <w:tblInd w:w="0" w:type="dxa"/>
        <w:tblLayout w:type="fixed"/>
        <w:tblCellMar>
          <w:top w:w="28" w:type="dxa"/>
          <w:left w:w="28" w:type="dxa"/>
          <w:bottom w:w="28" w:type="dxa"/>
          <w:right w:w="28" w:type="dxa"/>
        </w:tblCellMar>
      </w:tblPr>
      <w:tblGrid>
        <w:gridCol w:w="1440"/>
        <w:gridCol w:w="1264"/>
        <w:gridCol w:w="1271"/>
        <w:gridCol w:w="211"/>
        <w:gridCol w:w="616"/>
        <w:gridCol w:w="109"/>
        <w:gridCol w:w="109"/>
        <w:gridCol w:w="109"/>
        <w:gridCol w:w="109"/>
        <w:gridCol w:w="211"/>
        <w:gridCol w:w="616"/>
        <w:gridCol w:w="109"/>
        <w:gridCol w:w="109"/>
        <w:gridCol w:w="109"/>
        <w:gridCol w:w="109"/>
        <w:gridCol w:w="211"/>
        <w:gridCol w:w="616"/>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ESEARCH</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OSTS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costs are primarily made up of labor charges and prototype material and development expenses.</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TOCK</w:t>
      </w:r>
      <w:r>
        <w:rPr>
          <w:rFonts w:ascii="Times New Roman;serif" w:hAnsi="Times New Roman;serif"/>
          <w:b/>
          <w:color w:val="000000"/>
          <w:sz w:val="20"/>
        </w:rPr>
        <w:t>-</w:t>
      </w:r>
      <w:r>
        <w:rPr>
          <w:rFonts w:ascii="Times New Roman;serif" w:hAnsi="Times New Roman;serif"/>
          <w:b/>
          <w:color w:val="000000"/>
          <w:sz w:val="16"/>
        </w:rPr>
        <w:t>BASED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OMPENSATION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cost is measured at the grant date based on the fair value of the award and is recognized as expense over the requisite service period, which generally represents the vesting period, and includes an estimate of the awards that will be forfeited. Stock-based compensation expense for the Company’s performance-based restricted stock awards is amortized over the requisite service period using graded vesting. The Company’s other restricted stock awards recognize expense over the requisite service period on a straight-line basis. </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 xml:space="preserve">ETIREMENT OF </w:t>
      </w:r>
      <w:r>
        <w:rPr>
          <w:rFonts w:ascii="Times New Roman;serif" w:hAnsi="Times New Roman;serif"/>
          <w:b/>
          <w:color w:val="000000"/>
          <w:sz w:val="20"/>
        </w:rPr>
        <w:t>C</w:t>
      </w:r>
      <w:r>
        <w:rPr>
          <w:rFonts w:ascii="Times New Roman;serif" w:hAnsi="Times New Roman;serif"/>
          <w:b/>
          <w:color w:val="000000"/>
          <w:sz w:val="16"/>
        </w:rPr>
        <w:t xml:space="preserve">OMMON </w:t>
      </w:r>
      <w:r>
        <w:rPr>
          <w:rFonts w:ascii="Times New Roman;serif" w:hAnsi="Times New Roman;serif"/>
          <w:b/>
          <w:color w:val="000000"/>
          <w:sz w:val="20"/>
        </w:rPr>
        <w:t>S</w:t>
      </w:r>
      <w:r>
        <w:rPr>
          <w:rFonts w:ascii="Times New Roman;serif" w:hAnsi="Times New Roman;serif"/>
          <w:b/>
          <w:color w:val="000000"/>
          <w:sz w:val="16"/>
        </w:rPr>
        <w:t>TOCK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Stock that is repurchased or received in connection with the vesting of restricted stock is retired immediately upon the Company’s repurchase. The Company accounts for this under the cost method and upon retirement the excess amount over par value is charged against additional paid-in capital.</w:t>
      </w:r>
    </w:p>
    <w:p>
      <w:pPr>
        <w:pStyle w:val="TextBody"/>
        <w:bidi w:val="0"/>
        <w:spacing w:lineRule="auto" w:line="288" w:before="180" w:after="283"/>
        <w:jc w:val="both"/>
        <w:rPr/>
      </w:pPr>
      <w:r>
        <w:rPr>
          <w:rFonts w:ascii="Times New Roman;serif" w:hAnsi="Times New Roman;serif"/>
          <w:b/>
          <w:color w:val="000000"/>
          <w:sz w:val="20"/>
        </w:rPr>
        <w:t>N</w:t>
      </w:r>
      <w:r>
        <w:rPr>
          <w:rFonts w:ascii="Times New Roman;serif" w:hAnsi="Times New Roman;serif"/>
          <w:b/>
          <w:color w:val="000000"/>
          <w:sz w:val="16"/>
        </w:rPr>
        <w:t>ET</w:t>
      </w:r>
      <w:r>
        <w:rPr>
          <w:color w:val="000000"/>
        </w:rPr>
        <w:t xml:space="preserve"> </w:t>
      </w:r>
      <w:r>
        <w:rPr>
          <w:rFonts w:ascii="Times New Roman;serif" w:hAnsi="Times New Roman;serif"/>
          <w:b/>
          <w:color w:val="000000"/>
          <w:sz w:val="16"/>
        </w:rPr>
        <w:t>(</w:t>
      </w:r>
      <w:r>
        <w:rPr>
          <w:rFonts w:ascii="Times New Roman;serif" w:hAnsi="Times New Roman;serif"/>
          <w:b/>
          <w:color w:val="000000"/>
          <w:sz w:val="20"/>
        </w:rPr>
        <w:t>L</w:t>
      </w:r>
      <w:r>
        <w:rPr>
          <w:rFonts w:ascii="Times New Roman;serif" w:hAnsi="Times New Roman;serif"/>
          <w:b/>
          <w:color w:val="000000"/>
          <w:sz w:val="16"/>
        </w:rPr>
        <w:t xml:space="preserve">OSS) </w:t>
      </w:r>
      <w:r>
        <w:rPr>
          <w:rFonts w:ascii="Times New Roman;serif" w:hAnsi="Times New Roman;serif"/>
          <w:b/>
          <w:color w:val="000000"/>
          <w:sz w:val="20"/>
        </w:rPr>
        <w:t>E</w:t>
      </w:r>
      <w:r>
        <w:rPr>
          <w:rFonts w:ascii="Times New Roman;serif" w:hAnsi="Times New Roman;serif"/>
          <w:b/>
          <w:color w:val="000000"/>
          <w:sz w:val="16"/>
        </w:rPr>
        <w:t>ARNINGS</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ER</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HARE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 For all periods presented, net (loss) income is the control number for determining whether securities are dilutive or not.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Basic and diluted weighted average shares outstanding were as follows: </w:t>
      </w:r>
    </w:p>
    <w:tbl>
      <w:tblPr>
        <w:tblW w:w="7624" w:type="dxa"/>
        <w:jc w:val="left"/>
        <w:tblInd w:w="0" w:type="dxa"/>
        <w:tblLayout w:type="fixed"/>
        <w:tblCellMar>
          <w:top w:w="28" w:type="dxa"/>
          <w:left w:w="28" w:type="dxa"/>
          <w:bottom w:w="28" w:type="dxa"/>
          <w:right w:w="28" w:type="dxa"/>
        </w:tblCellMar>
      </w:tblPr>
      <w:tblGrid>
        <w:gridCol w:w="1368"/>
        <w:gridCol w:w="1204"/>
        <w:gridCol w:w="1208"/>
        <w:gridCol w:w="360"/>
        <w:gridCol w:w="361"/>
        <w:gridCol w:w="311"/>
        <w:gridCol w:w="109"/>
        <w:gridCol w:w="109"/>
        <w:gridCol w:w="109"/>
        <w:gridCol w:w="360"/>
        <w:gridCol w:w="361"/>
        <w:gridCol w:w="311"/>
        <w:gridCol w:w="109"/>
        <w:gridCol w:w="109"/>
        <w:gridCol w:w="109"/>
        <w:gridCol w:w="360"/>
        <w:gridCol w:w="361"/>
        <w:gridCol w:w="405"/>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2024</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59,460 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equity instruments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59,460 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Equity instruments to purchase or receive, via restricted stock awards and deferred stock awards, 2,738, 2,594 and 2,501 shares of common stock were not included in the calculation of diluted net earnings per share for the fiscal years ended July 3, 2026, June 27, 2025 and June 28, 2024, respectively, because the equity instruments were anti-dilutive.</w:t>
      </w:r>
    </w:p>
    <w:p>
      <w:pPr>
        <w:pStyle w:val="TextBody"/>
        <w:bidi w:val="0"/>
        <w:spacing w:lineRule="auto" w:line="288" w:before="180" w:after="283"/>
        <w:jc w:val="both"/>
        <w:rPr/>
      </w:pPr>
      <w:r>
        <w:rPr>
          <w:rFonts w:ascii="Times New Roman;serif" w:hAnsi="Times New Roman;serif"/>
          <w:b/>
          <w:color w:val="000000"/>
          <w:sz w:val="20"/>
        </w:rPr>
        <w:t>A</w:t>
      </w:r>
      <w:r>
        <w:rPr>
          <w:rFonts w:ascii="Times New Roman;serif" w:hAnsi="Times New Roman;serif"/>
          <w:b/>
          <w:color w:val="000000"/>
          <w:sz w:val="16"/>
        </w:rPr>
        <w:t>CCUMULATED</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THER</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 xml:space="preserve">OMPREHENSIVE </w:t>
      </w:r>
      <w:r>
        <w:rPr>
          <w:rFonts w:ascii="Times New Roman;serif" w:hAnsi="Times New Roman;serif"/>
          <w:b/>
          <w:color w:val="000000"/>
          <w:sz w:val="20"/>
        </w:rPr>
        <w:t>I</w:t>
      </w:r>
      <w:r>
        <w:rPr>
          <w:rFonts w:ascii="Times New Roman;serif" w:hAnsi="Times New Roman;serif"/>
          <w:b/>
          <w:color w:val="000000"/>
          <w:sz w:val="16"/>
        </w:rPr>
        <w:t>NCOME (</w:t>
      </w:r>
      <w:r>
        <w:rPr>
          <w:rFonts w:ascii="Times New Roman;serif" w:hAnsi="Times New Roman;serif"/>
          <w:b/>
          <w:color w:val="000000"/>
          <w:sz w:val="20"/>
        </w:rPr>
        <w:t>L</w:t>
      </w:r>
      <w:r>
        <w:rPr>
          <w:rFonts w:ascii="Times New Roman;serif" w:hAnsi="Times New Roman;serif"/>
          <w:b/>
          <w:color w:val="000000"/>
          <w:sz w:val="16"/>
        </w:rPr>
        <w:t xml:space="preserve">OSS)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(“AOCI”) includes changes in fair value of derivative instruments, foreign currency translation adjustments and pension benefit plan adjustments. The components of AOCI included the change in fair value of derivative instruments, net of tax adjustments and totaled $134, $(4,666), and $(833) for the fiscal years ended July 3, 2026, June 27, 2025, and June 28, 2024, respectively. Also included are $8,582, $(20) and $380 of foreign currency translation adjustments for the fiscal years ended July 3, 2026, June 27, 2025 and June 28, 2024, respectively, and pension benefit plan adjustments totaled $(984), $(1,809) and $(1,383) for the fiscal years ended July 3, 2026, June 27, 2025 and June 28,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 summary of the change in component of Accumulated other comprehensive income, net of tax is provided below:</w:t>
      </w:r>
    </w:p>
    <w:tbl>
      <w:tblPr>
        <w:tblW w:w="10205" w:type="dxa"/>
        <w:jc w:val="left"/>
        <w:tblInd w:w="0" w:type="dxa"/>
        <w:tblLayout w:type="fixed"/>
        <w:tblCellMar>
          <w:top w:w="28" w:type="dxa"/>
          <w:left w:w="28" w:type="dxa"/>
          <w:bottom w:w="28" w:type="dxa"/>
          <w:right w:w="28" w:type="dxa"/>
        </w:tblCellMar>
      </w:tblPr>
      <w:tblGrid>
        <w:gridCol w:w="924"/>
        <w:gridCol w:w="527"/>
        <w:gridCol w:w="477"/>
        <w:gridCol w:w="109"/>
        <w:gridCol w:w="109"/>
        <w:gridCol w:w="109"/>
        <w:gridCol w:w="347"/>
        <w:gridCol w:w="1186"/>
        <w:gridCol w:w="179"/>
        <w:gridCol w:w="109"/>
        <w:gridCol w:w="109"/>
        <w:gridCol w:w="109"/>
        <w:gridCol w:w="420"/>
        <w:gridCol w:w="1226"/>
        <w:gridCol w:w="217"/>
        <w:gridCol w:w="109"/>
        <w:gridCol w:w="109"/>
        <w:gridCol w:w="109"/>
        <w:gridCol w:w="371"/>
        <w:gridCol w:w="1086"/>
        <w:gridCol w:w="193"/>
        <w:gridCol w:w="109"/>
        <w:gridCol w:w="109"/>
        <w:gridCol w:w="109"/>
        <w:gridCol w:w="337"/>
        <w:gridCol w:w="1153"/>
        <w:gridCol w:w="254"/>
      </w:tblGrid>
      <w:tr>
        <w:trPr/>
        <w:tc>
          <w:tcPr>
            <w:tcW w:w="9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compensation and pension benefit plan,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of derivative instruments,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16"/>
        </w:rPr>
        <w:t>OREIGN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URRENCY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Local currencies are the functional currency for the Company’s subsidiaries in Switzerland, the United Kingdom, and Spain.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non-U.S. currency transactions are included in Other expense, net in the Consolidated Statements of Operations and Comprehensive Loss and were immaterial for all periods presented.</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ECENTLY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SSUED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 xml:space="preserve">RONOUNCEMENTS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an amendment of the FASB Accounting Standard Codification. The amendments in this ASU address improvements to disclosures surrounding operating expenses, including purchases of inventory, employee compensation, depreciation, amortization, and depletion, which are all normally included in common expense captions on the face of the income statement. Any expenses remaining in relevant expense captions that are not disaggregated should be accompanied with a qualitative disclosure as to their nature. This ASU is effective for fiscal years beginning after December 15, 2026, and interim reporting periods beginning after December 15, 2027, with early adoption permitted.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rPr>
        <w:t>an amendment of the FASB Accounting Standards Codification. The amendments in this ASU are intended to clarify guidance surrounding who the accounting acquirer is in a business combination, specifically when a Variable Interest Entity ("VIE") is involved. The ASU is effective for fiscal years beginning after December 15, 2026, and all interim periods within applicable annual periods, with early adoption permitted. The Company does not expect the adoption of ASU 2025-03 to have a material impact on its Consolidated financial statements.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an amendment of the FASB Accounting Standards Codification. The amendments in this ASU affect entities that apply the practical expedient and accounting policy election (if applicable) when estimating expected credit losses on current accounts receivable and/or current contract assets arising from transactions under Topic 606, including those assets acquired in a transaction accounted for under Topic 805. The ASU is effective for fiscal years beginning after December 15, 2025, and all interim periods within applicable annual periods, with early adoption permitted. The Company does not expect the adoption of ASU 2025-05 to have a material impact on its Consolidated financial statements.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 Internal Use Software (Subtopic 350-40): Targeted Improvements to the Accounting for Internal Use Software, </w:t>
      </w:r>
      <w:r>
        <w:rPr>
          <w:rFonts w:ascii="Times New Roman;serif" w:hAnsi="Times New Roman;serif"/>
          <w:b w:val="false"/>
          <w:color w:val="000000"/>
          <w:sz w:val="20"/>
        </w:rPr>
        <w:t>an amendment of the FASB Accounting Standards Codification. The amendments in this ASU apply to all entities subject to the internal-use software guidance in Subtopic 350-40. The main provisions are improving operability of the guidance and removing references of different software development stages to remain neutral to different methods. The ASU is effective for fiscal years beginning after December 15, 2027, and all interim periods within applicable annual periods, with early adoption permitted at beginning of annual reporting period.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November 2025, the FASB issued ASU No. 2025-09, </w:t>
      </w:r>
      <w:r>
        <w:rPr>
          <w:rFonts w:ascii="Times New Roman;serif" w:hAnsi="Times New Roman;serif"/>
          <w:b w:val="false"/>
          <w:i/>
          <w:color w:val="000000"/>
          <w:sz w:val="20"/>
        </w:rPr>
        <w:t>Derivatives and Hedging (Topic 815): Hedge Accounting Improvements</w:t>
      </w:r>
      <w:r>
        <w:rPr>
          <w:rFonts w:ascii="Times New Roman;serif" w:hAnsi="Times New Roman;serif"/>
          <w:b w:val="false"/>
          <w:color w:val="000000"/>
          <w:sz w:val="20"/>
        </w:rPr>
        <w:t xml:space="preserve">, an amendment of the FASB Accounting Standards Codification. The amendments in this ASU address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hedge accounting improvements and clarifies guidance for cash flow hedges, hedging forecasted interest payments, net written options as instruments, and foreign-currency-denominated debt instruments as a dual hedge. This ASU is effective for fiscal years beginning after December 15, 2026, and all interim periods within applicable annual periods, with early adoption permitted. The Company is currently evaluating the effect that this standard will have on its consolidated financial statements and related disclosures.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 Scope Improvements</w:t>
      </w:r>
      <w:r>
        <w:rPr>
          <w:rFonts w:ascii="Times New Roman;serif" w:hAnsi="Times New Roman;serif"/>
          <w:b w:val="false"/>
          <w:color w:val="000000"/>
          <w:sz w:val="20"/>
        </w:rPr>
        <w:t xml:space="preserve">, an amendment of the FASB Accounting Standards Codification. The amendments in this ASU primarily provide clarification on interim reporting requirements and enhanced disclosure requirements. The amendments also include a disclosure principle to disclose all events since the end of the last annual reporting period that have a material impact on the Company. The ASU is effective for fiscal years beginning after December 15, 2027, and all interim reporting periods within applicable annual periods, with early adoption permitted. The Company is currently evaluating the effect that this standard will have on its consolidated financial statements and related disclosures. </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ECENTLY</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DOPTED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RONOUNCEMENTS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Effective June 28, 2025, the Company adopted ASU No. 2023-09, </w:t>
      </w:r>
      <w:r>
        <w:rPr>
          <w:rFonts w:ascii="Times New Roman;serif" w:hAnsi="Times New Roman;serif"/>
          <w:b w:val="false"/>
          <w:i/>
          <w:color w:val="000000"/>
          <w:sz w:val="20"/>
        </w:rPr>
        <w:t>Improvement to Income Tax Disclosures</w:t>
      </w:r>
      <w:r>
        <w:rPr>
          <w:rFonts w:ascii="Times New Roman;serif" w:hAnsi="Times New Roman;serif"/>
          <w:b w:val="false"/>
          <w:color w:val="000000"/>
          <w:sz w:val="20"/>
        </w:rPr>
        <w:t xml:space="preserve">, an amendment of the FASB Accounting Standards Codification. The amendments in this ASU enact new income tax disclosure requirements in addition to modifying existing requirements. The amendment requires entities to categorize and provide greater disaggregation of information in the rate reconciliation and income taxes paid disclosures. The adoption of this update did not have a material impact on the Company's consolidated financial statements but resulted in expanded disclosure in the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C.Fair Value of Financial Instruments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instruments measured at fair value on a recurring basis as of July 3, 2026:</w:t>
      </w:r>
    </w:p>
    <w:tbl>
      <w:tblPr>
        <w:tblW w:w="7115" w:type="dxa"/>
        <w:jc w:val="left"/>
        <w:tblInd w:w="0" w:type="dxa"/>
        <w:tblLayout w:type="fixed"/>
        <w:tblCellMar>
          <w:top w:w="28" w:type="dxa"/>
          <w:left w:w="28" w:type="dxa"/>
          <w:bottom w:w="28" w:type="dxa"/>
          <w:right w:w="28" w:type="dxa"/>
        </w:tblCellMar>
      </w:tblPr>
      <w:tblGrid>
        <w:gridCol w:w="857"/>
        <w:gridCol w:w="755"/>
        <w:gridCol w:w="757"/>
        <w:gridCol w:w="109"/>
        <w:gridCol w:w="109"/>
        <w:gridCol w:w="109"/>
        <w:gridCol w:w="226"/>
        <w:gridCol w:w="662"/>
        <w:gridCol w:w="117"/>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including money market funds, restricted cash, accounts receivable and payable, contract assets and liabilities and accrued liabilities approximate fair value due to the short-term maturities of these assets and liabilities. The Company determined the carrying value of long-term debt approximated fair value due to variable interest rates charged on the borrowings, which reprice frequently.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the first quarter ended September 29, 2023, the Company entered into an interest rate hedging agreement (the “September 2023 Swap”).</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fair value of the September 2023 Swap is estimated using a discounted cash flow analysis based on the contractual terms of the derivative, leveraging observable inputs other than quoted prices, such as interest rates. As of July 3, 2026, the fair value of the September 2023 Swap was a liability of $1,576 and is included within Accrued expenses in the Company's Consolidated Balance Sheets.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instruments measured at fair value on a recurring basis as of June 27, 2025:</w:t>
      </w:r>
    </w:p>
    <w:tbl>
      <w:tblPr>
        <w:tblW w:w="6908" w:type="dxa"/>
        <w:jc w:val="left"/>
        <w:tblInd w:w="0" w:type="dxa"/>
        <w:tblLayout w:type="fixed"/>
        <w:tblCellMar>
          <w:top w:w="28" w:type="dxa"/>
          <w:left w:w="28" w:type="dxa"/>
          <w:bottom w:w="28" w:type="dxa"/>
          <w:right w:w="28" w:type="dxa"/>
        </w:tblCellMar>
      </w:tblPr>
      <w:tblGrid>
        <w:gridCol w:w="857"/>
        <w:gridCol w:w="755"/>
        <w:gridCol w:w="757"/>
        <w:gridCol w:w="253"/>
        <w:gridCol w:w="741"/>
        <w:gridCol w:w="131"/>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measured at fair value</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of June 27, 2025, the fair value of the September 2023 Swap was a liability of $5,391 and included within Other non-current liabilities in the Company's Consolidated Balance Sheets.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Refer to Note R for further information regarding the September 2023 Swap.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D.</w:t>
      </w:r>
      <w:r>
        <w:rPr>
          <w:rFonts w:ascii="Times New Roman;serif" w:hAnsi="Times New Roman;serif"/>
          <w:b/>
          <w:color w:val="000000"/>
          <w:sz w:val="20"/>
        </w:rPr>
        <w:t>Inventory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reclassified $4,444 of work in process inventory to Property and equipment, net to support a test lab and demonstration room for its technologies and to meet anticipated production demands for its solutions through additional testing capabilities. Inventory was comprised of the following:</w:t>
      </w:r>
    </w:p>
    <w:tbl>
      <w:tblPr>
        <w:tblW w:w="4089" w:type="dxa"/>
        <w:jc w:val="left"/>
        <w:tblInd w:w="0" w:type="dxa"/>
        <w:tblLayout w:type="fixed"/>
        <w:tblCellMar>
          <w:top w:w="28" w:type="dxa"/>
          <w:left w:w="28" w:type="dxa"/>
          <w:bottom w:w="28" w:type="dxa"/>
          <w:right w:w="28" w:type="dxa"/>
        </w:tblCellMar>
      </w:tblPr>
      <w:tblGrid>
        <w:gridCol w:w="516"/>
        <w:gridCol w:w="453"/>
        <w:gridCol w:w="456"/>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332,920 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E.Property and Equipment</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9411" w:type="dxa"/>
        <w:jc w:val="left"/>
        <w:tblInd w:w="0" w:type="dxa"/>
        <w:tblLayout w:type="fixed"/>
        <w:tblCellMar>
          <w:top w:w="28" w:type="dxa"/>
          <w:left w:w="28" w:type="dxa"/>
          <w:bottom w:w="28" w:type="dxa"/>
          <w:right w:w="28" w:type="dxa"/>
        </w:tblCellMar>
      </w:tblPr>
      <w:tblGrid>
        <w:gridCol w:w="1054"/>
        <w:gridCol w:w="925"/>
        <w:gridCol w:w="931"/>
        <w:gridCol w:w="1168"/>
        <w:gridCol w:w="1168"/>
        <w:gridCol w:w="1174"/>
        <w:gridCol w:w="109"/>
        <w:gridCol w:w="109"/>
        <w:gridCol w:w="109"/>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br/>
              <w:t>(Years)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10" w:type="dxa"/>
            <w:gridSpan w:val="3"/>
            <w:vMerge w:val="continue"/>
            <w:tcBorders/>
            <w:tcMar>
              <w:top w:w="0" w:type="dxa"/>
              <w:left w:w="0" w:type="dxa"/>
              <w:bottom w:w="0" w:type="dxa"/>
              <w:right w:w="0" w:type="dxa"/>
            </w:tcMar>
            <w:vAlign w:val="center"/>
          </w:tcPr>
          <w:p>
            <w:pPr>
              <w:pStyle w:val="Normal"/>
              <w:bidi w:val="0"/>
              <w:jc w:val="left"/>
              <w:rPr/>
            </w:pPr>
            <w:r>
              <w:rPr/>
            </w:r>
          </w:p>
        </w:tc>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$6,973 increase in Property and equipment, net was primarily due to capital expenditures of $34,301 and the reclassification of work in process inventory to equipment of $4,444, partially offset by depreciation expense.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and 2025, the Company retired $161 and $991, respectively, of computer equipment and software, furniture and fixtures, leasehold improvements, and machinery and equipment that were no longer in use by the Company.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for the fiscal years ended July 3, 2026, June 27, 2025 and June 28, 2024 was $33,779, $39,178 and $40,369,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20"/>
        </w:rPr>
        <w:t>Goodwill</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fiscal 2026, the Company completed its internal reorganization, which changed how segment management reviewed discrete financial information, by consolidating two divisions into a single integrated structure that unified all lines of business and matrixed business functions. The Company's U.S.-based businesses are now aligned into two product-oriented reporting units, Signal Technologies and Processing Technologies, a third reporting unit focused on more comprehensive solutions, Integrated Processing Solutions, and a fourth reporting unit is dedicated to bringing its advanced edge processing capabilities to the international market, Europe, the Middle East and Africa ("EMEA").</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In accordance with FASB ASC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Component level financial information is reviewed by management across four reporting units: Signal Technologies, Processing Technologies, Integrated Processing Solutions, and EMEA. Accordingly, these were determined to be the Company's reporting units.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potential triggering events during interim reporting periods. During the second quarter ended December 26, 2025, the Company assessed events and circumstances to consider its reporting units for a potential triggering event, including: macroeconomic conditions, industry and market considerations, financial performance and expectations of projected financial performance and cash flows, changes in the Company's stock price in relation to the carrying value of its reporting units, among other relevant factors. The Company concluded that the internal reorganization and change in reporting units qualified as a triggering event and required goodwill to be tested for impairment. As required by ASC 350, the Company tested goodwill for impairment immediately before and after the reorganization. The testing indicated that the fair values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Company's reporting units each had an estimated fair value substantially in excess of their carrying values. As a result of these analyses, it was determined that goodwill was not impaired before or after the reorganization.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performed its annual goodwill impairment test in the fourth quarter of fiscal 2026. Based on the quantitative evaluation, the Company determined that the Signal Technologies, Processing Technologies, Integrated Processing Solutions, and EMEA reporting units had estimated fair values that substantially exceeded their carrying values. The Company concluded that its goodwill was not impaired.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perform the next annual goodwill impairment analysis during the fourth quarter of fiscal year 2027. Adverse changes to the underlying information assumptions used in its assessment of potential triggering events could require the Company to perform an interim impairment test. If assumed revenue growth rate and cash flow projections are not achieved in future periods or the Company’s common stock price significantly declines from current levels, among other factors, its Signal Technologies, Processing Technologies, Integrated Processing Solutions, and EMEA reporting units could be at risk of failing the quantitative assessment and goodwill assigned to the respective reporting units could be impaired. Any impairment charges that the Company may record in the future could be material to its results of operations and financial condition.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fiscal 2026, the Company assigned goodwill to the new reporting units based on the relative fair value of transferred operations. The following table sets forth the changes in the carrying amount of goodwill for the twelve months ended July 3, 2026:</w:t>
      </w:r>
    </w:p>
    <w:tbl>
      <w:tblPr>
        <w:tblW w:w="5389" w:type="dxa"/>
        <w:jc w:val="left"/>
        <w:tblInd w:w="0" w:type="dxa"/>
        <w:tblLayout w:type="fixed"/>
        <w:tblCellMar>
          <w:top w:w="28" w:type="dxa"/>
          <w:left w:w="28" w:type="dxa"/>
          <w:bottom w:w="28" w:type="dxa"/>
          <w:right w:w="28" w:type="dxa"/>
        </w:tblCellMar>
      </w:tblPr>
      <w:tblGrid>
        <w:gridCol w:w="1245"/>
        <w:gridCol w:w="1091"/>
        <w:gridCol w:w="1099"/>
        <w:gridCol w:w="109"/>
        <w:gridCol w:w="109"/>
        <w:gridCol w:w="109"/>
        <w:gridCol w:w="211"/>
        <w:gridCol w:w="826"/>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G.Intangible Assets</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9022" w:type="dxa"/>
        <w:jc w:val="left"/>
        <w:tblInd w:w="0" w:type="dxa"/>
        <w:tblLayout w:type="fixed"/>
        <w:tblCellMar>
          <w:top w:w="28" w:type="dxa"/>
          <w:left w:w="28" w:type="dxa"/>
          <w:bottom w:w="28" w:type="dxa"/>
          <w:right w:w="28" w:type="dxa"/>
        </w:tblCellMar>
      </w:tblPr>
      <w:tblGrid>
        <w:gridCol w:w="1032"/>
        <w:gridCol w:w="907"/>
        <w:gridCol w:w="925"/>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486"/>
        <w:gridCol w:w="486"/>
        <w:gridCol w:w="692"/>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w:t>
              <w:br/>
              <w:t>Average</w:t>
              <w:br/>
              <w:t>Useful Life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agreements and patents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27, 2025</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agreements and 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intangible assets remaining at July 3, 2026 is as follows:</w:t>
      </w:r>
    </w:p>
    <w:tbl>
      <w:tblPr>
        <w:tblW w:w="4927" w:type="dxa"/>
        <w:jc w:val="left"/>
        <w:tblInd w:w="0" w:type="dxa"/>
        <w:tblLayout w:type="fixed"/>
        <w:tblCellMar>
          <w:top w:w="28" w:type="dxa"/>
          <w:left w:w="28" w:type="dxa"/>
          <w:bottom w:w="28" w:type="dxa"/>
          <w:right w:w="28" w:type="dxa"/>
        </w:tblCellMar>
      </w:tblPr>
      <w:tblGrid>
        <w:gridCol w:w="1033"/>
        <w:gridCol w:w="907"/>
        <w:gridCol w:w="924"/>
        <w:gridCol w:w="109"/>
        <w:gridCol w:w="109"/>
        <w:gridCol w:w="109"/>
        <w:gridCol w:w="211"/>
        <w:gridCol w:w="826"/>
        <w:gridCol w:w="109"/>
        <w:gridCol w:w="109"/>
        <w:gridCol w:w="109"/>
        <w:gridCol w:w="109"/>
        <w:gridCol w:w="109"/>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reviews net intangible assets with finite lives for impairment when an event occurs indicating the potential for impairment. Based on the Company’s last assessment, the Company believes that the carrying values of net intangible assets were recoverable as of July 3, 2026. However, if business conditions deteriorate, the Company may be required to record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impairment losses, and or increase the amortization of intangibles in the future. Any impairment charges that the Company may record in the future could be material to the results of operations and financial condition.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acquired completed technologies of $1,540 with a useful life of 5 years in connection with the Company's asset acquisition of a provider of specialized manufacturing processes.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acquired completed technologies of $4,866 with a useful life of 7.5 years in connection with the Company's asset acquisition of Star Lab.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H.</w:t>
      </w:r>
      <w:r>
        <w:rPr>
          <w:rFonts w:ascii="Times New Roman;serif" w:hAnsi="Times New Roman;serif"/>
          <w:b/>
          <w:color w:val="000000"/>
          <w:sz w:val="20"/>
        </w:rPr>
        <w:t>Restructuring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incurs restructuring and other charges in connection with management's decision to undertake certain actions to realign operating expenses through workforce reductions and the closure of certain Company facilities, businesses and product lines. The Company's adjustments reflected in restructuring and other charges are typically related to organizational redesign programs or discrete post-acquisition integration activities initiated as part of discrete post acquisition integration activities.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incurred $5,939 of restructuring charges in connection with workforce reductions that eliminated approximately 100 positions, predominantly in selling, general and administrative, research and development, and manufacturing.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incurred $7,216 of restructuring charges in connection with workforce reductions that eliminated approximately 145 positions, predominantly in research and development.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All of the restructuring and other charges are classified as Operating expenses in the Consolidated Statements of Operations and Comprehensive Loss and any remaining severance obligations are expected to be paid within the next twelve months. The remaining restructuring liability is classified as Accrued expenses in the Consolidated Balance Sheets.</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charges included in the Company’s liability for restructuring and other charges:</w:t>
      </w:r>
    </w:p>
    <w:tbl>
      <w:tblPr>
        <w:tblW w:w="5414" w:type="dxa"/>
        <w:jc w:val="left"/>
        <w:tblInd w:w="0" w:type="dxa"/>
        <w:tblLayout w:type="fixed"/>
        <w:tblCellMar>
          <w:top w:w="28" w:type="dxa"/>
          <w:left w:w="28" w:type="dxa"/>
          <w:bottom w:w="28" w:type="dxa"/>
          <w:right w:w="28" w:type="dxa"/>
        </w:tblCellMar>
      </w:tblPr>
      <w:tblGrid>
        <w:gridCol w:w="1201"/>
        <w:gridCol w:w="1055"/>
        <w:gridCol w:w="1058"/>
        <w:gridCol w:w="365"/>
        <w:gridCol w:w="1066"/>
        <w:gridCol w:w="188"/>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&amp;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 at June 28, 2024</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 at June 27, 2025</w:t>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 at July 3, 2026</w:t>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w:t>
      </w:r>
      <w:r>
        <w:rPr>
          <w:rFonts w:ascii="Times New Roman;serif" w:hAnsi="Times New Roman;serif"/>
          <w:b/>
          <w:color w:val="000000"/>
          <w:sz w:val="20"/>
        </w:rPr>
        <w:t xml:space="preserve">Leases </w:t>
      </w:r>
    </w:p>
    <w:p>
      <w:pPr>
        <w:pStyle w:val="TextBody"/>
        <w:bidi w:val="0"/>
        <w:spacing w:lineRule="auto" w:line="288" w:before="100" w:after="283"/>
        <w:ind w:left="0" w:right="0" w:firstLine="490"/>
        <w:jc w:val="both"/>
        <w:rPr/>
      </w:pPr>
      <w:r>
        <w:rPr>
          <w:rFonts w:ascii="Times New Roman;serif" w:hAnsi="Times New Roman;serif"/>
          <w:b w:val="false"/>
          <w:color w:val="000000"/>
          <w:sz w:val="20"/>
          <w:shd w:fill="FFFFFF" w:val="clear"/>
        </w:rPr>
        <w:t xml:space="preserve">The Company enters into lease arrangements to facilitate its operations, including manufacturing, storage, as well as engineering, sales, marketing and administration resources. </w:t>
      </w:r>
      <w:r>
        <w:rPr>
          <w:rFonts w:ascii="Times New Roman;serif" w:hAnsi="Times New Roman;serif"/>
          <w:b w:val="false"/>
          <w:color w:val="000000"/>
          <w:sz w:val="20"/>
        </w:rPr>
        <w:t xml:space="preserve">The Company measures its lease obligations in accordance with ASC 842, which requires lessees to record a ROU asset and lease liability for most lease arrangements. </w:t>
      </w:r>
      <w:r>
        <w:rPr>
          <w:rFonts w:ascii="Times New Roman;serif" w:hAnsi="Times New Roman;serif"/>
          <w:b w:val="false"/>
          <w:color w:val="000000"/>
          <w:sz w:val="20"/>
          <w:shd w:fill="FFFFFF" w:val="clear"/>
        </w:rPr>
        <w:t>Finance leases are not material to the Company's consolidated financial statements and therefore are excluded from the following disclosures.</w:t>
      </w:r>
    </w:p>
    <w:p>
      <w:pPr>
        <w:pStyle w:val="TextBody"/>
        <w:bidi w:val="0"/>
        <w:spacing w:lineRule="auto" w:line="288" w:before="100" w:after="283"/>
        <w:jc w:val="both"/>
        <w:rPr/>
      </w:pPr>
      <w:r>
        <w:rPr>
          <w:rFonts w:ascii="Times New Roman;serif" w:hAnsi="Times New Roman;serif"/>
          <w:b w:val="false"/>
          <w:color w:val="000000"/>
          <w:sz w:val="20"/>
        </w:rPr>
        <w:t>S</w:t>
      </w:r>
      <w:r>
        <w:rPr>
          <w:rFonts w:ascii="Times New Roman;serif" w:hAnsi="Times New Roman;serif"/>
          <w:b w:val="false"/>
          <w:color w:val="000000"/>
          <w:sz w:val="16"/>
        </w:rPr>
        <w:t>UPPLEMENTAL</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ALANCE</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HEET</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NFORMATION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Supplemental operating lease balance sheet information is summarized as follows:</w:t>
      </w:r>
    </w:p>
    <w:tbl>
      <w:tblPr>
        <w:tblW w:w="6089" w:type="dxa"/>
        <w:jc w:val="left"/>
        <w:tblInd w:w="0" w:type="dxa"/>
        <w:tblLayout w:type="fixed"/>
        <w:tblCellMar>
          <w:top w:w="28" w:type="dxa"/>
          <w:left w:w="28" w:type="dxa"/>
          <w:bottom w:w="28" w:type="dxa"/>
          <w:right w:w="28" w:type="dxa"/>
        </w:tblCellMar>
      </w:tblPr>
      <w:tblGrid>
        <w:gridCol w:w="1168"/>
        <w:gridCol w:w="1025"/>
        <w:gridCol w:w="1031"/>
        <w:gridCol w:w="109"/>
        <w:gridCol w:w="109"/>
        <w:gridCol w:w="109"/>
        <w:gridCol w:w="211"/>
        <w:gridCol w:w="721"/>
        <w:gridCol w:w="109"/>
        <w:gridCol w:w="109"/>
        <w:gridCol w:w="109"/>
        <w:gridCol w:w="109"/>
        <w:gridCol w:w="227"/>
        <w:gridCol w:w="777"/>
        <w:gridCol w:w="166"/>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r>
        <w:rPr>
          <w:rFonts w:ascii="Times New Roman;serif" w:hAnsi="Times New Roman;serif"/>
          <w:b w:val="false"/>
          <w:color w:val="000000"/>
          <w:sz w:val="16"/>
        </w:rPr>
        <w:t>(1) The short term portion of the Operating lease liabilities is included within Accrued expenses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e01e126a3eb42f1a350c3cee11901dd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pPr>
      <w:r>
        <w:rPr>
          <w:rFonts w:ascii="Times New Roman;serif" w:hAnsi="Times New Roman;serif"/>
          <w:b w:val="false"/>
          <w:color w:val="000000"/>
          <w:sz w:val="20"/>
        </w:rPr>
        <w:t>O</w:t>
      </w:r>
      <w:r>
        <w:rPr>
          <w:rFonts w:ascii="Times New Roman;serif" w:hAnsi="Times New Roman;serif"/>
          <w:b w:val="false"/>
          <w:color w:val="000000"/>
          <w:sz w:val="16"/>
        </w:rPr>
        <w:t>THER</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UPPLEMENTAL</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NFORMATION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Other supplemental operating lease information is summarized as follows:</w:t>
      </w:r>
    </w:p>
    <w:tbl>
      <w:tblPr>
        <w:tblW w:w="9735" w:type="dxa"/>
        <w:jc w:val="left"/>
        <w:tblInd w:w="0" w:type="dxa"/>
        <w:tblLayout w:type="fixed"/>
        <w:tblCellMar>
          <w:top w:w="28" w:type="dxa"/>
          <w:left w:w="28" w:type="dxa"/>
          <w:bottom w:w="28" w:type="dxa"/>
          <w:right w:w="28" w:type="dxa"/>
        </w:tblCellMar>
      </w:tblPr>
      <w:tblGrid>
        <w:gridCol w:w="2404"/>
        <w:gridCol w:w="2107"/>
        <w:gridCol w:w="2119"/>
        <w:gridCol w:w="109"/>
        <w:gridCol w:w="109"/>
        <w:gridCol w:w="109"/>
        <w:gridCol w:w="211"/>
        <w:gridCol w:w="721"/>
        <w:gridCol w:w="271"/>
        <w:gridCol w:w="109"/>
        <w:gridCol w:w="109"/>
        <w:gridCol w:w="109"/>
        <w:gridCol w:w="211"/>
        <w:gridCol w:w="721"/>
        <w:gridCol w:w="316"/>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 Ended</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new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rPr>
        <w:t>M</w:t>
      </w:r>
      <w:r>
        <w:rPr>
          <w:rFonts w:ascii="Times New Roman;serif" w:hAnsi="Times New Roman;serif"/>
          <w:b w:val="false"/>
          <w:color w:val="000000"/>
          <w:sz w:val="16"/>
        </w:rPr>
        <w:t>ATURITIES</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L</w:t>
      </w:r>
      <w:r>
        <w:rPr>
          <w:rFonts w:ascii="Times New Roman;serif" w:hAnsi="Times New Roman;serif"/>
          <w:b w:val="false"/>
          <w:color w:val="000000"/>
          <w:sz w:val="16"/>
        </w:rPr>
        <w:t>EASE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OMMITMENTS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commitments as of July 3, 2026 were as follows:</w:t>
      </w:r>
    </w:p>
    <w:tbl>
      <w:tblPr>
        <w:tblW w:w="4922" w:type="dxa"/>
        <w:jc w:val="left"/>
        <w:tblInd w:w="0" w:type="dxa"/>
        <w:tblLayout w:type="fixed"/>
        <w:tblCellMar>
          <w:top w:w="28" w:type="dxa"/>
          <w:left w:w="28" w:type="dxa"/>
          <w:bottom w:w="28" w:type="dxa"/>
          <w:right w:w="28" w:type="dxa"/>
        </w:tblCellMar>
      </w:tblPr>
      <w:tblGrid>
        <w:gridCol w:w="1268"/>
        <w:gridCol w:w="1113"/>
        <w:gridCol w:w="1128"/>
        <w:gridCol w:w="109"/>
        <w:gridCol w:w="109"/>
        <w:gridCol w:w="109"/>
        <w:gridCol w:w="211"/>
        <w:gridCol w:w="72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2026, 2025 and 2024 the Company recognized operating lease expense of $15,157, $14,587, and $13,775, respectively. There were no material restrictions, covenants, sale and leaseback transactions, variable lease payments or residual value guarantees imposed by the Company's leases at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J.</w:t>
      </w:r>
      <w:r>
        <w:rPr>
          <w:rFonts w:ascii="Times New Roman;serif" w:hAnsi="Times New Roman;serif"/>
          <w:b/>
          <w:color w:val="000000"/>
          <w:sz w:val="20"/>
        </w:rPr>
        <w:t>Income Taxes</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components of (loss) income before income taxes and income tax provision (benefit) were as follows:</w:t>
      </w:r>
    </w:p>
    <w:tbl>
      <w:tblPr>
        <w:tblW w:w="7136" w:type="dxa"/>
        <w:jc w:val="left"/>
        <w:tblInd w:w="0" w:type="dxa"/>
        <w:tblLayout w:type="fixed"/>
        <w:tblCellMar>
          <w:top w:w="28" w:type="dxa"/>
          <w:left w:w="28" w:type="dxa"/>
          <w:bottom w:w="28" w:type="dxa"/>
          <w:right w:w="28" w:type="dxa"/>
        </w:tblCellMar>
      </w:tblPr>
      <w:tblGrid>
        <w:gridCol w:w="1080"/>
        <w:gridCol w:w="948"/>
        <w:gridCol w:w="956"/>
        <w:gridCol w:w="211"/>
        <w:gridCol w:w="796"/>
        <w:gridCol w:w="109"/>
        <w:gridCol w:w="109"/>
        <w:gridCol w:w="109"/>
        <w:gridCol w:w="109"/>
        <w:gridCol w:w="211"/>
        <w:gridCol w:w="796"/>
        <w:gridCol w:w="109"/>
        <w:gridCol w:w="109"/>
        <w:gridCol w:w="109"/>
        <w:gridCol w:w="109"/>
        <w:gridCol w:w="211"/>
        <w:gridCol w:w="90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provision: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income tax payments, net of tax refunds by jurisdiction were as follows:</w:t>
      </w:r>
    </w:p>
    <w:tbl>
      <w:tblPr>
        <w:tblW w:w="6330" w:type="dxa"/>
        <w:jc w:val="left"/>
        <w:tblInd w:w="0" w:type="dxa"/>
        <w:tblLayout w:type="fixed"/>
        <w:tblCellMar>
          <w:top w:w="28" w:type="dxa"/>
          <w:left w:w="28" w:type="dxa"/>
          <w:bottom w:w="28" w:type="dxa"/>
          <w:right w:w="28" w:type="dxa"/>
        </w:tblCellMar>
      </w:tblPr>
      <w:tblGrid>
        <w:gridCol w:w="1430"/>
        <w:gridCol w:w="1254"/>
        <w:gridCol w:w="1261"/>
        <w:gridCol w:w="429"/>
        <w:gridCol w:w="1254"/>
        <w:gridCol w:w="221"/>
        <w:gridCol w:w="109"/>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July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16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net of refunds</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was $365 and $(9,315) in fiscal 2025 and 2024, respectively (as previously disclosed, prior to the adoption of ASU 2023-09).</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is the reconciliation between the federal statutory income tax rate and the Company’s effective income tax rate for fiscal 2026, after the adoption of ASU 2023-09:</w:t>
      </w:r>
    </w:p>
    <w:tbl>
      <w:tblPr>
        <w:tblW w:w="6610" w:type="dxa"/>
        <w:jc w:val="left"/>
        <w:tblInd w:w="0" w:type="dxa"/>
        <w:tblLayout w:type="fixed"/>
        <w:tblCellMar>
          <w:top w:w="28" w:type="dxa"/>
          <w:left w:w="28" w:type="dxa"/>
          <w:bottom w:w="28" w:type="dxa"/>
          <w:right w:w="28" w:type="dxa"/>
        </w:tblCellMar>
      </w:tblPr>
      <w:tblGrid>
        <w:gridCol w:w="1469"/>
        <w:gridCol w:w="1295"/>
        <w:gridCol w:w="1300"/>
        <w:gridCol w:w="219"/>
        <w:gridCol w:w="720"/>
        <w:gridCol w:w="113"/>
        <w:gridCol w:w="113"/>
        <w:gridCol w:w="113"/>
        <w:gridCol w:w="113"/>
        <w:gridCol w:w="293"/>
        <w:gridCol w:w="293"/>
        <w:gridCol w:w="569"/>
      </w:tblGrid>
      <w:tr>
        <w:trPr/>
        <w:tc>
          <w:tcPr>
            <w:tcW w:w="146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July 3, 2026</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 statutory income tax rate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tax benefit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differential</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 related to stock compensation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is the reconciliation between the federal statutory income tax rate and the Company’s effective income tax rate for fiscal 2025 and fiscal 2024, prior to the adoption of ASU 2023-09:</w:t>
      </w:r>
    </w:p>
    <w:tbl>
      <w:tblPr>
        <w:tblW w:w="6579" w:type="dxa"/>
        <w:jc w:val="left"/>
        <w:tblInd w:w="0" w:type="dxa"/>
        <w:tblLayout w:type="fixed"/>
        <w:tblCellMar>
          <w:top w:w="28" w:type="dxa"/>
          <w:left w:w="28" w:type="dxa"/>
          <w:bottom w:w="28" w:type="dxa"/>
          <w:right w:w="28" w:type="dxa"/>
        </w:tblCellMar>
      </w:tblPr>
      <w:tblGrid>
        <w:gridCol w:w="1546"/>
        <w:gridCol w:w="1362"/>
        <w:gridCol w:w="1367"/>
        <w:gridCol w:w="109"/>
        <w:gridCol w:w="109"/>
        <w:gridCol w:w="293"/>
        <w:gridCol w:w="293"/>
        <w:gridCol w:w="271"/>
        <w:gridCol w:w="109"/>
        <w:gridCol w:w="109"/>
        <w:gridCol w:w="109"/>
        <w:gridCol w:w="293"/>
        <w:gridCol w:w="293"/>
        <w:gridCol w:w="316"/>
      </w:tblGrid>
      <w:tr>
        <w:trPr/>
        <w:tc>
          <w:tcPr>
            <w:tcW w:w="15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at federal statutory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provision related to 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unrecognized income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2026 differed from the federal statutory rate primarily due to nondeductible compensation and valuation allowances recorded, partially offset by tax benefits related to stock compensation.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2025 differed from the federal statutory rate primarily due to federal and state research and development tax credits, releases to reserves for unrecognized income tax benefits and state taxes, partially offset by tax provisions related to stock compensation.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2024 differed from the federal statutory rate primarily due to federal and state research and development tax credits and state taxes, partially offset by tax provisions related to stock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net deferred tax assets (liabilities) were as follows:</w:t>
      </w:r>
    </w:p>
    <w:tbl>
      <w:tblPr>
        <w:tblW w:w="8132" w:type="dxa"/>
        <w:jc w:val="left"/>
        <w:tblInd w:w="0" w:type="dxa"/>
        <w:tblLayout w:type="fixed"/>
        <w:tblCellMar>
          <w:top w:w="28" w:type="dxa"/>
          <w:left w:w="28" w:type="dxa"/>
          <w:bottom w:w="28" w:type="dxa"/>
          <w:right w:w="28" w:type="dxa"/>
        </w:tblCellMar>
      </w:tblPr>
      <w:tblGrid>
        <w:gridCol w:w="2029"/>
        <w:gridCol w:w="1779"/>
        <w:gridCol w:w="1786"/>
        <w:gridCol w:w="211"/>
        <w:gridCol w:w="721"/>
        <w:gridCol w:w="109"/>
        <w:gridCol w:w="109"/>
        <w:gridCol w:w="109"/>
        <w:gridCol w:w="109"/>
        <w:gridCol w:w="227"/>
        <w:gridCol w:w="777"/>
        <w:gridCol w:w="166"/>
      </w:tblGrid>
      <w:tr>
        <w:trPr/>
        <w:tc>
          <w:tcPr>
            <w:tcW w:w="202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and receivable allowances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research and development tax credit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carryforward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net operating loss carryforward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(73,845)</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At July 3, 2026, the Company has gross state research and development tax credit carryforwards of $15,435, $12,193 net of federal benefit, of which a portion will expire each fiscal year through fiscal year 2041. The Company maintains a valuation allowance on the majority of the Company’s state research and development tax credit carryforwards. The Company has gross federal research and development tax credit carryforwards of $6,067, of which a portion will expire starting in fiscal year 2043.</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At July 3, 2026, the Company has gross interest expense carryforwards of $31,269, which have an indefinite life, gross state net operating loss carryforwards of $129,229, which will expire starting in fiscal year 2040 and gross foreign net operating loss carryforwards of $42,737 which will expire starting in fiscal year 2029. The Company maintains a valuation allowance on all foreign net operating loss carryforwards.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(federal and state) and various foreign jurisdictions that it operates in. The Company has established income tax reserves for potential additional income taxes based upon management’s assessment, including recognition and measurement. All income tax reserves are analyzed quarterly, and adjustments are made as events occur and warrant modification.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changes in the Company’s income tax reserves for gross unrecognized income tax benefits, including interest and penalties, are summarized as follows:</w:t>
      </w:r>
    </w:p>
    <w:tbl>
      <w:tblPr>
        <w:tblW w:w="7944" w:type="dxa"/>
        <w:jc w:val="left"/>
        <w:tblInd w:w="0" w:type="dxa"/>
        <w:tblLayout w:type="fixed"/>
        <w:tblCellMar>
          <w:top w:w="28" w:type="dxa"/>
          <w:left w:w="28" w:type="dxa"/>
          <w:bottom w:w="28" w:type="dxa"/>
          <w:right w:w="28" w:type="dxa"/>
        </w:tblCellMar>
      </w:tblPr>
      <w:tblGrid>
        <w:gridCol w:w="2066"/>
        <w:gridCol w:w="1812"/>
        <w:gridCol w:w="1822"/>
        <w:gridCol w:w="211"/>
        <w:gridCol w:w="616"/>
        <w:gridCol w:w="109"/>
        <w:gridCol w:w="109"/>
        <w:gridCol w:w="109"/>
        <w:gridCol w:w="109"/>
        <w:gridCol w:w="211"/>
        <w:gridCol w:w="616"/>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taken during the current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for tax positions taken related to a prior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as a result of a lapse of the applicable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$3,487 of unrecognized income tax benefits as of July 3, 2026. If released, all $3,487 of these unrecognized income tax benefits would reduce the Company’s income tax provision.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includes interest and penalties related to unrecognized tax benefits within the provision for income taxes. The total amount of interest and penalties accrued was $887 and $878 as of July 3, 2026 and June 27, 2025, respectively, and the amount of interest and penalties accrued (released) and recognized was $9 and $(496) during July 3, 2026 and June 27, 2025, respectively.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major tax jurisdiction is the U.S. (Federal and state) and the open tax years are fiscal 2020 through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K.</w:t>
      </w:r>
      <w:r>
        <w:rPr>
          <w:rFonts w:ascii="Times New Roman;serif" w:hAnsi="Times New Roman;serif"/>
          <w:b/>
          <w:color w:val="000000"/>
          <w:sz w:val="20"/>
        </w:rPr>
        <w:t>Commitments and Contingencies</w:t>
      </w:r>
    </w:p>
    <w:p>
      <w:pPr>
        <w:pStyle w:val="TextBody"/>
        <w:bidi w:val="0"/>
        <w:spacing w:lineRule="auto" w:line="288" w:before="180" w:after="283"/>
        <w:jc w:val="left"/>
        <w:rPr/>
      </w:pPr>
      <w:r>
        <w:rPr>
          <w:rFonts w:ascii="Times New Roman;serif" w:hAnsi="Times New Roman;serif"/>
          <w:b/>
          <w:color w:val="000000"/>
          <w:sz w:val="20"/>
        </w:rPr>
        <w:t>L</w:t>
      </w:r>
      <w:r>
        <w:rPr>
          <w:rFonts w:ascii="Times New Roman;serif" w:hAnsi="Times New Roman;serif"/>
          <w:b/>
          <w:color w:val="000000"/>
          <w:sz w:val="16"/>
        </w:rPr>
        <w:t>EGAL</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LAIMS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litigation, claims, investigations and audits arising from time to time in the ordinary course of business. Although legal proceedings are inherently unpredictable, the Company believes that it has valid defenses with respect to those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7, 2021, counsel for National Technical Systems, Inc. (“NTS”) sent the Company an environmental demand letter pursuant to Massachusetts General Laws Chapter 21E, Section 4A, and CERCLA 42 U.S.C. Section 9601, related to a site that NTS formerly owned at 533 Main Street, Acton, Massachusetts. NTS received a Notice of Responsibility from the Massachusetts Department of Environmental Protection (“MassDEP”) alleging trichloroethene, Freon and 1,4-dioxane contamination in the groundwater emanating from NTS’s former site. NTS alleges that the operations of a predecessor company to Mercury that was acquired in the Company’s acquisition of the Microsemi Carve-Out Business that once owned and operated a facility at 531 Main Street, Acton, Massachusetts (the “Site”) contributed to the groundwater contamination, and NTS is seeking payment from the Company of NTS’s costs for any required environmental remediation. The Company believes the NTS claims are without merit and intends to defend itself vigorously. In November 2021, the Company responded to a request for information from MassDEP regarding the detection of PFAS (per- and polyfluoroakyl substances) in the Acton, Massachusetts Water District’s Conant public water supply wells near the Site at a level above the standard that MassDEP published for PFAS in October 2020. The Company had not been contacted by MassDEP regarding PFAS since the response was provided in November 2021 until October 30, 2025, when MassDEP sent a Notice of Responsibility to the Company reporting that the Company, as successor to a former owner and operator of the Site, and Laine Realty Trust, the current owner of the Site, are responsible parties related to alleged releases of Freon at the Site. The Company engaged a licensed site professional, responded to the notice from MassDEP, and negotiated a site access agreement with the current owner for soil testing. The soil test results did not detect reportable levels of the contaminants cited in the MassDEP notice, and the licensed site professional is preparing a report to close out the Notice of Responsibility that the Company received in October 2025. It is too early to determine what responsibility, if any, the Company may have for these environmental matters.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June 19, 2023, the Board of Directors received notice of the Company’s former CEO’s resignation from his positions of President and Chief Executive Officer. The Board accepted his resignation effective June 24, 2023. In his notice, the former CEO claimed he was entitled to certain benefits, including equity vesting, severance, and other benefits, under his change in control severance agreement (the “CIC Agreement”) because the former CEO had resigned with good reason during a potential change in control period. The Company disputes these claims and maintains that the former CEO resigned without good reason. On September 19, 2023, the former CEO filed for binding arbitration under the employment rules of the American Arbitration Association (“AAA”). An arbitrator was appointed on November 29, 2023. On March 25, 2024, the arbitrator denied the former CEO’s motion for compensation during the dispute and payment of his legal fees, preserving those matters for the arbitration hearing. An arbitration hearing was conducted from March 31, 2025 through April 9, 2025. Following the arbitration hearing, the parties filed post-hearing briefs on May 16, 2025, response briefs on June 13, 2025 and conducted oral arguments on June 30, 2025. On August 13, 2025, the arbitrator issued an interim award finding that the former CEO did not have good reason for termination under the CIC Agreement, rejecting the former CEO’s claims for enhanced severance payments and accelerated stock vesting. However, the arbitrator found that the former CEO is entitled to compensation during the dispute under the agreement. The arbitrator awarded the former CEO cash compensation including base salary, interest and bonus, but the arbitrator declined to award the former CEO shares of Mercury stock (or the value thereof) because the arbitrator determined it was unclear whether he had jurisdiction to review the effect of Mercury’s Human Capital and Compensation Committee decision to rescind and cancel such stock awards. The arbitrator also awarded the former CEO all reasonable legal fees and expenses incurred in the arbitration per the CIC Agreement, finding no bad faith in his pursuit of the claims, and rejected the Company’s counterclaims. On September 12, 2025, the former CEO filed a complaint in Massachusetts state court seeking to vacate the interim arbitration award in part, as to the shares of Mercury’s stock the arbitrator declined to award. On December 30, 2025, the parties executed a settlement agreement resolving the claims in both the arbitration proceeding and the Massachusetts state court lawsuit in exchange for a payment of $5,000 from the Company to the former CEO. The payment was completed on December 30, 2025, the arbitration proceeding has been closed, and the Massachusetts state court lawsuit has been dismissed.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December 13, 2023, a securities class action complaint was filed against the Company, Mark Aslett, and Michael Ruppert in the U.S. District Court for the District of Massachusetts. The complaint asserted Section 10(b) and 20(a) securities fraud claims on behalf of a purported class of purchasers and sellers of the Company’s stock from December 7, 2020, through June 23, 2023. The complaint alleged that the Company’s public disclosures in SEC filings and on earnings calls were false and/or misleading. On February 27, 2024, the Court entered an order appointing Carpenters Pension Trust Fund for Northern California as lead plaintiff. On April 18, 2024, the lead plaintiff filed an amended complaint including William Ballhaus and David Farnsworth as additional defendants and amended the class period to February 3, 2021 through February 6, 2024. The Company filed a motion to dismiss on May 24, 2024, and after the plaintiffs’ filed their opposition motion and the Company filed its reply to their opposition, a hearing on the motion was conducted by the Court on July 24, 2024. On July 24, 2024, the Court dismissed the case without prejudice and permitted the plaintiffs 30 days to file an amended complaint. The plaintiffs filed for leave to amend their complaint on August 23, 2024, the Company filed its opposition motion on September 6th, the plaintiffs filed their response brief on September 17, 2024, and the Company filed its reply on September 30, 2024. On February 20, 2025, the Court issued an order that dismissed claims relating to 14 of 17 challenged statements and that allowed the remaining three challenged statements to proceed. The Court also dismissed Messrs. Ruppert and Farnsworth from the lawsuit. Subject to the terms of the Company’s by-laws and applicable Massachusetts law, Mr. Aslett and Mr. Ballhaus are indemnified by the Company for the federal securities class action. While in discovery, the parties participated in a mediation on September 11, 2025. After the mediation, all parties to the securities class action lawsuit agreed to a settlement in principle to resolve the litigation for $32,500, which settlement in principle was subject to a final settlement agreement and review and approval by the Court. On April 21, 2026, five funds associated with Starboard Value LP (“Starboard”), representing approximately 14% of the class, requested exclusion from the class by sending notice to the settlement administrator. The Court approved the settlement on June 5, 2026. The Company’s directors’ and officers’ liability insurers have funded the $32,500 settlement escrow account for distribution by the settlement administrator.</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June 8, 2026, Starboard sued the Company, Mark Aslett and Michael Ruppert in Massachusetts Superior Court in Essex County with claims based on the federal securities class action lawsuit and separate claims arising from Starboard’s ownership of Company stock and a related standstill agreement signed in June 2022. On July 30, 2026, the Company filed a motion to dismiss the lawsuit. The Company believes the Starboard claims are without merit and intends to defend itself vigorously. It is too early to determine what responsibility, if any, the Company will have for this matter. In connection with Starboard’s claims, the Company may incur substantial legal fees and liabilities which may not be covered by the Company’s applicable directors’ and officers’ liability insurance.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October 11, 2024, the Company received a shareholder derivative demand on behalf of Robert Sawyer alleging substantially the same claims as those covered in the federal securities class action. On February 28, 2025, the Company received a derivative demand on behalf of James Jones alleging substantially the same claims as those covered in the federal securities class action and the Robert Sawyer derivative demand. On May 20, 2025, the Board of Directors formed a Special Investigation Committee of independent directors to investigate the subject matters of the demand letters. On June 6, 2025, James Jones, on behalf of nominal defendant Mercury Systems, Inc., filed a derivative complaint in Massachusetts Superior Court in Essex County against Mark Aslett, Michael Ruppert, William Ballhaus, David Farnsworth, Orlando Carvalho, Lisa Disbrow, Barry Nearhos, Howard Lance, Debora Plunkett, Gerard DeMuro, Scott Ostfeld, Roger Krone, William O’Brien, Vincent Vitto, James Bass, Michael Daniels and Mary Louise Krakauer, all current or former Mercury officers or directors. This derivative action was stayed while the Special Investigation Committee conducted its investigation. On July 17, 2025, the Company received a derivative demand on behalf of Pauline McKinnon alleging substantially the same claims as those covered in the federal securities class action and the James Jones and Robert Sawyer derivative demands. The Company and the shareholder derivative claimants have agreed to a settlement of $600 with certain corporate governance reforms, subject to Court approval. As of July 3, 2026, a $600 receivable and payable were included within Prepaid expenses and other current assets and Accrued expenses in the Company's Consolidated Balance Sheet, respectively, with respect to the settlement. The increases in the receivable and payable were reflected within the changes in operating assets and liabilities within the Company's Consolidated Statement of Cash Flows for fiscal 2026.</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January 31, 2024, a former employee at the Company's Torrance, California location, filed a wage and hour class action lawsuit in California state court in Los Angeles County, along with a companion Private Attorneys General Act (“PAGA”) lawsuit, to act in a representative capacity for other Mercury Mission Systems, LLC employees in California, alleging a range of violations of California wage and hour regulations. On October 1, 2024, a second former employee at our Torrance location filed a PAGA notice to act in a representative capacity on allegations of a range of violations of California wage and hour regulations. On December 21, 2024, the Company reached an agreement in principle to settle these wage and hour class action claims for $450, which settlement in principle was subject to a final settlement agreement and review and approval by the Court. On March 4, 2026, the Court granted final approval of the settlement. On April 1, 2026, the class administrator determined that the final payment amount would include $5 for employer tax obligations, bringing the final settlement amount to $455. On April 30, 2026, the Company paid the settlement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September 2025, an internal investigation was initiated, with the assistance of outside counsel, in connection with what the Company preliminarily believes may be inaccurately reported test results and certifications of conformance with certain product performance specifications under subcontracts involving approximately $15,000 in total revenue over approximately 20 years in support of a government program. The Company has no evidence that the product has not been effective in its intended use or function, nor has it encountered reported safety issues. The Company has reported the matter to the customer and, in an abundance of caution, to the government. The Company’s customer has notified the Company that there is no impact to system performance resulting from the reported deviations from specifications, and that such deviations are within tolerances. The Company’s customer has agreed to modify the specifications so that the Company can continue producing the product. The Company cannot currently estimate the amount or range of cost or loss, if any, associated with this matter. Any determination that the Company’s previous operations were not in compliance with laws or regulations such as the False Claims Act could result in the imposition of civil or criminal fines, penalties, disgorgement, restitution, equitable relief, or other losses or conduct restrictions, and could be material to the Company’s financial results or business operations.</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NDEMNIFICATION</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BLIGATIONS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IP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URCHASE</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OMMITMENTS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of July 3, 2026, the Company has entered into non-cancelable purchase commitments for certain inventory components and services used in its normal operations. The purchase commitments covered by these agreements aggregate to $269,211.</w:t>
      </w:r>
    </w:p>
    <w:p>
      <w:pPr>
        <w:pStyle w:val="TextBody"/>
        <w:bidi w:val="0"/>
        <w:spacing w:lineRule="auto" w:line="288" w:before="180" w:after="283"/>
        <w:jc w:val="both"/>
        <w:rPr/>
      </w:pPr>
      <w:r>
        <w:rPr>
          <w:rFonts w:ascii="Times New Roman;serif" w:hAnsi="Times New Roman;serif"/>
          <w:b/>
          <w:color w:val="000000"/>
          <w:sz w:val="20"/>
        </w:rPr>
        <w:t>O</w:t>
      </w:r>
      <w:r>
        <w:rPr>
          <w:rFonts w:ascii="Times New Roman;serif" w:hAnsi="Times New Roman;serif"/>
          <w:b/>
          <w:color w:val="000000"/>
          <w:sz w:val="16"/>
        </w:rPr>
        <w:t>THER</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may elect from time to time to purchase and subsequently retire shares of common stock in order to settle an individual employees’ tax liability associated with vesting of a restricted stock award or exercise of stock options. These transactions are treated as a use of cash in financing activities in the Company's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L.</w:t>
      </w:r>
      <w:r>
        <w:rPr>
          <w:rFonts w:ascii="Times New Roman;serif" w:hAnsi="Times New Roman;serif"/>
          <w:b/>
          <w:color w:val="000000"/>
          <w:sz w:val="20"/>
        </w:rPr>
        <w:t>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August 13, 2024, the Company executed Amendment No. 6 to the Revolver, decreasing the permanent borrowing capacity to $900,000, with a temporary reduction in credit availability to $750,000 until the Company meets a minimum consolidated EBITDA level, as defined in the Amendment No. 6 to the Revolver. In conjunction with Amendment No. 6 to the Revolver, the Company incurred $2,249 of new deferred financing costs that will be amortized over the remaining term of the Revolver. As part of the amendment, the Company wrote off $714 of previously deferred financing costs associated with the line of credit facility prior to the amendment. This write-off is included in Other expense, net in the Consolidated Statements of Operations and Comprehensive Loss. Refer to exhibit 10.7.6 on Form 10-K filed by the Company with the SEC on August 13, 2024.</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November 4, 2025, the Company entered into Amendment No. 7 to the Revolver. This amendment extends the maturity date of the credit facility by five years to November 4, 2030 with a borrowing capacity of $850,000. In conjunction with Amendment No. 7 to the Revolver, the Company incurred $3,156 of new deferred financing costs that will be amortized over the remaining term of the Revolver. As part of the amendment, the Company wrote off $845 of previously deferred financing costs associated with the line of credit facility prior to the amendment. This write-off is included in Other expense, net in the Consolidated Statements of Operations and Comprehensive Loss. Refer to Exhibit 10.1 on Form 8-K filed by the Company with the SEC on November 4,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Maturity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Revolver has a 5-year maturity and will mature on November 4, 2030.</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Rates and Fees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Revolver bear interest at floating rates tied to Secured Overnight Financing Rate (“SOFR”) plus an applicable percentage in the case of dollar denominated loans or, in the case of certain other currencies, such alternative floating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rates as agreed. The interest rate applicable to outstanding loans has initially been set at SOFR plus 1.25% and in future fiscal quarters will be established pursuant to a pricing grid based on the Company’s total net leverage ratio.</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addition to interest on the aggregate outstanding principal amounts of any borrowings, the Company will also pay a quarterly commitment fee on the unutilized commitments under the Revolver, which fee has initially been set at 0.20% per annum and in future fiscal quarters will be established pursuant to a pricing grid based on the Company’s total net leverage ratio. The Company will also pay customary letter of credit and agency fees.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Covenants and Events of Default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Revolver provides for customary negative covenants, including, among other things and subject to certain significant exceptions, restrictions on the incurrence of debt or guarantees, the creation of liens, the making of certain investments, loans and acquisitions, mergers and dissolutions, the sale of assets including capital stock of subsidiaries, the payment of dividends, the repayment or amending of junior debt, altering the business conducted, engaging in transactions with affiliates and entering into agreements limiting subsidiary dividends and distributions. The Revolver also requires the Company to comply with certain financial covenants, including a quarterly minimum consolidated cash interest charge ratio test and a quarterly maximum consolidated total net leverage ratio test.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Revolver also provides for customary representations and warranties, affirmative covenants and events of default (including, among others, the failure to make required payments of principal and interest, certain insolvency events and an event of default upon a change of control). If an event of default occurs, the lenders under the Revolver will be entitled to take various actions, including the termination of unutilized commitments, the acceleration of amounts outstanding under the Revolver and all actions permitted to be taken by a secured creditor.</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Guarantees and Security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Revolver are guaranteed by certain of the Company’s material domestic wholly-owned restricted subsidiaries (the “Guarantors”). The obligations of both the Company and the Guarantors are secured by a perfected security interest in substantially all of the assets of the Company and the Guarantors, in each case, now owned or later acquired, including a pledge of all of the capital stock of substantially all of the Company’s domestic wholly-owned restricted subsidiaries and 65% of the capital stock of certain of its foreign restricted subsidiaries, subject in each case to the exclusion of certain assets and additional exceptions.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the Company was in compliance with all covenants and conditions under the Revolver and there were outstanding borrowings of $441,500 and $591,500 against the Revolver for the fiscal years ended July 3, 2026 and June 27, 2025, respectively. The Company incurred interest expense of $29,590 and $33,430 for fiscal years ended July 3, 2026 and June 27, 2025, respectively. The current borrowing capacity as defined under the Revolver as of July 3, 2026 is approximately $850,000, of which we had outstanding borrowings against of $441,500. There were outstanding letters of credit of $4,154 as of July 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M.</w:t>
      </w:r>
      <w:r>
        <w:rPr>
          <w:rFonts w:ascii="Times New Roman;serif" w:hAnsi="Times New Roman;serif"/>
          <w:b/>
          <w:color w:val="000000"/>
          <w:sz w:val="20"/>
        </w:rPr>
        <w:t>Employee Benefit Plans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Pension Plan</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The Company maintains a pension plan (the “Plan”) for its Swiss employees, which is administered by an independent pension fund. The Plan is mandated by Swiss law and meets the criteria for a defined benefit plan under ASC 715, </w:t>
      </w:r>
      <w:r>
        <w:rPr>
          <w:rFonts w:ascii="Times New Roman;serif" w:hAnsi="Times New Roman;serif"/>
          <w:b w:val="false"/>
          <w:i/>
          <w:color w:val="000000"/>
          <w:sz w:val="20"/>
        </w:rPr>
        <w:t>Compensation—Retirement Benefits</w:t>
      </w:r>
      <w:r>
        <w:rPr>
          <w:color w:val="000000"/>
        </w:rPr>
        <w:t xml:space="preserve"> </w:t>
      </w:r>
      <w:r>
        <w:rPr>
          <w:rFonts w:ascii="Times New Roman;serif" w:hAnsi="Times New Roman;serif"/>
          <w:b w:val="false"/>
          <w:color w:val="000000"/>
          <w:sz w:val="20"/>
        </w:rPr>
        <w:t xml:space="preserve">(“ASC 715”), since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recognizes a net asset or liability for the Plan equal to the difference between the projected benefit obligation of the Plan and the fair value of the Plan’s assets as required by ASC 715. The funded status may vary from year to year due to changes in the fair value of the Plan’s assets and variations on the underlying assumptions of the projected benefit obligation of the Plan.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fiscal 2021, the independent pension fund changed the conversion rate for accumulated retirement savings leading to a Plan amendment. The Company’s results contain the effects of this change in conversion rates by the independent pension fund as prior service costs. These prior service costs are amortized from AOCI to net periodic benefit costs over approximately nine years.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At July 3, 2026, the accumulated benefit obligation of the Plan equals the fair value of the Plan's assets. The Plan's funded status at July 3, 2026 and June 27, 2025 was a net liability of $3,053 and $5,282, respectively, which is recorded in Other non-current liabilities on the Consolidated Balance Sheets. The Company recognized net periodic benefit gains of $2,675 and $1,233 associated with the Plan and a net loss of $984 and 1,809 in AOCI during the fiscal years ended July 3, 2026 and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27, 2025, respectively. Total employer contributions to the Plan were $598 during the year ended July 3, 2026, and the Company's total expected employer contributions to the Plan during fiscal 2027 are $412.</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total pension benefits expected to be paid from the Plan, which is funded from contributions by participants and the Company.</w:t>
      </w:r>
    </w:p>
    <w:tbl>
      <w:tblPr>
        <w:tblW w:w="3392" w:type="dxa"/>
        <w:jc w:val="left"/>
        <w:tblInd w:w="0" w:type="dxa"/>
        <w:tblLayout w:type="fixed"/>
        <w:tblCellMar>
          <w:top w:w="28" w:type="dxa"/>
          <w:left w:w="28" w:type="dxa"/>
          <w:bottom w:w="28" w:type="dxa"/>
          <w:right w:w="28" w:type="dxa"/>
        </w:tblCellMar>
      </w:tblPr>
      <w:tblGrid>
        <w:gridCol w:w="756"/>
        <w:gridCol w:w="663"/>
        <w:gridCol w:w="665"/>
        <w:gridCol w:w="109"/>
        <w:gridCol w:w="109"/>
        <w:gridCol w:w="109"/>
        <w:gridCol w:w="211"/>
        <w:gridCol w:w="61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Fiscal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 (next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components of net periodic benefit cost of the Plan for the fiscal years ended July 3, 2026 and June 27, 2025:</w:t>
      </w:r>
    </w:p>
    <w:tbl>
      <w:tblPr>
        <w:tblW w:w="5342" w:type="dxa"/>
        <w:jc w:val="left"/>
        <w:tblInd w:w="0" w:type="dxa"/>
        <w:tblLayout w:type="fixed"/>
        <w:tblCellMar>
          <w:top w:w="28" w:type="dxa"/>
          <w:left w:w="28" w:type="dxa"/>
          <w:bottom w:w="28" w:type="dxa"/>
          <w:right w:w="28" w:type="dxa"/>
        </w:tblCellMar>
      </w:tblPr>
      <w:tblGrid>
        <w:gridCol w:w="1025"/>
        <w:gridCol w:w="901"/>
        <w:gridCol w:w="909"/>
        <w:gridCol w:w="211"/>
        <w:gridCol w:w="691"/>
        <w:gridCol w:w="109"/>
        <w:gridCol w:w="109"/>
        <w:gridCol w:w="109"/>
        <w:gridCol w:w="109"/>
        <w:gridCol w:w="233"/>
        <w:gridCol w:w="766"/>
        <w:gridCol w:w="170"/>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gain recognized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 recognized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gain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fiscal year 2026, due to a reduction in force that impacted 39 employees, there was a $3,518 plan curtailment.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related actuarial assumptions used to determine net periodic benefit cost of the Plan for the fiscal years ended July 3, 2026 and June 27, 2025:</w:t>
      </w:r>
    </w:p>
    <w:tbl>
      <w:tblPr>
        <w:tblW w:w="5778" w:type="dxa"/>
        <w:jc w:val="left"/>
        <w:tblInd w:w="0" w:type="dxa"/>
        <w:tblLayout w:type="fixed"/>
        <w:tblCellMar>
          <w:top w:w="28" w:type="dxa"/>
          <w:left w:w="28" w:type="dxa"/>
          <w:bottom w:w="28" w:type="dxa"/>
          <w:right w:w="28" w:type="dxa"/>
        </w:tblCellMar>
      </w:tblPr>
      <w:tblGrid>
        <w:gridCol w:w="1135"/>
        <w:gridCol w:w="996"/>
        <w:gridCol w:w="1004"/>
        <w:gridCol w:w="255"/>
        <w:gridCol w:w="256"/>
        <w:gridCol w:w="558"/>
        <w:gridCol w:w="123"/>
        <w:gridCol w:w="123"/>
        <w:gridCol w:w="123"/>
        <w:gridCol w:w="255"/>
        <w:gridCol w:w="256"/>
        <w:gridCol w:w="69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rate of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inflation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calculation of the Projected Benefit Obligation (“PBO”) utilized BVG 2020 Generational data for assumptions related to the mortality rates, disability rates, turnover rates, and early retirement 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PBO represents the present value of Plan benefits earned through the end of the year, with an allowance for future salary and pension increases as well as turnover rates. The following table presents the change in projected benefit obligation for the periods presented:</w:t>
      </w:r>
    </w:p>
    <w:tbl>
      <w:tblPr>
        <w:tblW w:w="6078" w:type="dxa"/>
        <w:jc w:val="left"/>
        <w:tblInd w:w="0" w:type="dxa"/>
        <w:tblLayout w:type="fixed"/>
        <w:tblCellMar>
          <w:top w:w="28" w:type="dxa"/>
          <w:left w:w="28" w:type="dxa"/>
          <w:bottom w:w="28" w:type="dxa"/>
          <w:right w:w="28" w:type="dxa"/>
        </w:tblCellMar>
      </w:tblPr>
      <w:tblGrid>
        <w:gridCol w:w="1283"/>
        <w:gridCol w:w="1127"/>
        <w:gridCol w:w="1130"/>
        <w:gridCol w:w="211"/>
        <w:gridCol w:w="721"/>
        <w:gridCol w:w="109"/>
        <w:gridCol w:w="109"/>
        <w:gridCol w:w="109"/>
        <w:gridCol w:w="109"/>
        <w:gridCol w:w="227"/>
        <w:gridCol w:w="777"/>
        <w:gridCol w:w="166"/>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beginning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(received)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Settlements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amendment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end of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Plan assets for the periods presented:</w:t>
      </w:r>
    </w:p>
    <w:tbl>
      <w:tblPr>
        <w:tblW w:w="5732" w:type="dxa"/>
        <w:jc w:val="left"/>
        <w:tblInd w:w="0" w:type="dxa"/>
        <w:tblLayout w:type="fixed"/>
        <w:tblCellMar>
          <w:top w:w="28" w:type="dxa"/>
          <w:left w:w="28" w:type="dxa"/>
          <w:bottom w:w="28" w:type="dxa"/>
          <w:right w:w="28" w:type="dxa"/>
        </w:tblCellMar>
      </w:tblPr>
      <w:tblGrid>
        <w:gridCol w:w="1154"/>
        <w:gridCol w:w="1018"/>
        <w:gridCol w:w="1022"/>
        <w:gridCol w:w="211"/>
        <w:gridCol w:w="721"/>
        <w:gridCol w:w="109"/>
        <w:gridCol w:w="109"/>
        <w:gridCol w:w="109"/>
        <w:gridCol w:w="109"/>
        <w:gridCol w:w="227"/>
        <w:gridCol w:w="777"/>
        <w:gridCol w:w="166"/>
      </w:tblGrid>
      <w:tr>
        <w:trPr/>
        <w:tc>
          <w:tcPr>
            <w:tcW w:w="115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beginning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(received)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reconciliation of funded status for the period presented:</w:t>
      </w:r>
    </w:p>
    <w:tbl>
      <w:tblPr>
        <w:tblW w:w="6077" w:type="dxa"/>
        <w:jc w:val="left"/>
        <w:tblInd w:w="0" w:type="dxa"/>
        <w:tblLayout w:type="fixed"/>
        <w:tblCellMar>
          <w:top w:w="28" w:type="dxa"/>
          <w:left w:w="28" w:type="dxa"/>
          <w:bottom w:w="28" w:type="dxa"/>
          <w:right w:w="28" w:type="dxa"/>
        </w:tblCellMar>
      </w:tblPr>
      <w:tblGrid>
        <w:gridCol w:w="1280"/>
        <w:gridCol w:w="1128"/>
        <w:gridCol w:w="1131"/>
        <w:gridCol w:w="211"/>
        <w:gridCol w:w="721"/>
        <w:gridCol w:w="109"/>
        <w:gridCol w:w="109"/>
        <w:gridCol w:w="109"/>
        <w:gridCol w:w="109"/>
        <w:gridCol w:w="227"/>
        <w:gridCol w:w="777"/>
        <w:gridCol w:w="166"/>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end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fair value of Plan assets was $7,735 at July 3, 2026. The Plan is denominated in a foreign currency, the Swiss Franc, which can have an impact on the fair value of Plan assets. The Plan was not subject to material fluctuations during the years ended July 3, 2026 or June 27, 2025. The Plan’s assets are administered by an independent pension fund foundation (the “foundation”). As of July 3, 2026, the foundation has invested the assets of the Plan in various investments vehicles, including cash, real estate, equity securities, and bonds. The investments are measured at fair value using a mix of Level 1, Level 2 and Level 3 inputs.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401(k) Plan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maintains a qualified 401(k) plan (the “401(k) Plan”) for its U.S. employees and matches participants' contributions to the plan and/or qualified student loan payments of up to 6% of their eligible annual compensation in Company stock. The Company may also make optional contributions to the plan for any plan year at its discretion. Stock-based 401(k) matching compensation cost is measured based on the value of the matching amount and is recognized as expense as incurred. Expense recognized by the Company for matching contributions related to the 401(k) plan was $19,181, $14,900, and $15,853 during the fiscal years ended July 3, 2026, June 27, 2025, and June 28,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Deferred Compensation Plan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implemented a nonqualified deferred compensation plan as of January 1, 2024, under which eligible employees may defer up to 50% of their base salaries and up to 100% of their annual incentive bonuses. The Company may also make employer contributions to participant accounts in its sole discretion, and currently matches participants’ deferrals under the plan of up to 6% of their eligible annual compensation in the form of deferred stock units (or at the Company’s election, a cash-based deferral credited to participants’ account balances). The Company’s matching obligations for participant deferrals made during calendar year 2024 and 2025 were subject to a financial performance condition for the Company's four fiscal quarters corresponding to the respective calendar year. Each of these financial performance conditions was subsequently determined to have been fully satisfied, and the deferred stock units issued in respect of the Company's matching obligations vested accordingly. Participant deferrals under the plan are held in a rabbi trust and are subject to the claims of the Company’s creditors. Assets held by the rabbi trust are classified as trading securities and are recorded at fair value, with changes in value recorded as adjustments to other income. All deferrals or employer contributions under the plan, and all earnings thereon, are fully vested as and when made or credited to plan participants.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the Company held assets under the rabbi trust of $983, was subject to liabilities for amounts payable under the plan to participants (including accrued employer matching contributions not yet credited to plan participants) of $983. Assets related to this plan are included in Other assets, and liabilities related to this plan are included in Accrued compensation in the Consolidated Balance Sheets. During the fiscal years ended July 3, 2026 and June 27, 2025, the Company recognized an immaterial value of compensation expense as a result of changes in the value of notional investments selected by plan participants for the investment of their plan account balances, with the same amount being recorded as other income attributable to changes in the market value of the assets held by the rabbi trust.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N.</w:t>
      </w:r>
      <w:r>
        <w:rPr>
          <w:rFonts w:ascii="Times New Roman;serif" w:hAnsi="Times New Roman;serif"/>
          <w:b/>
          <w:color w:val="000000"/>
          <w:sz w:val="20"/>
        </w:rPr>
        <w:t>Shareholders’ Equity</w:t>
      </w:r>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REFERRED</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TOCK</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 shares of preferred stock with a par value of $0.01 per share.</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 xml:space="preserve">HELF </w:t>
      </w:r>
      <w:r>
        <w:rPr>
          <w:rFonts w:ascii="Times New Roman;serif" w:hAnsi="Times New Roman;serif"/>
          <w:b/>
          <w:color w:val="000000"/>
          <w:sz w:val="20"/>
        </w:rPr>
        <w:t>R</w:t>
      </w:r>
      <w:r>
        <w:rPr>
          <w:rFonts w:ascii="Times New Roman;serif" w:hAnsi="Times New Roman;serif"/>
          <w:b/>
          <w:color w:val="000000"/>
          <w:sz w:val="16"/>
        </w:rPr>
        <w:t>EGISTRATION</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TATEMENT</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4, 2023, the Company filed a shelf registration statement on Form S-3ASR with the SEC. The shelf registration statement, which was effective upon filing with the SEC, registered each of the following securities: debt securities; preferred stock; common stock; warrants; and units. The Company has an unlimited amount available under the shelf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2"/>
        </w:rPr>
        <w:t>O.</w:t>
      </w:r>
      <w:r>
        <w:rPr>
          <w:rFonts w:ascii="Times New Roman;serif" w:hAnsi="Times New Roman;serif"/>
          <w:b/>
          <w:color w:val="000000"/>
          <w:sz w:val="20"/>
        </w:rPr>
        <w:t>Share Repurchase Program</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the Board of Directors authorized a share repurchase program for the purchase of up to $200,000 of the Company’s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All share repurchases are made in accordance with Rule 10b-18. During the fiscal year ended July 3, 2026, 222 shares of the Company's common stock were repurchased and immediately retired under the share repurchase program at an average cost of $67.70 per share. As of July 3, 2026, there was $185,003 available for future share repurchases under this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P.</w:t>
      </w:r>
      <w:r>
        <w:rPr>
          <w:rFonts w:ascii="Times New Roman;serif" w:hAnsi="Times New Roman;serif"/>
          <w:b/>
          <w:color w:val="000000"/>
          <w:sz w:val="20"/>
        </w:rPr>
        <w:t>Stock-Based Compensation</w:t>
      </w:r>
    </w:p>
    <w:p>
      <w:pPr>
        <w:pStyle w:val="TextBody"/>
        <w:bidi w:val="0"/>
        <w:spacing w:lineRule="auto" w:line="288" w:before="180" w:after="283"/>
        <w:jc w:val="left"/>
        <w:rPr/>
      </w:pPr>
      <w:r>
        <w:rPr>
          <w:rFonts w:ascii="Times New Roman;serif" w:hAnsi="Times New Roman;serif"/>
          <w:b/>
          <w:color w:val="000000"/>
          <w:sz w:val="20"/>
        </w:rPr>
        <w:t>S</w:t>
      </w:r>
      <w:r>
        <w:rPr>
          <w:rFonts w:ascii="Times New Roman;serif" w:hAnsi="Times New Roman;serif"/>
          <w:b/>
          <w:color w:val="000000"/>
          <w:sz w:val="16"/>
        </w:rPr>
        <w:t>TOCK</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LANS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2025 Long Term Incentive Plan (as amended from time to time, the “2025 Plan”) was adopted by the Company’s Board of Directors in July 2025 and approved by the Company’s shareholders on October 22, 2025. At July 3, 2026, the aggregate number of shares authorized for issuance under the 2025 Plan is 2,003 shares, including 1,900 shares approved by the Company’s shareholders on October 22, 2025 and 103 shares by virtue of awards forfeited from and after October 22, 2025 under a predecessor stock incentive plan, the Company’s Amended and Restated 2018 Stock Incentive Plan (the “2018 Plan”). The shares authorized for issuance under the 2025 Plan will continue to be increased to the extent that any award previously granted under the 2018 Plan is forfeited, terminates, expires, lapses without being exercised or is settled for cash in the future. The 2025 Plan provides for the grant to employees and non-employees of non-qualified and incentive stock options, stock appreciation rights, time-based and performance-based restricted stock awards or units, and deferred stock awards or units. Stock options and stock appreciation rights must be granted with an exercise price of not less than 100% of the fair value of the Company’s common stock on the date of grant and have a maximum exercisable term of ten years. Under the share counting rules applicable to the 2025 Plan, each share issued pursuant to a stock option or stock appreciation right counts as half a share against the available share reserve, and each share issued pursuant to any other award (a “full value” award) counts as one share against the available reserve. Accordingly, at July 3, 2026, a maximum of 3,916 shares underlying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awards of stock options and stock appreciation rights are issuable under the 2025 Plan, and a maximum of 1,958 shares underlying future full value awards are issuable under the 2025 Plan.</w:t>
      </w:r>
    </w:p>
    <w:p>
      <w:pPr>
        <w:pStyle w:val="TextBody"/>
        <w:bidi w:val="0"/>
        <w:spacing w:lineRule="auto" w:line="288" w:before="100" w:after="20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part of the Company's ongoing annual equity grant program for employees, the Company grants performance-based restricted stock unit awards to certain executives and employees pursuant to the 2025 Plan (and prior to October 22, 2025, the 2018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based on its determination of the likelihood for reaching targets. The performance targets generally include the achievement of financial performance goals. Payouts under performance-based restricted stock unit awards may also be subject to adjustment based on Mercury's total shareholder return.</w:t>
      </w:r>
    </w:p>
    <w:p>
      <w:pPr>
        <w:pStyle w:val="TextBody"/>
        <w:bidi w:val="0"/>
        <w:spacing w:lineRule="auto" w:line="288" w:before="180" w:after="283"/>
        <w:jc w:val="both"/>
        <w:rPr/>
      </w:pPr>
      <w:r>
        <w:rPr>
          <w:rFonts w:ascii="Times New Roman;serif" w:hAnsi="Times New Roman;serif"/>
          <w:b/>
          <w:color w:val="000000"/>
          <w:sz w:val="20"/>
        </w:rPr>
        <w:t>E</w:t>
      </w:r>
      <w:r>
        <w:rPr>
          <w:rFonts w:ascii="Times New Roman;serif" w:hAnsi="Times New Roman;serif"/>
          <w:b/>
          <w:color w:val="000000"/>
          <w:sz w:val="16"/>
        </w:rPr>
        <w:t>MPLOYEE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TOCK</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URCHASE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LAN</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1997 Employee Stock Purchase Plan, as amended and restated (the “1997 ESPP”) was terminated in accordance with its terms effective May 14, 2024. Under the 1997 ESPP, rights were granted to purchase shares of common stock at 85% of the lesser of the market value of such shares at either the beginning or the end of each six-month offering period. The 1997 ESPP permitted employees to purchase common stock through payroll deductions, which may not have exceeded 10% of an employee’s compensation as defined in the 1997 ESPP. The number of shares issued under the 1997 ESPP during fiscal years 2026, 2025 and 2024 was 0, 0, and 167, respectively. There were an immaterial amount of shares related to the 1997 Plan issued and returned to the reserve during fiscal 2025.</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adopted a new employee stock purchase plan (the “2024 ESPP”) in April 2024, which was approved by the Company's shareholders on October 23, 2024. The number of shares authorized for issuance under the 2024 ESPP is 1,000 shares. Under the 2024 ESPP, rights are granted to purchase shares of common stock at 85% of the lesser of the market value of such shares at either the beginning or the end of each six-month offering period. The 2024 ESPP permits employees to purchase common stock through payroll deductions, which may not exceed 10% of an employee’s compensation as defined in the 2024 ESPP. During 2026, 116 shares were issued under the 2024 ESPP. Shares available for future purchase under the 2024 ESPP totaled 754 as of July 3, 2026.</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PTION</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ND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WARD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CTIVITY</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August 15, 2023, the Company announced that William L. Ballhaus was appointed as the Company’s President and Chief Executive Officer. Mr. Ballhaus received an onboarding grant of premium-priced stock options ("New Hire Option") under the 2018 Plan. The Company and Mr. Ballhaus are parties to an employment agreement, which is included in exhibit 10.1 on Form 8-K filed by the Company with the SEC on August 15, 2023.</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 respect to Company-issued stock options since June 28, 2024:</w:t>
      </w:r>
    </w:p>
    <w:tbl>
      <w:tblPr>
        <w:tblW w:w="10205" w:type="dxa"/>
        <w:jc w:val="left"/>
        <w:tblInd w:w="0" w:type="dxa"/>
        <w:tblLayout w:type="fixed"/>
        <w:tblCellMar>
          <w:top w:w="28" w:type="dxa"/>
          <w:left w:w="28" w:type="dxa"/>
          <w:bottom w:w="28" w:type="dxa"/>
          <w:right w:w="28" w:type="dxa"/>
        </w:tblCellMar>
      </w:tblPr>
      <w:tblGrid>
        <w:gridCol w:w="905"/>
        <w:gridCol w:w="793"/>
        <w:gridCol w:w="798"/>
        <w:gridCol w:w="295"/>
        <w:gridCol w:w="295"/>
        <w:gridCol w:w="296"/>
        <w:gridCol w:w="109"/>
        <w:gridCol w:w="109"/>
        <w:gridCol w:w="109"/>
        <w:gridCol w:w="212"/>
        <w:gridCol w:w="621"/>
        <w:gridCol w:w="109"/>
        <w:gridCol w:w="109"/>
        <w:gridCol w:w="109"/>
        <w:gridCol w:w="109"/>
        <w:gridCol w:w="252"/>
        <w:gridCol w:w="740"/>
        <w:gridCol w:w="130"/>
        <w:gridCol w:w="109"/>
        <w:gridCol w:w="109"/>
        <w:gridCol w:w="109"/>
        <w:gridCol w:w="358"/>
        <w:gridCol w:w="358"/>
        <w:gridCol w:w="360"/>
        <w:gridCol w:w="109"/>
        <w:gridCol w:w="109"/>
        <w:gridCol w:w="109"/>
        <w:gridCol w:w="646"/>
        <w:gridCol w:w="1245"/>
        <w:gridCol w:w="484"/>
      </w:tblGrid>
      <w:tr>
        <w:trPr/>
        <w:tc>
          <w:tcPr>
            <w:tcW w:w="9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Grant Date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Remaining</w:t>
              <w:br/>
              <w:t>Contractual </w:t>
              <w:br/>
              <w:t>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 as of 6/28/2024</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28, 2024</w:t>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2025</w:t>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July 3, 2026</w:t>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July 3, 2026</w:t>
            </w:r>
          </w:p>
        </w:tc>
        <w:tc>
          <w:tcPr>
            <w:tcW w:w="5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options vested or exercised during fiscal year 2026. Non-vested stock options are subject to the risk of forfeiture until the fulfillment of specified conditions. As of July 3, 2026, there was $2,126 of total unrecognized compensation cost related to non-vested options granted that is expected to be recognized over a weighted-average period 1.04 years from July 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valuation model for estimating the fair value on the date of grant of stock options. The expected volatility of options granted has been determined using a weighted average of the historical volatility of the Company’s stock for a period equal to the expected term of the option. The expected term of options has been determined using the average of the contractual term and the weighted average vesting term of the options. The risk-free interest rate is based on a zero-coupon U.S. treasury instrument whose term is consistent with the expected term of the stock options. The Company has not paid and does not anticipate paying cash dividends on its shares of common stock; therefore, the expected dividend yield is assumed to be zero. The Company applied an estimated annual forfeiture rate based on historical averages in determining the expense recorded in each period.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the Company’s non-vested restricted stock awards and deferred stock awards since June 28, 2024:</w:t>
      </w:r>
    </w:p>
    <w:tbl>
      <w:tblPr>
        <w:tblW w:w="5769" w:type="dxa"/>
        <w:jc w:val="left"/>
        <w:tblInd w:w="0" w:type="dxa"/>
        <w:tblLayout w:type="fixed"/>
        <w:tblCellMar>
          <w:top w:w="28" w:type="dxa"/>
          <w:left w:w="28" w:type="dxa"/>
          <w:bottom w:w="28" w:type="dxa"/>
          <w:right w:w="28" w:type="dxa"/>
        </w:tblCellMar>
      </w:tblPr>
      <w:tblGrid>
        <w:gridCol w:w="935"/>
        <w:gridCol w:w="821"/>
        <w:gridCol w:w="823"/>
        <w:gridCol w:w="315"/>
        <w:gridCol w:w="316"/>
        <w:gridCol w:w="296"/>
        <w:gridCol w:w="186"/>
        <w:gridCol w:w="186"/>
        <w:gridCol w:w="186"/>
        <w:gridCol w:w="360"/>
        <w:gridCol w:w="1078"/>
        <w:gridCol w:w="267"/>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Non-Vested Restricted Stock Awards</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w:t>
              <w:br/>
              <w:t>Fair Value</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28, 2024</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w:t>
            </w:r>
            <w:r>
              <w:rPr>
                <w:color w:val="000000"/>
              </w:rPr>
              <w:t>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41.35</w:t>
            </w:r>
            <w:r>
              <w:rPr>
                <w:color w:val="000000"/>
              </w:rPr>
              <w:t>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27, 2025</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1,742</w:t>
            </w:r>
            <w:r>
              <w:rPr>
                <w:color w:val="000000"/>
              </w:rPr>
              <w:t>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40.37</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July 3, 2026</w:t>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w:t>
            </w:r>
            <w:r>
              <w:rPr>
                <w:color w:val="000000"/>
              </w:rPr>
              <w:t>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45.50</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awards vested during fiscal years 2026, 2025 and 2024 was $33,549, $16,643 and $15,994, respectively.</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TOCK</w:t>
      </w:r>
      <w:r>
        <w:rPr>
          <w:rFonts w:ascii="Times New Roman;serif" w:hAnsi="Times New Roman;serif"/>
          <w:b/>
          <w:color w:val="000000"/>
          <w:sz w:val="20"/>
        </w:rPr>
        <w:t>-</w:t>
      </w:r>
      <w:r>
        <w:rPr>
          <w:rFonts w:ascii="Times New Roman;serif" w:hAnsi="Times New Roman;serif"/>
          <w:b/>
          <w:color w:val="000000"/>
          <w:sz w:val="16"/>
        </w:rPr>
        <w:t>BASED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OMPENSATION</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XPENSE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expense for its share-based payment plans in the Consolidated Statements of Operations and Comprehensive Loss in accordance with ASC 718. Under the fair value recognition provisions of ASC 718, stock-based compensation cost is measured at the grant date based on the value of the award and is recognized as expense over the service period.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share-based compensation expenses from continuing operations included in the Company’s Consolidated Statements of Operations and Comprehensive Loss:</w:t>
      </w:r>
    </w:p>
    <w:tbl>
      <w:tblPr>
        <w:tblW w:w="8654" w:type="dxa"/>
        <w:jc w:val="left"/>
        <w:tblInd w:w="0" w:type="dxa"/>
        <w:tblLayout w:type="fixed"/>
        <w:tblCellMar>
          <w:top w:w="28" w:type="dxa"/>
          <w:left w:w="28" w:type="dxa"/>
          <w:bottom w:w="28" w:type="dxa"/>
          <w:right w:w="28" w:type="dxa"/>
        </w:tblCellMar>
      </w:tblPr>
      <w:tblGrid>
        <w:gridCol w:w="1687"/>
        <w:gridCol w:w="1486"/>
        <w:gridCol w:w="1492"/>
        <w:gridCol w:w="211"/>
        <w:gridCol w:w="721"/>
        <w:gridCol w:w="109"/>
        <w:gridCol w:w="109"/>
        <w:gridCol w:w="109"/>
        <w:gridCol w:w="109"/>
        <w:gridCol w:w="228"/>
        <w:gridCol w:w="779"/>
        <w:gridCol w:w="117"/>
        <w:gridCol w:w="109"/>
        <w:gridCol w:w="109"/>
        <w:gridCol w:w="109"/>
        <w:gridCol w:w="227"/>
        <w:gridCol w:w="777"/>
        <w:gridCol w:w="166"/>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before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Federal and state statutory rate of 27%</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Q.</w:t>
      </w:r>
      <w:r>
        <w:rPr>
          <w:rFonts w:ascii="Times New Roman;serif" w:hAnsi="Times New Roman;serif"/>
          <w:b/>
          <w:color w:val="000000"/>
          <w:sz w:val="20"/>
        </w:rPr>
        <w:t>Operating Segment, Geographic Information and Significant Customers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Operating segments are defined as components of an enterprise evaluated regularly by the Company's chief executive officer who acts as its chief operating decision maker (“CODM”) in deciding how to allocate resources and assess performance. The Company evaluated its internal organization under FASB ASC 280,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(“ASC 280”) to determine whether there has been a change to its conclusion of a single operating and reportable segment. The Company concluded there has been no changes given the CODM continues to evaluate and manage the Company on the basis of one operating and reportable segment. The Company utilized the management approach for determining its operating segment in accordance with ASC 280.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The Company adopted ASU 2023-07, </w:t>
      </w:r>
      <w:r>
        <w:rPr>
          <w:rFonts w:ascii="Times New Roman;serif" w:hAnsi="Times New Roman;serif"/>
          <w:b w:val="false"/>
          <w:i/>
          <w:color w:val="000000"/>
          <w:sz w:val="20"/>
        </w:rPr>
        <w:t>Segment Reporting (Topic 280) - Improvements to Reportable Segment Disclosures</w:t>
      </w:r>
      <w:r>
        <w:rPr>
          <w:rFonts w:ascii="Times New Roman;serif" w:hAnsi="Times New Roman;serif"/>
          <w:b w:val="false"/>
          <w:color w:val="000000"/>
          <w:sz w:val="20"/>
        </w:rPr>
        <w:t>, as of March 29, 2025. The CODM utilizes Net loss that is reported on the Consolidated Statements of Operations and Comprehensive Loss to assess operating performance and make decisions related to resource allocation. The Company's significant segment expenses include stock-based compensation and depreciation which are disclosed in Note P and Note E, respectively. Any other significant segment expenses which are regularly provided to the CODM are provided on the Consolidated Statements of Operations and Comprehensive Loss. The Company's segment assets are reported on the Consolidated Balance Sheets as Total Assets and its segment purchase of property plant and equipment are disclosed in Note E.</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geographic distribution of the Company’s revenues as determined by order origination based on the country in which the Company's legal subsidiary is domiciled is summarized as follows:</w:t>
      </w:r>
    </w:p>
    <w:tbl>
      <w:tblPr>
        <w:tblW w:w="10032" w:type="dxa"/>
        <w:jc w:val="left"/>
        <w:tblInd w:w="0" w:type="dxa"/>
        <w:tblLayout w:type="fixed"/>
        <w:tblCellMar>
          <w:top w:w="28" w:type="dxa"/>
          <w:left w:w="28" w:type="dxa"/>
          <w:bottom w:w="28" w:type="dxa"/>
          <w:right w:w="28" w:type="dxa"/>
        </w:tblCellMar>
      </w:tblPr>
      <w:tblGrid>
        <w:gridCol w:w="1166"/>
        <w:gridCol w:w="1027"/>
        <w:gridCol w:w="1031"/>
        <w:gridCol w:w="211"/>
        <w:gridCol w:w="826"/>
        <w:gridCol w:w="109"/>
        <w:gridCol w:w="109"/>
        <w:gridCol w:w="109"/>
        <w:gridCol w:w="109"/>
        <w:gridCol w:w="211"/>
        <w:gridCol w:w="721"/>
        <w:gridCol w:w="109"/>
        <w:gridCol w:w="109"/>
        <w:gridCol w:w="109"/>
        <w:gridCol w:w="109"/>
        <w:gridCol w:w="292"/>
        <w:gridCol w:w="562"/>
        <w:gridCol w:w="152"/>
        <w:gridCol w:w="109"/>
        <w:gridCol w:w="109"/>
        <w:gridCol w:w="109"/>
        <w:gridCol w:w="211"/>
        <w:gridCol w:w="796"/>
        <w:gridCol w:w="109"/>
        <w:gridCol w:w="109"/>
        <w:gridCol w:w="109"/>
        <w:gridCol w:w="109"/>
        <w:gridCol w:w="211"/>
        <w:gridCol w:w="82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JULY 3, 2026</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(1)</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106,700 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27,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(1)</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28,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(1)</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110,353 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0"/>
        <w:jc w:val="both"/>
        <w:rPr>
          <w:rFonts w:ascii="Times New Roman;serif" w:hAnsi="Times New Roman;serif"/>
          <w:b w:val="false"/>
          <w:color w:val="000000"/>
          <w:sz w:val="16"/>
        </w:rPr>
      </w:pPr>
      <w:r>
        <w:rPr>
          <w:rFonts w:ascii="Times New Roman;serif" w:hAnsi="Times New Roman;serif"/>
          <w:b w:val="false"/>
          <w:color w:val="000000"/>
          <w:sz w:val="16"/>
        </w:rPr>
        <w:t>(1) Identifiable long-lived assets exclude ROU assets, goodwill and intangible assets.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recent years, the Company completed a series of acquisitions that changed its technological capabilities, applications and end markets. As these acquisitions and changes occurred, the Company's proportion of revenue derived from the sale of components in different technological areas, and modules, sub-assemblies and integrated solutions which combine technologies into more complex diverse products has shifted. The following tables present revenue consistent with the Company's strategy of expanding its technological capabilities and program content. As additional information related to the Company’s products by end user, application, product grouping and/or platform is attained, the categorization of these products can vary over time. When this occurs, the Company reclassifies revenue by end user, application, product grouping and/or platform for prior periods. Such reclassifications typically do not materially change the underlying trends of results within each revenue category.</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end market for the periods presented:</w:t>
      </w:r>
    </w:p>
    <w:tbl>
      <w:tblPr>
        <w:tblW w:w="8106" w:type="dxa"/>
        <w:jc w:val="left"/>
        <w:tblInd w:w="0" w:type="dxa"/>
        <w:tblLayout w:type="fixed"/>
        <w:tblCellMar>
          <w:top w:w="28" w:type="dxa"/>
          <w:left w:w="28" w:type="dxa"/>
          <w:bottom w:w="28" w:type="dxa"/>
          <w:right w:w="28" w:type="dxa"/>
        </w:tblCellMar>
      </w:tblPr>
      <w:tblGrid>
        <w:gridCol w:w="1198"/>
        <w:gridCol w:w="1053"/>
        <w:gridCol w:w="106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International/Foreign Military Sales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Domestic revenues consist of sales where the end user is within the U.S., as well as sales to prime defense contractor customers where the ultimate end user location is not defined. </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International/Foreign Military Sales consist of sales to U.S. prime defense contractor customers where the end user is outside the U.S., foreign military sales through the U.S. government, and direct sales to non-U.S. based customers intended for end use outside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end application for the periods presented:</w:t>
      </w:r>
    </w:p>
    <w:tbl>
      <w:tblPr>
        <w:tblW w:w="6923" w:type="dxa"/>
        <w:jc w:val="left"/>
        <w:tblInd w:w="0" w:type="dxa"/>
        <w:tblLayout w:type="fixed"/>
        <w:tblCellMar>
          <w:top w:w="28" w:type="dxa"/>
          <w:left w:w="28" w:type="dxa"/>
          <w:bottom w:w="28" w:type="dxa"/>
          <w:right w:w="28" w:type="dxa"/>
        </w:tblCellMar>
      </w:tblPr>
      <w:tblGrid>
        <w:gridCol w:w="886"/>
        <w:gridCol w:w="780"/>
        <w:gridCol w:w="79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Radar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Warfare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Sensor and Effector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Sensor and Effector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C4I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Radar includes end-use applications where radio frequency signals are utilized to detect, track and identify objects.</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Electronic Warfare includes end-use applications comprising the offensive and defensive use of the electromagnetic spectrum.</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 xml:space="preserve">(3) Other Sensor and Effector products include all Sensor and Effector end markets other than Radar and Electronic Warfare. </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(4) C4I includes rugged secure rackmount servers that are designed to drive the most powerful military processing applications.</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(5) Other products include all component and other sales where the end use is not specified.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product grouping for the periods presented:</w:t>
      </w:r>
    </w:p>
    <w:tbl>
      <w:tblPr>
        <w:tblW w:w="7209"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Years Ended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Modules and Sub-assemblies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Solutions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Components represent the basic building blocks of an electronic system. They generally perform a single function such as switching, storing or converting electronic signals. Some examples include power amplifiers and limiters, switches, oscillators, filters, equalizers, digital and analog converters, chips, MMICs (monolithic microwave integrated circuits) and memory and storage devices.</w:t>
      </w:r>
    </w:p>
    <w:p>
      <w:pPr>
        <w:pStyle w:val="TextBody"/>
        <w:bidi w:val="0"/>
        <w:spacing w:lineRule="auto" w:line="26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Modules and sub-assemblies combine multiple components to serve a range of complex functions, including processing, networking and graphics display. Typically delivered as computer boards or other packaging, modules and sub-assemblies are usually designed using open standards to provide interoperability when integrated in a subsystem. Examples of modules and sub-assemblies include embedded processing boards, switched fabrics and boards for high-speed input/output, digital receivers, graphics and video, along with multi-chip modules. Additional examples include integrated radio frequency and microwave multi-function assemblies and radio frequency tuners and transceivers.</w:t>
      </w:r>
    </w:p>
    <w:p>
      <w:pPr>
        <w:pStyle w:val="TextBody"/>
        <w:bidi w:val="0"/>
        <w:spacing w:lineRule="auto" w:line="26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(3) Integrated solutions bring components, modules and/or sub-assemblies into one system, enabled with software. Subsystems are typically, but not always, integrated within an open standards-based chassis and often feature interconnect technologies to enable communication between disparate systems. Spares and replacement modules and sub-assemblies are provided for use with subsystems sold by the Company. The Company’s subsystems are deployed in sensor processing, aviation and mission computing and C4I applications.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net revenue by platform for the periods presented: </w:t>
      </w:r>
    </w:p>
    <w:tbl>
      <w:tblPr>
        <w:tblW w:w="6189" w:type="dxa"/>
        <w:jc w:val="left"/>
        <w:tblInd w:w="0" w:type="dxa"/>
        <w:tblLayout w:type="fixed"/>
        <w:tblCellMar>
          <w:top w:w="28" w:type="dxa"/>
          <w:left w:w="28" w:type="dxa"/>
          <w:bottom w:w="28" w:type="dxa"/>
          <w:right w:w="28" w:type="dxa"/>
        </w:tblCellMar>
      </w:tblPr>
      <w:tblGrid>
        <w:gridCol w:w="623"/>
        <w:gridCol w:w="550"/>
        <w:gridCol w:w="55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Years Ended </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Naval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Airborne platform includes products that relate to personnel, equipment or pieces of equipment designed for airborne applications.</w:t>
      </w:r>
    </w:p>
    <w:p>
      <w:pPr>
        <w:pStyle w:val="TextBody"/>
        <w:bidi w:val="0"/>
        <w:spacing w:lineRule="auto" w:line="276"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Land platform includes products that relate to fixed or mobile equipment, or pieces of equipment for personnel, weapon systems, vehicles and support elements operating on land.</w:t>
      </w:r>
    </w:p>
    <w:p>
      <w:pPr>
        <w:pStyle w:val="TextBody"/>
        <w:bidi w:val="0"/>
        <w:spacing w:lineRule="auto" w:line="276"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(3) Naval platform includes products that relate to personnel, equipment or pieces of equipment designed for naval operations.</w:t>
      </w:r>
    </w:p>
    <w:p>
      <w:pPr>
        <w:pStyle w:val="TextBody"/>
        <w:bidi w:val="0"/>
        <w:spacing w:lineRule="auto" w:line="276"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(4) Space platform includes products that relate to personnel, equipment or pieces of equipment designed for space operations.</w:t>
      </w:r>
    </w:p>
    <w:p>
      <w:pPr>
        <w:pStyle w:val="TextBody"/>
        <w:bidi w:val="0"/>
        <w:spacing w:lineRule="auto" w:line="276"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(5) All platforms other than Airborne, Land, Naval or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Customers comprising 10% or more of the Company’s revenues for the periods shown below are as follows:</w:t>
      </w:r>
    </w:p>
    <w:tbl>
      <w:tblPr>
        <w:tblW w:w="6518" w:type="dxa"/>
        <w:jc w:val="left"/>
        <w:tblInd w:w="0" w:type="dxa"/>
        <w:tblLayout w:type="fixed"/>
        <w:tblCellMar>
          <w:top w:w="28" w:type="dxa"/>
          <w:left w:w="28" w:type="dxa"/>
          <w:bottom w:w="28" w:type="dxa"/>
          <w:right w:w="28" w:type="dxa"/>
        </w:tblCellMar>
      </w:tblPr>
      <w:tblGrid>
        <w:gridCol w:w="929"/>
        <w:gridCol w:w="817"/>
        <w:gridCol w:w="819"/>
        <w:gridCol w:w="224"/>
        <w:gridCol w:w="224"/>
        <w:gridCol w:w="557"/>
        <w:gridCol w:w="109"/>
        <w:gridCol w:w="109"/>
        <w:gridCol w:w="109"/>
        <w:gridCol w:w="250"/>
        <w:gridCol w:w="250"/>
        <w:gridCol w:w="624"/>
        <w:gridCol w:w="109"/>
        <w:gridCol w:w="109"/>
        <w:gridCol w:w="109"/>
        <w:gridCol w:w="239"/>
        <w:gridCol w:w="239"/>
        <w:gridCol w:w="692"/>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Corporation</w:t>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Navy</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L3Harris</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Indicates that the amount is less than 10% of the Company's revenue for the respective period.</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While the Company typically has customers from which it derives 10% or more of its revenue, the sales to each of these customers are spread across multiple programs and platforms. There were no programs comprising 10% or more of the Company's revenues for the years ended July 3, 2026, June 27, 2025 and June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R.Derivatives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utilizes interest rate derivatives to mitigate interest rate exposure with respect to its financing arrangements. On September 29, 2022 and on September 28, 2023 the Company terminated previous Swap agreements and entered into new agreements with the same maturity February 28, 2027. The fair market values of the Swaps at the time of termination are amortized until the maturity date (February 28, 2027).</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of September 28, 2023, the Company entered into interest rate swaps with a total notional amount of $300,000 to fix the interest rate associated with a portion of the $441,500 existing borrowings on the Company's Revolver at 4.66%. The Swap agreement is designated and qualified for hedge accounting treatment as a cash flow hedge and is scheduled to mature on February 28, 2027.</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As of July 3, 2026, the fair value of the September 2023 Swap was a liability of </w:t>
      </w:r>
      <w:r>
        <w:rPr>
          <w:rFonts w:ascii="Times New Roman;serif" w:hAnsi="Times New Roman;serif"/>
          <w:b w:val="false"/>
          <w:color w:val="000000"/>
          <w:sz w:val="20"/>
          <w:shd w:fill="FFFFFF" w:val="clear"/>
        </w:rPr>
        <w:t>$1,576</w:t>
      </w:r>
      <w:r>
        <w:rPr>
          <w:color w:val="000000"/>
        </w:rPr>
        <w:t xml:space="preserve"> </w:t>
      </w:r>
      <w:r>
        <w:rPr>
          <w:rFonts w:ascii="Times New Roman;serif" w:hAnsi="Times New Roman;serif"/>
          <w:b w:val="false"/>
          <w:color w:val="000000"/>
          <w:sz w:val="20"/>
        </w:rPr>
        <w:t>and is included within Accrued expenses in the Company's Consolidated Balance Sheets.</w:t>
      </w:r>
    </w:p>
    <w:p>
      <w:pPr>
        <w:pStyle w:val="TextBody"/>
        <w:bidi w:val="0"/>
        <w:spacing w:lineRule="auto" w:line="288" w:before="100" w:after="283"/>
        <w:ind w:left="0" w:right="0" w:firstLine="490"/>
        <w:jc w:val="both"/>
        <w:rPr/>
      </w:pPr>
      <w:r>
        <w:rPr>
          <w:rFonts w:ascii="Times New Roman;serif" w:hAnsi="Times New Roman;serif"/>
          <w:b w:val="false"/>
          <w:color w:val="000000"/>
          <w:sz w:val="20"/>
        </w:rPr>
        <w:t xml:space="preserve">During fiscal year 2026, the Company amortized </w:t>
      </w:r>
      <w:r>
        <w:rPr>
          <w:rFonts w:ascii="Times New Roman;serif" w:hAnsi="Times New Roman;serif"/>
          <w:b w:val="false"/>
          <w:color w:val="000000"/>
          <w:sz w:val="20"/>
          <w:shd w:fill="FFFFFF" w:val="clear"/>
        </w:rPr>
        <w:t>$3,524</w:t>
      </w:r>
      <w:r>
        <w:rPr>
          <w:color w:val="000000"/>
        </w:rPr>
        <w:t xml:space="preserve"> </w:t>
      </w:r>
      <w:r>
        <w:rPr>
          <w:rFonts w:ascii="Times New Roman;serif" w:hAnsi="Times New Roman;serif"/>
          <w:b w:val="false"/>
          <w:color w:val="000000"/>
          <w:sz w:val="20"/>
        </w:rPr>
        <w:t>of the gains associated with the interest swaps terminated on September 29, 2022 and September 28, 2023, which is included within Accumulated other comprehensive income.</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market risk associated with the Company’s derivative instrument is the result of interest rate movements that are expected to offset the market risk of the underlying arrangement. The counterparty to the Swap is JPMorgan. Based on the credit ratings of the Company’s counterparty as of July 3, 2026,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the counterparty to meet the terms of their contracts) are generally limited to the amounts, if any, by which the counterparty obligations under the contracts exceed the obligations of the Company to the counterparty. As a result of the above considerations, the Company does not consider the risk of counterparty default to be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S.</w:t>
      </w:r>
      <w:r>
        <w:rPr>
          <w:rFonts w:ascii="Times New Roman;serif" w:hAnsi="Times New Roman;serif"/>
          <w:b/>
          <w:color w:val="000000"/>
          <w:sz w:val="20"/>
        </w:rPr>
        <w:t>Subsequent Events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from the date of the Consolidated Balance Sheet through the date the consolidated financial statements were issued and noted no items requiring adjustment of the financial statements or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9A.CONTROLS AND PROCEDURES</w:t>
      </w:r>
    </w:p>
    <w:p>
      <w:pPr>
        <w:pStyle w:val="TextBody"/>
        <w:bidi w:val="0"/>
        <w:spacing w:lineRule="auto" w:line="288" w:before="180" w:after="283"/>
        <w:ind w:left="0" w:right="0" w:hanging="360"/>
        <w:jc w:val="left"/>
        <w:rPr/>
      </w:pPr>
      <w:r>
        <w:rPr>
          <w:rFonts w:ascii="Times New Roman;serif" w:hAnsi="Times New Roman;serif"/>
          <w:b w:val="false"/>
          <w:color w:val="000000"/>
          <w:sz w:val="20"/>
        </w:rPr>
        <w:t>(a)E</w:t>
      </w:r>
      <w:r>
        <w:rPr>
          <w:rFonts w:ascii="Times New Roman;serif" w:hAnsi="Times New Roman;serif"/>
          <w:b w:val="false"/>
          <w:color w:val="000000"/>
          <w:sz w:val="16"/>
        </w:rPr>
        <w:t>FFECTIVENESS</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D</w:t>
      </w:r>
      <w:r>
        <w:rPr>
          <w:rFonts w:ascii="Times New Roman;serif" w:hAnsi="Times New Roman;serif"/>
          <w:b w:val="false"/>
          <w:color w:val="000000"/>
          <w:sz w:val="16"/>
        </w:rPr>
        <w:t>ISCLOSURE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ONTROLS</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ROCEDURES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an evaluation as of July 3, 2026 under the supervision and with the participation of our management, including our Chief Executive Officer and Chief Financial Officer (our principal executive officer and principal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officer, respectively), and concluded that our disclosure controls and procedures (as defined in Rule 13a-15(e) or Rule 15d-15(e) under the Securities Exchange Act of 1934, as amended, the “Exchange Act”) were effective as of July 3, 2026 and designed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pStyle w:val="TextBody"/>
        <w:bidi w:val="0"/>
        <w:spacing w:lineRule="auto" w:line="288" w:before="180" w:after="283"/>
        <w:ind w:left="0" w:right="0" w:hanging="360"/>
        <w:jc w:val="left"/>
        <w:rPr/>
      </w:pPr>
      <w:r>
        <w:rPr>
          <w:rFonts w:ascii="Times New Roman;serif" w:hAnsi="Times New Roman;serif"/>
          <w:b w:val="false"/>
          <w:color w:val="000000"/>
          <w:sz w:val="20"/>
        </w:rPr>
        <w:t>(b)I</w:t>
      </w:r>
      <w:r>
        <w:rPr>
          <w:rFonts w:ascii="Times New Roman;serif" w:hAnsi="Times New Roman;serif"/>
          <w:b w:val="false"/>
          <w:color w:val="000000"/>
          <w:sz w:val="16"/>
        </w:rPr>
        <w:t>NHERENT</w:t>
      </w:r>
      <w:r>
        <w:rPr>
          <w:color w:val="000000"/>
        </w:rPr>
        <w:t xml:space="preserve"> </w:t>
      </w:r>
      <w:r>
        <w:rPr>
          <w:rFonts w:ascii="Times New Roman;serif" w:hAnsi="Times New Roman;serif"/>
          <w:b w:val="false"/>
          <w:color w:val="000000"/>
          <w:sz w:val="20"/>
        </w:rPr>
        <w:t>L</w:t>
      </w:r>
      <w:r>
        <w:rPr>
          <w:rFonts w:ascii="Times New Roman;serif" w:hAnsi="Times New Roman;serif"/>
          <w:b w:val="false"/>
          <w:color w:val="000000"/>
          <w:sz w:val="16"/>
        </w:rPr>
        <w:t>IMITATIONS</w:t>
      </w:r>
      <w:r>
        <w:rPr>
          <w:color w:val="000000"/>
        </w:rPr>
        <w:t xml:space="preserve"> </w:t>
      </w:r>
      <w:r>
        <w:rPr>
          <w:rFonts w:ascii="Times New Roman;serif" w:hAnsi="Times New Roman;serif"/>
          <w:b w:val="false"/>
          <w:color w:val="000000"/>
          <w:sz w:val="16"/>
        </w:rPr>
        <w:t>ON</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6"/>
        </w:rPr>
        <w:t>FFECTIVENESS</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bidi w:val="0"/>
        <w:spacing w:lineRule="auto" w:line="288" w:before="180" w:after="283"/>
        <w:ind w:left="0" w:right="0" w:hanging="360"/>
        <w:jc w:val="left"/>
        <w:rPr/>
      </w:pPr>
      <w:r>
        <w:rPr>
          <w:rFonts w:ascii="Times New Roman;serif" w:hAnsi="Times New Roman;serif"/>
          <w:b w:val="false"/>
          <w:color w:val="000000"/>
          <w:sz w:val="20"/>
        </w:rPr>
        <w:t>(c)M</w:t>
      </w:r>
      <w:r>
        <w:rPr>
          <w:rFonts w:ascii="Times New Roman;serif" w:hAnsi="Times New Roman;serif"/>
          <w:b w:val="false"/>
          <w:color w:val="000000"/>
          <w:sz w:val="16"/>
        </w:rPr>
        <w:t>ANAGEMENT</w:t>
      </w:r>
      <w:r>
        <w:rPr>
          <w:color w:val="000000"/>
        </w:rPr>
        <w:t>’</w:t>
      </w:r>
      <w:r>
        <w:rPr>
          <w:rFonts w:ascii="Times New Roman;serif" w:hAnsi="Times New Roman;serif"/>
          <w:b w:val="false"/>
          <w:color w:val="000000"/>
          <w:sz w:val="16"/>
        </w:rPr>
        <w:t>S</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NNUAL</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EPORT</w:t>
      </w:r>
      <w:r>
        <w:rPr>
          <w:color w:val="000000"/>
        </w:rPr>
        <w:t xml:space="preserve"> </w:t>
      </w:r>
      <w:r>
        <w:rPr>
          <w:rFonts w:ascii="Times New Roman;serif" w:hAnsi="Times New Roman;serif"/>
          <w:b w:val="false"/>
          <w:color w:val="000000"/>
          <w:sz w:val="16"/>
        </w:rPr>
        <w:t>ON</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NTERNAL</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VER</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16"/>
        </w:rPr>
        <w:t>INANCIAL</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EPORTING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July 3, 2026 based on the framework in Internal Control - Integrated Framework (2013) published by the Committee of Sponsoring Organizations of the Treadway Commission. As a result of this assessment, management concluded that our internal control over financial reporting was effective as of July 3, 2026. The effectiveness of our internal control over financial reporting as of July 3, 2026 has been audited by KPMG LLP, an independent registered public accounting firm, as stated in its report.</w:t>
      </w:r>
    </w:p>
    <w:p>
      <w:pPr>
        <w:pStyle w:val="TextBody"/>
        <w:bidi w:val="0"/>
        <w:spacing w:lineRule="auto" w:line="288" w:before="180" w:after="283"/>
        <w:ind w:left="0" w:right="0" w:hanging="360"/>
        <w:jc w:val="left"/>
        <w:rPr/>
      </w:pPr>
      <w:r>
        <w:rPr>
          <w:rFonts w:ascii="Times New Roman;serif" w:hAnsi="Times New Roman;serif"/>
          <w:b w:val="false"/>
          <w:color w:val="000000"/>
          <w:sz w:val="20"/>
        </w:rPr>
        <w:t>(d)C</w:t>
      </w:r>
      <w:r>
        <w:rPr>
          <w:rFonts w:ascii="Times New Roman;serif" w:hAnsi="Times New Roman;serif"/>
          <w:b w:val="false"/>
          <w:color w:val="000000"/>
          <w:sz w:val="16"/>
        </w:rPr>
        <w:t>HANGES</w:t>
      </w:r>
      <w:r>
        <w:rPr>
          <w:color w:val="000000"/>
        </w:rPr>
        <w:t xml:space="preserve"> </w:t>
      </w:r>
      <w:r>
        <w:rPr>
          <w:rFonts w:ascii="Times New Roman;serif" w:hAnsi="Times New Roman;serif"/>
          <w:b w:val="false"/>
          <w:color w:val="000000"/>
          <w:sz w:val="16"/>
        </w:rPr>
        <w:t>IN</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NTERNAL</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VER</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16"/>
        </w:rPr>
        <w:t>INANCIAL</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EPORTING</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fourth quarter of fiscal 2026 identified in connection with our Chief Executive Officer’s and Chief Financial Officer’s evaluation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the fourth quarter ended July 3, 2026, other than the arrangements discussed in Part II - Item 5 Insider Trading Arrangements, none of the Company's directors or executive officers adopted, modified or terminated a Rule 10b5-1 trading arrangement or non-Rule 10b5-1 trading arrangement as each term is defined in Section 408(a) of Regulation 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Amendments to Performance Stock Awards Granted During Fiscal 2024</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Effective August 14, 2026, the Human Capital and Compensation Committee of the Board of Directors (the “Compensation Committee”) approved amendments to performance stock awards granted during fiscal 2024 (the “2024 PSAs”) to each of our named executive officers other than our Chief Executive Officer, as further described below.</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Prior to the effectiveness of the amendments, the 2024 PSAs provided for stock-based payouts of up to 200% of each recipient’s target shares based on the Company’s adjusted EBITDA margin and organic revenue performance for fiscal 2024-2026, subject to a modifier that could adjust award payouts upward or downward by up to 25 percentage points based on the Company’s total shareholder return relative to other Spade® Defense Index companies (“Relative TSR”) for fiscal 2024-2026. The specific details of these performance and payout criteria are set forth below.</w:t>
      </w:r>
    </w:p>
    <w:tbl>
      <w:tblPr>
        <w:tblW w:w="10205" w:type="dxa"/>
        <w:jc w:val="left"/>
        <w:tblInd w:w="0" w:type="dxa"/>
        <w:tblLayout w:type="fixed"/>
        <w:tblCellMar>
          <w:top w:w="28" w:type="dxa"/>
          <w:left w:w="28" w:type="dxa"/>
          <w:bottom w:w="28" w:type="dxa"/>
          <w:right w:w="28" w:type="dxa"/>
        </w:tblCellMar>
      </w:tblPr>
      <w:tblGrid>
        <w:gridCol w:w="467"/>
        <w:gridCol w:w="410"/>
        <w:gridCol w:w="412"/>
        <w:gridCol w:w="371"/>
        <w:gridCol w:w="371"/>
        <w:gridCol w:w="373"/>
        <w:gridCol w:w="142"/>
        <w:gridCol w:w="142"/>
        <w:gridCol w:w="142"/>
        <w:gridCol w:w="428"/>
        <w:gridCol w:w="367"/>
        <w:gridCol w:w="369"/>
        <w:gridCol w:w="142"/>
        <w:gridCol w:w="142"/>
        <w:gridCol w:w="142"/>
        <w:gridCol w:w="412"/>
        <w:gridCol w:w="412"/>
        <w:gridCol w:w="414"/>
        <w:gridCol w:w="109"/>
        <w:gridCol w:w="109"/>
        <w:gridCol w:w="109"/>
        <w:gridCol w:w="641"/>
        <w:gridCol w:w="605"/>
        <w:gridCol w:w="607"/>
        <w:gridCol w:w="195"/>
        <w:gridCol w:w="195"/>
        <w:gridCol w:w="195"/>
        <w:gridCol w:w="511"/>
        <w:gridCol w:w="511"/>
        <w:gridCol w:w="760"/>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Performance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Performance Modifier</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 Margin</w:t>
              <w:br/>
              <w:t>(50% Weighting)</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br/>
              <w:t>Revenue</w:t>
              <w:br/>
              <w:t>(50% Weighting)</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Payout Factor</w:t>
              <w:br/>
              <w:t>(% of Target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Relative TSR Percentile Ranking</w:t>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 to Payout Factor</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20"/>
              </w:rPr>
              <w:t>21.7%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20"/>
              </w:rPr>
              <w:t>$3,467.2</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right"/>
              <w:rPr/>
            </w:pPr>
            <w:r>
              <w:rPr>
                <w:color w:val="000000"/>
              </w:rPr>
              <w:t xml:space="preserve">≥ </w:t>
            </w:r>
            <w:r>
              <w:rPr>
                <w:rFonts w:ascii="Times New Roman;serif" w:hAnsi="Times New Roman;serif"/>
                <w:b w:val="false"/>
                <w:color w:val="000000"/>
                <w:sz w:val="20"/>
              </w:rPr>
              <w:t>75</w:t>
            </w:r>
            <w:r>
              <w:rPr>
                <w:rFonts w:ascii="Times New Roman;serif" w:hAnsi="Times New Roman;serif"/>
                <w:b w:val="false"/>
                <w:color w:val="000000"/>
                <w:sz w:val="13"/>
              </w:rPr>
              <w:t xml:space="preserve">th </w:t>
            </w:r>
            <w:r>
              <w:rPr>
                <w:rFonts w:ascii="Times New Roman;serif" w:hAnsi="Times New Roman;serif"/>
                <w:b w:val="false"/>
                <w:color w:val="000000"/>
                <w:sz w:val="20"/>
              </w:rPr>
              <w:t>Percentile</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25%</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3152.0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50-55</w:t>
            </w:r>
            <w:r>
              <w:rPr>
                <w:rFonts w:ascii="Times New Roman;serif" w:hAnsi="Times New Roman;serif"/>
                <w:b w:val="false"/>
                <w:color w:val="000000"/>
                <w:sz w:val="13"/>
              </w:rPr>
              <w:t xml:space="preserve">th </w:t>
            </w:r>
            <w:r>
              <w:rPr>
                <w:rFonts w:ascii="Times New Roman;serif" w:hAnsi="Times New Roman;serif"/>
                <w:b w:val="false"/>
                <w:color w:val="000000"/>
                <w:sz w:val="20"/>
              </w:rPr>
              <w:t>Percentile</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2836.8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25</w:t>
            </w:r>
            <w:r>
              <w:rPr>
                <w:rFonts w:ascii="Times New Roman;serif" w:hAnsi="Times New Roman;serif"/>
                <w:b w:val="false"/>
                <w:color w:val="000000"/>
                <w:sz w:val="13"/>
              </w:rPr>
              <w:t xml:space="preserve">th </w:t>
            </w:r>
            <w:r>
              <w:rPr>
                <w:rFonts w:ascii="Times New Roman;serif" w:hAnsi="Times New Roman;serif"/>
                <w:b w:val="false"/>
                <w:color w:val="000000"/>
                <w:sz w:val="20"/>
              </w:rPr>
              <w:t>Percentile</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 25%</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Threshold</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&lt; 17.7%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&lt; 2,836.8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&lt; 25</w:t>
            </w:r>
            <w:r>
              <w:rPr>
                <w:rFonts w:ascii="Times New Roman;serif" w:hAnsi="Times New Roman;serif"/>
                <w:b w:val="false"/>
                <w:color w:val="000000"/>
                <w:sz w:val="13"/>
              </w:rPr>
              <w:t xml:space="preserve">th </w:t>
            </w:r>
            <w:r>
              <w:rPr>
                <w:rFonts w:ascii="Times New Roman;serif" w:hAnsi="Times New Roman;serif"/>
                <w:b w:val="false"/>
                <w:color w:val="000000"/>
                <w:sz w:val="20"/>
              </w:rPr>
              <w:t>Percentile</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 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e01e126a3eb42f1a350c3cee11901dd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0"/>
        <w:jc w:val="both"/>
        <w:rPr/>
      </w:pPr>
      <w:r>
        <w:rPr>
          <w:rFonts w:ascii="Times New Roman;serif" w:hAnsi="Times New Roman;serif"/>
          <w:b w:val="false"/>
          <w:color w:val="000000"/>
          <w:sz w:val="20"/>
        </w:rPr>
        <w:t>For the fiscal 2024-2026 performance period, the Company’s adjusted EBITDA margin and organic revenue were 10.2% and $2,731, respectively, each of which was insufficient to earn any payout under the 2024 PSAs. However, during this same performance period the Company achieved a strong shareholder return of 265%, and a Relative TSR at the 74.4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of Spade Defense Index companies, resulting in award recipients earning a calculated payout of 24.4% of their target shares.</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end of fiscal 2026, the Compensation Committee engaged in a comprehensive review of the Company’s fiscal 2024-2026 performance. As noted in our 2024 proxy statement, the Company’s 2024 financial performance was negatively impacted by transitory challenges – primarily relating to warranty and inventory reserves, changes in contract cost estimates, renegotiation of underperforming contracts and technical and production challenges relating to our common processing architecture – which were not anticipated at the time the performance targets for the 2024 PSAs were established, obscuring solid performance elsewhere in the business. Furthermore, these challenges emerged at a time that our leadership team was newly reconstituted, including our Chief Executive Officer, Chief Financial Officer and Chief Legal Officer, each of whom was appointed to their respective roles during or immediately prior to the start of fiscal 2024. Nonetheless, the Company responded to these challenges with considerable progress in our priority areas during 2024, accompanied by substantially improved financial results in the second half of fiscal 2024 and continuing with strong performance through fiscal 2025 and 2026. </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Committee further instructed its independent compensation consultant to prepare a review of the alignment of pay with performance for each of our named executive officers during the fiscal 2024-2026 time period, including alternatives for addressing dislocations in a manner that maintains our desired pay-for-performance philosophy consistent with the continuing leadership team’s financial and shareholder return achievements. Following a review of this analysis and of the Company’s performance as described above, the Committee determined to amend the 2024 PSAs awarded to our Chief Financial Officer, Chief Legal Officer and Chief Human Resources Officer to provide for an additional payout of 50% of their respective target shares (representing the Threshold payout under the 2024 PSAs based on financial performance measures), contingent on their continued employment for an additional one-year vesting period, with each of the recipients consenting to the amendment of their respective 2024 PSA award agreement. The Committee further determined that it would not amend the 2024 PSAs awarded to our Chief Executive Officer, who agreed with the Committee’s determination. No other Company employees held 2024 PSAs at the time of the Committee’s determinations. The specific details of the amended payouts under the 2024 PSAs are set forth below.</w:t>
      </w:r>
    </w:p>
    <w:tbl>
      <w:tblPr>
        <w:tblW w:w="10550" w:type="dxa"/>
        <w:jc w:val="left"/>
        <w:tblInd w:w="0" w:type="dxa"/>
        <w:tblLayout w:type="fixed"/>
        <w:tblCellMar>
          <w:top w:w="28" w:type="dxa"/>
          <w:left w:w="28" w:type="dxa"/>
          <w:bottom w:w="28" w:type="dxa"/>
          <w:right w:w="28" w:type="dxa"/>
        </w:tblCellMar>
      </w:tblPr>
      <w:tblGrid>
        <w:gridCol w:w="419"/>
        <w:gridCol w:w="368"/>
        <w:gridCol w:w="369"/>
        <w:gridCol w:w="185"/>
        <w:gridCol w:w="185"/>
        <w:gridCol w:w="186"/>
        <w:gridCol w:w="109"/>
        <w:gridCol w:w="109"/>
        <w:gridCol w:w="109"/>
        <w:gridCol w:w="240"/>
        <w:gridCol w:w="240"/>
        <w:gridCol w:w="241"/>
        <w:gridCol w:w="109"/>
        <w:gridCol w:w="109"/>
        <w:gridCol w:w="109"/>
        <w:gridCol w:w="314"/>
        <w:gridCol w:w="197"/>
        <w:gridCol w:w="492"/>
        <w:gridCol w:w="109"/>
        <w:gridCol w:w="109"/>
        <w:gridCol w:w="109"/>
        <w:gridCol w:w="426"/>
        <w:gridCol w:w="295"/>
        <w:gridCol w:w="296"/>
        <w:gridCol w:w="109"/>
        <w:gridCol w:w="109"/>
        <w:gridCol w:w="109"/>
        <w:gridCol w:w="295"/>
        <w:gridCol w:w="295"/>
        <w:gridCol w:w="296"/>
        <w:gridCol w:w="109"/>
        <w:gridCol w:w="109"/>
        <w:gridCol w:w="109"/>
        <w:gridCol w:w="317"/>
        <w:gridCol w:w="194"/>
        <w:gridCol w:w="483"/>
        <w:gridCol w:w="109"/>
        <w:gridCol w:w="109"/>
        <w:gridCol w:w="109"/>
        <w:gridCol w:w="431"/>
        <w:gridCol w:w="290"/>
        <w:gridCol w:w="291"/>
        <w:gridCol w:w="109"/>
        <w:gridCol w:w="109"/>
        <w:gridCol w:w="109"/>
        <w:gridCol w:w="268"/>
        <w:gridCol w:w="268"/>
        <w:gridCol w:w="380"/>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Calculated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Calculated Shares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 Date for Calculated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Shares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 Date for Additional Shares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David E. Farnsworth</w:t>
            </w:r>
            <w:r>
              <w:rPr>
                <w:rFonts w:ascii="Times New Roman;serif" w:hAnsi="Times New Roman;serif"/>
                <w:b w:val="false"/>
                <w:color w:val="000000"/>
                <w:sz w:val="20"/>
              </w:rPr>
              <w:t>, Chief Financial Officer</w:t>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63,576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31,789 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8/15/2027</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Stuart H. Kupinsky</w:t>
            </w:r>
            <w:r>
              <w:rPr>
                <w:rFonts w:ascii="Times New Roman;serif" w:hAnsi="Times New Roman;serif"/>
                <w:b w:val="false"/>
                <w:color w:val="000000"/>
                <w:sz w:val="20"/>
              </w:rPr>
              <w:t>, Chief Legal Officer</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2/15/2028</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Steven V. Ratner</w:t>
            </w:r>
            <w:r>
              <w:rPr>
                <w:rFonts w:ascii="Times New Roman;serif" w:hAnsi="Times New Roman;serif"/>
                <w:b w:val="false"/>
                <w:color w:val="000000"/>
                <w:sz w:val="20"/>
              </w:rPr>
              <w:t>, Chief Human Resources Officer</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8/15/2027</w:t>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Reflects two separate awards made to Mr. Farnsworth on the same date, under which he was granted 41,017 target shares in connection with his hire and 22,559 target shares as part of his annual compensation for fiscal year 2024.</w:t>
      </w:r>
    </w:p>
    <w:p>
      <w:pPr>
        <w:pStyle w:val="TextBody"/>
        <w:bidi w:val="0"/>
        <w:spacing w:lineRule="auto" w:line="288" w:before="1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amendments to the 2024 PSAs does not purport to be complete and is qualified in its entirety by reference to the full text of the form of amendment filed as Exhibit 10.16 to this Annual Report on Form 10-K and is incorporated by reference into this Item 9B.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e01e126a3eb42f1a350c3cee11901dd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our 2026 Annual Meeting of Shareholders (the “Shareholders Meeting”), except that information required by this item concerning our executive officers appears in Part I, Item 4.1.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 MATTERS</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14.PRINCIPAL ACCOUNTANT FEES AND SERVICES</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KPMG LLP, Boston, MA, Auditor Firm ID:185</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350"/>
        <w:jc w:val="left"/>
        <w:rPr>
          <w:rFonts w:ascii="Times New Roman;serif" w:hAnsi="Times New Roman;serif"/>
          <w:b/>
          <w:color w:val="000000"/>
          <w:sz w:val="20"/>
        </w:rPr>
      </w:pPr>
      <w:r>
        <w:rPr>
          <w:rFonts w:ascii="Times New Roman;serif" w:hAnsi="Times New Roman;serif"/>
          <w:b/>
          <w:color w:val="000000"/>
          <w:sz w:val="20"/>
        </w:rPr>
        <w:t>ITEM 15.EXHIBITS AND FINANCIAL STATEMENT SCHEDULES</w:t>
      </w:r>
    </w:p>
    <w:p>
      <w:pPr>
        <w:pStyle w:val="TextBody"/>
        <w:bidi w:val="0"/>
        <w:spacing w:lineRule="auto" w:line="288" w:before="180" w:after="283"/>
        <w:jc w:val="left"/>
        <w:rPr/>
      </w:pPr>
      <w:r>
        <w:rPr>
          <w:rFonts w:ascii="Times New Roman;serif" w:hAnsi="Times New Roman;serif"/>
          <w:b w:val="false"/>
          <w:color w:val="000000"/>
          <w:sz w:val="20"/>
        </w:rPr>
        <w:t>(a)</w:t>
      </w:r>
      <w:r>
        <w:rPr>
          <w:rFonts w:ascii="Times New Roman;serif" w:hAnsi="Times New Roman;serif"/>
          <w:b w:val="false"/>
          <w:color w:val="000000"/>
          <w:sz w:val="20"/>
        </w:rPr>
        <w:t>FINANCIAL STATEMENTS, SCHEDULES AND EXHIBITS</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financial statements, schedule, and exhibits listed below are included in or incorporated by reference as part of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July 3, 2026 and June 27,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Loss for the fiscal years ended July 3, 2026, June 27, 2025, and June 28, 2024</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Shareholders’ Equity for the fiscal years ended July 3, 2026, June 27, 2025, and June 28, 2024 </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July 3, 2026, June 27, 2025, and June 28, 2024</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II.Valuation and Qualifying Accounts</w:t>
      </w:r>
    </w:p>
    <w:p>
      <w:pPr>
        <w:pStyle w:val="TextBody"/>
        <w:bidi w:val="0"/>
        <w:spacing w:before="180" w:after="283"/>
        <w:ind w:left="0" w:right="0" w:hanging="13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35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SCHEDULE II—VALUATION AND QUALIFYING ACCOUNTS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FISCAL YEARS ENDED JULY 3, 2026, JUNE 27, 2025, and JUNE 28,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Accounts receivable, Unbilled receivables and costs in excess of billings, allowance for credit losses</w:t>
      </w:r>
    </w:p>
    <w:tbl>
      <w:tblPr>
        <w:tblW w:w="7024" w:type="dxa"/>
        <w:jc w:val="center"/>
        <w:tblInd w:w="0" w:type="dxa"/>
        <w:tblLayout w:type="fixed"/>
        <w:tblCellMar>
          <w:top w:w="28" w:type="dxa"/>
          <w:left w:w="28" w:type="dxa"/>
          <w:bottom w:w="28" w:type="dxa"/>
          <w:right w:w="28" w:type="dxa"/>
        </w:tblCellMar>
      </w:tblPr>
      <w:tblGrid>
        <w:gridCol w:w="196"/>
        <w:gridCol w:w="172"/>
        <w:gridCol w:w="173"/>
        <w:gridCol w:w="240"/>
        <w:gridCol w:w="701"/>
        <w:gridCol w:w="125"/>
        <w:gridCol w:w="109"/>
        <w:gridCol w:w="109"/>
        <w:gridCol w:w="109"/>
        <w:gridCol w:w="211"/>
        <w:gridCol w:w="721"/>
        <w:gridCol w:w="109"/>
        <w:gridCol w:w="109"/>
        <w:gridCol w:w="109"/>
        <w:gridCol w:w="109"/>
        <w:gridCol w:w="290"/>
        <w:gridCol w:w="640"/>
        <w:gridCol w:w="151"/>
        <w:gridCol w:w="109"/>
        <w:gridCol w:w="109"/>
        <w:gridCol w:w="109"/>
        <w:gridCol w:w="211"/>
        <w:gridCol w:w="616"/>
        <w:gridCol w:w="109"/>
        <w:gridCol w:w="109"/>
        <w:gridCol w:w="109"/>
        <w:gridCol w:w="109"/>
        <w:gridCol w:w="226"/>
        <w:gridCol w:w="659"/>
        <w:gridCol w:w="16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w:t>
              <w:br/>
              <w:t>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 END OF</w:t>
              <w:br/>
              <w:t>PERIOD</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center"/>
        <w:rPr/>
      </w:pPr>
      <w:r>
        <w:rPr>
          <w:rFonts w:ascii="Times New Roman;serif" w:hAnsi="Times New Roman;serif"/>
          <w:b/>
          <w:color w:val="000000"/>
          <w:sz w:val="20"/>
        </w:rPr>
        <w:t>Deferred Tax Asset Valuation Allowance</w:t>
      </w:r>
      <w:r>
        <w:rPr>
          <w:color w:val="000000"/>
        </w:rPr>
        <w:t> </w:t>
      </w:r>
    </w:p>
    <w:tbl>
      <w:tblPr>
        <w:tblW w:w="7349" w:type="dxa"/>
        <w:jc w:val="center"/>
        <w:tblInd w:w="0" w:type="dxa"/>
        <w:tblLayout w:type="fixed"/>
        <w:tblCellMar>
          <w:top w:w="28" w:type="dxa"/>
          <w:left w:w="28" w:type="dxa"/>
          <w:bottom w:w="28" w:type="dxa"/>
          <w:right w:w="28" w:type="dxa"/>
        </w:tblCellMar>
      </w:tblPr>
      <w:tblGrid>
        <w:gridCol w:w="196"/>
        <w:gridCol w:w="172"/>
        <w:gridCol w:w="173"/>
        <w:gridCol w:w="216"/>
        <w:gridCol w:w="738"/>
        <w:gridCol w:w="112"/>
        <w:gridCol w:w="109"/>
        <w:gridCol w:w="109"/>
        <w:gridCol w:w="109"/>
        <w:gridCol w:w="250"/>
        <w:gridCol w:w="731"/>
        <w:gridCol w:w="130"/>
        <w:gridCol w:w="109"/>
        <w:gridCol w:w="109"/>
        <w:gridCol w:w="109"/>
        <w:gridCol w:w="272"/>
        <w:gridCol w:w="622"/>
        <w:gridCol w:w="142"/>
        <w:gridCol w:w="109"/>
        <w:gridCol w:w="109"/>
        <w:gridCol w:w="109"/>
        <w:gridCol w:w="349"/>
        <w:gridCol w:w="671"/>
        <w:gridCol w:w="181"/>
        <w:gridCol w:w="109"/>
        <w:gridCol w:w="109"/>
        <w:gridCol w:w="109"/>
        <w:gridCol w:w="211"/>
        <w:gridCol w:w="72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w:t>
              <w:br/>
              <w:t>TO COSTS &amp;</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w:t>
              <w:br/>
              <w:t>TO OTHER</w:t>
              <w:b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 END OF</w:t>
              <w:br/>
              <w:t>PERIOD</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rFonts w:ascii="Times New Roman;serif" w:hAnsi="Times New Roman;serif"/>
          <w:b w:val="false"/>
          <w:color w:val="000000"/>
          <w:sz w:val="20"/>
        </w:rPr>
        <w:t>Exhibits:</w:t>
      </w:r>
    </w:p>
    <w:p>
      <w:pPr>
        <w:pStyle w:val="TextBody"/>
        <w:bidi w:val="0"/>
        <w:spacing w:lineRule="auto" w:line="288" w:before="1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Exhibits required by Item 601 of Regulation S-K are listed in the Exhibit Index on page 84,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in Andover, Massachusetts, on August 18, 2026.</w:t>
      </w:r>
    </w:p>
    <w:p>
      <w:pPr>
        <w:pStyle w:val="TextBody"/>
        <w:bidi w:val="0"/>
        <w:spacing w:lineRule="auto" w:line="288" w:before="0" w:after="0"/>
        <w:jc w:val="left"/>
        <w:rPr>
          <w:color w:val="000000"/>
        </w:rPr>
      </w:pPr>
      <w:r>
        <w:rPr>
          <w:color w:val="000000"/>
        </w:rPr>
        <w:t> </w:t>
      </w:r>
    </w:p>
    <w:tbl>
      <w:tblPr>
        <w:tblW w:w="6428" w:type="dxa"/>
        <w:jc w:val="left"/>
        <w:tblInd w:w="0" w:type="dxa"/>
        <w:tblLayout w:type="fixed"/>
        <w:tblCellMar>
          <w:top w:w="28" w:type="dxa"/>
          <w:left w:w="28" w:type="dxa"/>
          <w:bottom w:w="28" w:type="dxa"/>
          <w:right w:w="28" w:type="dxa"/>
        </w:tblCellMar>
      </w:tblPr>
      <w:tblGrid>
        <w:gridCol w:w="124"/>
        <w:gridCol w:w="109"/>
        <w:gridCol w:w="109"/>
        <w:gridCol w:w="389"/>
        <w:gridCol w:w="389"/>
        <w:gridCol w:w="389"/>
        <w:gridCol w:w="1431"/>
        <w:gridCol w:w="1431"/>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E. FARNSWORTH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br/>
              <w:t>EXECUTIVE VICE PRESIDENT, CHIEF FINANCIAL OFFICER</w:t>
              <w:br/>
              <w:t>[PRINCIPAL FINANCIAL OFFICER]</w:t>
            </w:r>
          </w:p>
        </w:tc>
      </w:tr>
    </w:tbl>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55"/>
        <w:gridCol w:w="730"/>
        <w:gridCol w:w="737"/>
        <w:gridCol w:w="109"/>
        <w:gridCol w:w="109"/>
        <w:gridCol w:w="109"/>
        <w:gridCol w:w="2015"/>
        <w:gridCol w:w="1970"/>
        <w:gridCol w:w="1995"/>
        <w:gridCol w:w="109"/>
        <w:gridCol w:w="109"/>
        <w:gridCol w:w="109"/>
        <w:gridCol w:w="363"/>
        <w:gridCol w:w="363"/>
        <w:gridCol w:w="523"/>
      </w:tblGrid>
      <w:tr>
        <w:trPr/>
        <w:tc>
          <w:tcPr>
            <w:tcW w:w="85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L. BALLHAUS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William L. Ballhaus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D. MUNRO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Douglas D. Munro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ORLANDO P. CARVALHO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Orlando P. Carvalho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GERARD J. DEMURO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Gerard J. DeMuro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LISA S. DISBROW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Lisa S. Disbrow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JEAN BUA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Jean Bua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HOWARD L. 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Howard L. 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R. NEARHOS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R. Nearhos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OSTFELD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Scott Ostfeld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DEBORA A. PLUNKETT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Debora A. Plunkett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814"/>
        <w:gridCol w:w="2557"/>
        <w:gridCol w:w="362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Organization (incorporated herein by reference to Exhibit 3.1.1 of the Company’s annual report on Form 10-K for the fiscal year ended June 30, 2009)</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3.1.2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of Amendment (incorporated herein by reference to Exhibit 3.1.2 of the Company’s annual report on Form 10-K for the fiscal year ended June 30, 2010)</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3.1.3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(incorporated herein by reference to Exhibit 1 of the Company’s registration statement on Form 8-A filed on December 15, 2005)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3.1.4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Articles of Amendment (incorporated herein by reference to Exhibit 3.1 of the Company's current report on Form 8-K filed on November 13, 2012)</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3.1.5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Articles of Amendment (incorporated herein by reference to Exhibit 3.1 of the Company's current report on Form 8-K filed on June 30, 2015)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3.1.6</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Articles of Amendment (incorporated herein by reference to Exhibit 3.1 of the Company’s current report on Form 8-K filed on December 29, 2021)</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3.2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Bylaws, amended and restated, effective as of October 26, 2022 (incorporated herein by reference to Exhibit 3.1 of the Company’s current report on Form 8-K filed on October 28, 2022</w:t>
              </w:r>
            </w:hyperlink>
            <w:r>
              <w:rPr>
                <w:rFonts w:ascii="Times New Roman;serif" w:hAnsi="Times New Roman;serif"/>
                <w:b w:val="false"/>
                <w:color w:val="000000"/>
                <w:sz w:val="20"/>
              </w:rPr>
              <w: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Stock Certificate (incorporated herein by reference to Exhibit 4.1 of the Company’s Registration Statement on Form S-1/A filed on January 7, 1998)</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Description of Registrant's Securities (incorporated herein by reference to Exhibit 4.2 of the Company’s annual report on Form 10-K for the fiscal year ended July 3, 2020)</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2024 Employee Stock Purchase Plan (incorporated herein by reference to Exhibit 10.1 of the Company’s Registration Statement on Form S-8 filed May 8, 2024)</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10.2*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Indemnification Agreement between the Company and each of its current directors and officers (incorporated herein by reference to Exhibit 10.1 of the Company’s quarterly report on Form 10-Q for the quarter ended December 26,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2018 Stock Incentive Plan, as amended and restated (incorporated herein by reference to Exhibit 10.3 of the Company's annual report on Form 10-K for the fiscal year end June 28, 2024)</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10.4.1*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Stock Option Agreement under the 2018 Stock Incentive Plan (incorporated herein by reference to Exhibit 10.1 of the Company’s quarterly report on Form 10-Q for the quarter ended March 31, 2019)</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10.4.2*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Restricted Stock Award Agreement under the 2018 Stock Incentive Plan (incorporated herein by reference to Exhibit 10.2 of the Company’s quarterly report on Form 10-Q for the quarter ended March 31, 2019)</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10.4.3*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Deferred Stock Award Agreement under the 2018 Stock Incentive Plan (incorporated herein by reference to Exhibit 10.3 of the Company’s quarterly report on Form 10-Q for the quarter ended March 31, 2019)</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10.4.4*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Performance-Based Restricted Stock Award Agreement under the 2018 Stock Incentive Plan (incorporated herein by reference to Exhibit 10.5 of the Company’s quarterly report on Form 10-Q for the quarter ended March 31, 2019)</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2025 Long Term Incentive Plan (incorporated herein by reference to Appendix A of the Company’s proxy statement filed on September 10,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10.6.1*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Form of Restricted Stock Unit Agreement under the 2025 Long Term Incentive Plan (Non-Employee Directors) (incorporated herein by reference to Exhibit 10.6 of the Company’s quarterly report on Form 10-Q for the quarter ended September 26,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10.6.2*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Deferred Stock Unit Agreement under the 2025 Long Term Incentive Plan (incorporated herein by reference to Exhibit 10.7 of the Company’s quarterly report on Form 10-Q for the quarter ended September 26,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10.6.3*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Restricted Stock Unit Agreement under the 2025 Long Term Incentive Agreement (Employees) (incorporated herein by reference to Exhibit 10.8 of the Company’s quarterly report on Form 10-Q for the quarter ended September 26,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10.6.4*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Form of Deferred Stock Unit Agreement under the 2025 Long term Incentive Plan (DCMP) (incorporated herein by reference to Exhibit 10.9 of the Company’s quarterly report on Form 10-Q for the quarter ended September 26,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10.7*</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Form of Change in Control Severance Agreement between the Company and Non-CEO Executives (incorporated herein by reference to Exhibit 10.3 of the Company’s quarterly report on Form 10-Q for the quarter ended September 26, 2025)</w:t>
              </w:r>
            </w:hyperlink>
          </w:p>
        </w:tc>
      </w:tr>
      <w:tr>
        <w:trPr/>
        <w:tc>
          <w:tcPr>
            <w:tcW w:w="88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10.8*</w:t>
              </w:r>
            </w:hyperlink>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Form of Severance Benefits Agreement between the Company and Non-CEO Executives (incorporated herein by reference to Exhibit 10.4 of the Company’s quarterly report on Form 10-Q for the quarter ended September 26, 2025)</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700"/>
        <w:gridCol w:w="2604"/>
        <w:gridCol w:w="368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10.9*</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Compensation Policy for Non-Employee Directors (incorporated herein by reference to Exhibit 10.5 of the Company's quarterly report on Form 10-Q for the quarter ended September 26, 2025)</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10.10.1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Credit Agreement, dated May 2, 2016, among the Company, the Guarantors party thereto, the Lenders party thereto and Bank of America, N.A., as Administrative Agent (incorporated herein by reference to Exhibit 10.1 of the Company's current report on Form 8-K filed on May 2, 2016)</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10.10.2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Amendment No. 1 to Credit Agreement, dated June 27, 2017, among the Company, the Guarantors party thereto, the Lenders party thereto and Bank of America, N.A., as Administrative Agent (incorporated herein by reference to Exhibit 10.1 of the Company's current report on Form 8-K filed on June 27, 2017)</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10.10.3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Amendment No. 3 to Credit Agreement, dated September 28, 2018, among the Company, the Guarantors party thereto, the Lenders party thereto and Bank of America, N.A., as Administrative Agent (incorporated herein by reference to Exhibit 10.1 of the Company’s current report on Form 8-K filed on October 1, 2018)</w:t>
              </w:r>
            </w:hyperlink>
            <w:r>
              <w:rPr>
                <w:color w:val="000000"/>
              </w:rPr>
              <w:t xml:space="preserve"> </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10.10.4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Amendment No. 4 to Credit Agreement, dated February 28, 2022, among the Company, the Guarantors party thereto, the Lenders party thereto and Bank of America, N.A., as Administrative Agent (incorporated herein by reference to Exhibit 10.1 of the Company’s current report on Form 8-K filed on February 28, 2022)</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10.10.5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Amendment No. 5 to Credit Agreement, dated November 7, 2023, among the Company, the Guarantors party thereto, the Lenders party thereto and Bank of America, N.A., as Administrative Agent (incorporated by reference to Exhibit 10.1 of the Company’s current report on Form 8-K filed on November 7, 2023)</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10.10.6</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Amendment No. 6 to Credit Agreement, dated August 13, 2024, among the Company, the Guarantors party thereto, the Lenders party thereto and Bank of America, N.A., as Administrative Agent (incorporated by reference to Exhibit 10.1 of the Company’s current report on Form 8-K filed August 13, 2024)</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10.10.7</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Amendment No. 7 to Credit Agreement, dated November 4, 2025, among the Company, the Guarantors party thereto, the Lenders party thereto, and Wells Fargo Bank, national Association, as Administrative Agent (incorporated herein by reference to Exhibit 10.1 to the Company’s current report on Form 8-K filed on November 4, 2025)</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10.11.1*</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Employment Agreement, dated August 15, 2023, between the Company and William L. Ballhaus (incorporated herein by reference to Exhibit 10.1 of the Company’s current report on Form 8-K filed on August 15, 2023)</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10.11.2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Amendment No. 1 to the Employment Agreement, dated October 31, 2025, between the Company and William L. Ballhaus (incorporated herein by reference to Exhibit 10.2 of the Company’s quarterly report on Form 10-Q for the quarter ended September 26,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10.12*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Letter Agreement, dated June 20, 2023, between the Company and David E. Farnsworth (incorporated herein by reference to Exhibit 10.1 of the Company’s current report on Form 8-K filed on June 29, 2023)</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10.13*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Deferred Compensation Matching Plan (incorporated herein by reference to Exhibit 99.1 of the Company’s Registration Statement on Form S-8 filed on November 9, 2023)</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10.14*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Deferred Compensation Matching Plan Adoption Agreement (incorporated herein by reference to Exhibit 99.2 of the Company’s Registration Statement on Form S-8 filed on November 9, 2023)</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10.15*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Restricted Stock Unit Agreement, dated April 15, 2025, between the Company and David E. Farnsworth (incorporated by reference to Exhibit 10.13 of the Company’s annual report on Form 10-K for the fiscal year ended June 27, 2025)</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formofamendmenttofy24psa.htm">
              <w:r>
                <w:rPr>
                  <w:rStyle w:val="InternetLink"/>
                  <w:rFonts w:ascii="Times New Roman;serif" w:hAnsi="Times New Roman;serif"/>
                  <w:b w:val="false"/>
                  <w:color w:val="0000FF"/>
                  <w:sz w:val="20"/>
                  <w:u w:val="single"/>
                </w:rPr>
                <w:t>10.16*†</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formofamendmenttofy24psa.htm">
              <w:r>
                <w:rPr>
                  <w:rStyle w:val="InternetLink"/>
                  <w:rFonts w:ascii="Times New Roman;serif" w:hAnsi="Times New Roman;serif"/>
                  <w:b w:val="false"/>
                  <w:color w:val="0000FF"/>
                  <w:sz w:val="20"/>
                  <w:u w:val="single"/>
                </w:rPr>
                <w:t>Form of Amended Fiscal Year 2024 Performance Stock Award Agreement, dated August 14, 2026, between the Company and each of David E. Farnsworth, Stuart H. Kupinsky, and Steve V. Ratner</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191cor-p04x06securitie.htm">
              <w:r>
                <w:rPr>
                  <w:rStyle w:val="InternetLink"/>
                  <w:rFonts w:ascii="Times New Roman;serif" w:hAnsi="Times New Roman;serif"/>
                  <w:b w:val="false"/>
                  <w:color w:val="0000FF"/>
                  <w:sz w:val="20"/>
                  <w:u w:val="single"/>
                </w:rPr>
                <w:t>19.1†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ex191cor-p04x06securitie.htm">
              <w:r>
                <w:rPr>
                  <w:rStyle w:val="InternetLink"/>
                  <w:rFonts w:ascii="Times New Roman;serif" w:hAnsi="Times New Roman;serif"/>
                  <w:b w:val="false"/>
                  <w:color w:val="0000FF"/>
                  <w:sz w:val="20"/>
                  <w:u w:val="single"/>
                </w:rPr>
                <w:t>Insider Trading Policy</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hibit211-subsidiarieso.htm">
              <w:r>
                <w:rPr>
                  <w:rStyle w:val="InternetLink"/>
                  <w:rFonts w:ascii="Times New Roman;serif" w:hAnsi="Times New Roman;serif"/>
                  <w:b w:val="false"/>
                  <w:color w:val="0000FF"/>
                  <w:sz w:val="20"/>
                  <w:u w:val="single"/>
                </w:rPr>
                <w:t>21.1†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exhibit211-subsidiarieso.htm">
              <w:r>
                <w:rPr>
                  <w:rStyle w:val="InternetLink"/>
                  <w:rFonts w:ascii="Times New Roman;serif" w:hAnsi="Times New Roman;serif"/>
                  <w:b w:val="false"/>
                  <w:color w:val="0000FF"/>
                  <w:sz w:val="20"/>
                  <w:u w:val="single"/>
                </w:rPr>
                <w:t>Subsidiaries of the Company</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kpmgconsent.htm">
              <w:r>
                <w:rPr>
                  <w:rStyle w:val="InternetLink"/>
                  <w:rFonts w:ascii="Times New Roman;serif" w:hAnsi="Times New Roman;serif"/>
                  <w:b w:val="false"/>
                  <w:color w:val="0000FF"/>
                  <w:sz w:val="20"/>
                  <w:u w:val="single"/>
                </w:rPr>
                <w:t>23.1†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kpmgconsent.htm">
              <w:r>
                <w:rPr>
                  <w:rStyle w:val="InternetLink"/>
                  <w:rFonts w:ascii="Times New Roman;serif" w:hAnsi="Times New Roman;serif"/>
                  <w:b w:val="false"/>
                  <w:color w:val="0000FF"/>
                  <w:sz w:val="20"/>
                  <w:u w:val="single"/>
                </w:rPr>
                <w:t>Consent of KPMG LLP</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mrcy732026-exhibit311.htm">
              <w:r>
                <w:rPr>
                  <w:rStyle w:val="InternetLink"/>
                  <w:rFonts w:ascii="Times New Roman;serif" w:hAnsi="Times New Roman;serif"/>
                  <w:b w:val="false"/>
                  <w:color w:val="0000FF"/>
                  <w:sz w:val="20"/>
                  <w:u w:val="single"/>
                </w:rPr>
                <w:t>31.1†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mrcy732026-exhibit311.htm">
              <w:r>
                <w:rPr>
                  <w:rStyle w:val="InternetLink"/>
                  <w:rFonts w:ascii="Times New Roman;serif" w:hAnsi="Times New Roman;serif"/>
                  <w:b w:val="false"/>
                  <w:color w:val="0000FF"/>
                  <w:sz w:val="20"/>
                  <w:u w:val="single"/>
                </w:rPr>
                <w:t>Certification of the Company’s Chief Executive Officer pursuant to Section 302 of the Sarbanes-Oxley Act of 2002</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mrcy732026-exhibit312.htm">
              <w:r>
                <w:rPr>
                  <w:rStyle w:val="InternetLink"/>
                  <w:rFonts w:ascii="Times New Roman;serif" w:hAnsi="Times New Roman;serif"/>
                  <w:b w:val="false"/>
                  <w:color w:val="0000FF"/>
                  <w:sz w:val="20"/>
                  <w:u w:val="single"/>
                </w:rPr>
                <w:t>31.2†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mrcy732026-exhibit312.htm">
              <w:r>
                <w:rPr>
                  <w:rStyle w:val="InternetLink"/>
                  <w:rFonts w:ascii="Times New Roman;serif" w:hAnsi="Times New Roman;serif"/>
                  <w:b w:val="false"/>
                  <w:color w:val="0000FF"/>
                  <w:sz w:val="20"/>
                  <w:u w:val="single"/>
                </w:rPr>
                <w:t>Certification of the Company’s Chief Financial Officer pursuant to Section 302 of the Sarbanes-Oxley Act of 2002</w:t>
              </w:r>
            </w:hyperlink>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mrcy732026-exhibit321.htm">
              <w:r>
                <w:rPr>
                  <w:rStyle w:val="InternetLink"/>
                  <w:rFonts w:ascii="Times New Roman;serif" w:hAnsi="Times New Roman;serif"/>
                  <w:b w:val="false"/>
                  <w:color w:val="0000FF"/>
                  <w:sz w:val="20"/>
                  <w:u w:val="single"/>
                </w:rPr>
                <w:t>32.1†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hyperlink w:anchor="mrcy732026-exhibit321.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Sarbanes-Oxley Act of 2002</w:t>
              </w:r>
            </w:hyperlink>
          </w:p>
        </w:tc>
      </w:tr>
      <w:tr>
        <w:trPr/>
        <w:tc>
          <w:tcPr>
            <w:tcW w:w="88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97.1*</w:t>
              </w:r>
            </w:hyperlink>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Compensation Recoupment Policy (incorporated herein by reference to Exhibit 10.3 of the Company's annual report on Form 10-K for the fiscal year end June 28, 2024)</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e01e126a3eb42f1a350c3cee11901dd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709"/>
        <w:gridCol w:w="2600"/>
        <w:gridCol w:w="3683"/>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files pursuant to Rule 405 of Regulation S-T: (i) Consolidated Balance Sheet, (ii) Consolidated Statement of Operations, (iii) Consolidated Statement of Shareholders’ Equity, (iv) Consolidated Statement of Cash Flows, and (v) Notes to Consolidated Financial Statements</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eXtensible Business Reporting Language (XBRL) Instance Document - the instance document does not appear in the Interactive Data File because its XBRL tags are embedded within the Inline XBRL document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8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Identifies a management contract or compensatory plan or arrangement in which an executive officer or director of the Company participates.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with this Form 10-K.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tc>
      </w:tr>
    </w:tbl>
    <w:p>
      <w:pPr>
        <w:pStyle w:val="TextBody"/>
        <w:bidi w:val="0"/>
        <w:jc w:val="center"/>
        <w:rPr/>
      </w:pPr>
      <w:r>
        <w:rPr/>
      </w:r>
    </w:p>
    <w:p>
      <w:pPr>
        <w:pStyle w:val="TextBody"/>
        <w:bidi w:val="0"/>
        <w:spacing w:before="0" w:after="0"/>
        <w:jc w:val="center"/>
        <w:rPr/>
      </w:pPr>
      <w:bookmarkStart w:id="0" w:name="formofamendmenttofy24psa.htm"/>
      <w:bookmarkStart w:id="1" w:name="ksformofamendmenttofy24psa"/>
      <w:bookmarkEnd w:id="0"/>
      <w:bookmarkEnd w:id="1"/>
      <w:r>
        <w:rPr/>
        <w:drawing>
          <wp:inline distT="0" distB="0" distL="0" distR="0">
            <wp:extent cx="10048875" cy="13001625"/>
            <wp:effectExtent l="0" t="0" r="0" b="0"/>
            <wp:docPr id="8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jc w:val="center"/>
        <w:rPr>
          <w:color w:val="FFFFFF"/>
          <w:sz w:val="2"/>
        </w:rPr>
      </w:pPr>
      <w:r>
        <w:rPr>
          <w:color w:val="FFFFFF"/>
          <w:sz w:val="2"/>
        </w:rPr>
        <w:t xml:space="preserve">/Mercury Proprietary/No Tech Data/ AMENDMENT TO PERFORMANCE RESTRICTED STOCK AWARD AGREEMENT UNDER THE MERCURY SYSTEMS, INC. 2018 STOCK INCENTIVE PLAN This Amendment (“Amendment”), with respect to awards of performance-based restricted stock (“Restricted Stock”) previously granted by Mercury Systems, Inc. (the “Company”) to [Name] (the “Grantee”) under the Mercury Systems, Inc. Amended and Restated 2018 Stock Incentive Plan (the “Plan”), is dated as of August 14, 2026. WHEREAS, on [Date], the Company granted an award of Restricted Stock under the Plan to the Grantee, the terms of which are governed by an award agreement (the “Award Agreement”); and WHEREAS, the Company desires to amend the Award Agreement as set forth below; and WHEREAS, capitalized terms not otherwise defined herein shall have the respective meanings ascribed to them under the Award Agreement. NOW, THEREFORE: 1. Earned Shares. Mercury does hereby amend Section 3(a) of the Award Agreement to add the following to the end thereof: As of the Certification Date, the Committee determined that the final number of shares of Stock earned under this Award was 74.4% of the Target Shares, of which 24.4% is attributable to the Company’s performance during the Performance Period under the Performance Goals (the “Initial Shares”) and 50% is attributable to circumstances impacting performance beyond those set forth in the Performance Goals (the “Additional Shares”, and collectively with the Initial Shares, the “Earned Shares”). As of the Certification Date, the number of shares equal to the difference between the Target Shares and the Earned Shares is hereby forfeited to the Company. 2. Vesting. Mercury does hereby amend Section 3(b) of the Award Agreement to read as follows: The restrictions and conditions in Paragraph 2 shall lapse on the third anniversary after the Grant Date with respect to the Initial Shares (the “Initial Vesting Date”), and the fourth anniversary after the Grant Date with respect to the Additional Shares (the “Additional Vesting Date”), each of which shall be defined under this Award Agreement as the “Vesting Date” with respect to the Initial Shares and the Additional Shares, as applicable. 3. Termination of Employment or Change of Control Prior to the Initial Vesting Date. The provisions of Section 4 and 5 of the Award Agreement shall apply only if a termination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/Mercury Proprietary/No Tech Data/ Grantee’s employment or a Change of Control of the Company, as applicable, occurs prior to the Initial Vesting Date. 4. Termination of Employment on or after Initial Vesting Date. If the Grantee’s employment with the Company and its Subsidiaries is terminated on or after the Initial Vesting Date but prior to the Additional Vesting Date, then except as may be otherwise set forth in any agreement between the Grantee and the Company, the consequences of such termination shall be as follows: (a) If the Grantee’s employment is terminated in a manner that qualifies the Grantee for cash severance under any applicable agreement with the Company and no later than the date that is 60 days following the Grantee’s termination of employment, the Grantee shall have satisfied the Release Condition (as defined below), then the number of Additional Shares hereunder shall be prorated based on the portion of the vesting period between the Initial Vesting Date and the one-year anniversary thereof that is satisfied at the time of the termination of employment, and the Additional Vesting Date for the Additional Shares (as so prorated) shall be modified to be the date that is 60 days following the Grantee’s termination of employment. (b) If the Grantee’s employment is terminated by reason of death or Disability (as defined in Section 13(c)(ii) of the Plan), then the Additional Vesting Date shall be accelerated to be the date of such termination of employment. (c) Any shares of Restricted Stock that do not vest on or following the Grantee’s termination of employment under Paragraphs (a) or (b) above shall be automatically forfeited to the Company. (d) For purposes of this Amendment, the “Release Condition” shall mean the Grantee’s execution of a general release, which is no longer revocable, of all claims in the form prescribed by the Company in its sole discretion. 5. Continuation of Award Agreement. Except as stated herein, the terms of the Award Agreement shall continue in full force and effect. [Signatures appear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/Mercury Proprietary/No Tech Data/ IN WITNESS WHEREOF, each of the Company and the Grantee has duly executed this Amendment as of the date first set forth above. MERCURY SYSTEMS, INC. By: Steve Ratner Title: Chief Human Resources Officer Acknowledged and Agreed as of the date first written above: _____________________________ [Name]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91cor-p04x06securitie.htm"/>
      <w:bookmarkStart w:id="3" w:name="ksex191corp04x06securitie"/>
      <w:bookmarkEnd w:id="2"/>
      <w:bookmarkEnd w:id="3"/>
      <w:r>
        <w:rPr/>
        <w:drawing>
          <wp:inline distT="0" distB="0" distL="0" distR="0">
            <wp:extent cx="10048875" cy="13001625"/>
            <wp:effectExtent l="0" t="0" r="0" b="0"/>
            <wp:docPr id="9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 P a g e COR-P04-06 Mercury Systems, Inc. Company Policy Effective Date: August 17, 2026 COR-P04-06 Approver: Stuart H. Kupinsky Securities Trades by Company Personnel Authorized By: EVP, Chief Legal Officer The Need For A Policy Statement. This Statement sets forth the policy of Mercury Systems, Inc. and its subsidiaries (collectively, “Mercury”) regarding insider trading and the disclosure of information concerning Mercury. Federal securities laws prohibit the executive officers, directors, and employees of a public company from trading in the securities of that company on the basis of material, non-public information. For many years, the U.S. Securities and Exchange Commission (“SEC”) and the U.S. attorneys have vigorously pursued violations of insider trading laws. The individuals directly involved in such violations can, of course, be held liable for them. In addition, Mercury may face criminal fines of up to $25 million under federal law, and the SEC may impose civil 'controlling person' penalties for failing to take appropriate steps to prevent violations by company personnel. In light of the severity of the possible sanctions both to our personnel and to Mercury itself, we have adopted the policies and procedures set forth in this Policy Statement. Our objective is to avoid even the appearance of improper conduct on the part of anyone employed by, or associated with, Mercury. This Policy Statement is applicable to all executive officers, directors, and employees of Mercury. While these policies and procedures must be followed, they are not intended to replace the primary responsibility of each executive officer, director, and employee to understand and comply with the prohibitions against insider trading under federal and state securities laws. If you have any questions on any of these policies and procedures, or on your obligations under the securities laws generally, please contact our Chief Legal Officer, who is the Compliance Officer for purposes of ensuring compliance with this Policy Statement. In some situations it may be necessary for you to consult legal counsel regarding securities law requirements. The Consequences. The consequences of insider trading violations can be staggering. Persons who trade on inside information (or tip information to others) may be required to: disgorge the profit gained or the loss avoided by the trading; pay the loss suffered by the persons who, contemporaneously with the purchase or sale of securities that are the subject of such violation, have purchased (where such violation is based on a sale of securities) or sold (where such violation is based on a purchase of securities) securities of the same class; pay civil penalties of up to three times the profit gained or loss avoided; pay a criminal penalty of up to $5 million (up to $25 million for Mercury); and serve a jail term of up to 20 years. Mercury may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Mercury’s control. Violation of this Policy Statement or any federal or state insider trading laws may subject the person violating such policy or laws to disciplinary action by Mercury up to and including termination. Mercury reserves the right to determine, in its own discretion and on the basis of the information available to it, whether this Policy Statement has been violated. Mercury may determine that specific conduct violates this Policy Statement, whether or not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P a g e COR-P04-06 conduct also violates the law. It is not necessary for Mercury to await the filing or conclusion of a civil or criminal action against the alleged violator before taking disciplinary action. Needless to say, any of the above consequences, or even an SEC investigation that does not result in prosecution, can tarnish one’s reputation and irreparably damage a career. Our Policy. If an executive officer, director, or any employee has material, non-public information relating to Mercury, it is our policy that neither that person nor any related person may buy or sell securities of Mercury or engage in any other action to take advantage of, or pass on to others, that information. You may also not trade in the securities of another company while aware of material, non-public information about such company obtained through your service to Mercury, or disclose that information to others. 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 This prohibition does not apply to the “exempt transactions” described in the section Blackout Periods below. Material Information. Information about Mercury is “material” if it could reasonably be expected to affect the investment or voting decisions of a stockholder or investor, or if the disclosure of the information could reasonably be expected to significantly alter the total mix of information in the marketplace about Mercury. In short, any information which could reasonably be expected to affect the price of the stock. Common examples of information that will frequently be regarded as material are: financial performance information and significant changes in financial performance; future (near-term) growth projections; strategic plans; news of a pending or proposed merger, acquisition, joint venture, or tender offer; news of a significant sale of assets or the disposition of a subsidiary; changes in dividend policies, the declaration of a stock split, or the offering of additional securities; changes in executive management; significant changes in products or product lines; the gain or loss of a substantial program, customer, or supplier; and supplier or inventory issues. Either positive or negative information may be material. Twenty-Twenty Hindsight. Remember, if your securities transactions become the subject of scrutiny, they will be viewed after-the-fact with the benefit of hindsight. As a result, before engaging in any transaction you should carefully consider how regulators and others might view your transaction in hindsight. Transactions by Related Persons. This Policy Statement applies to securities trades by your spouse, child, parent, sibling, or other family member living in the same household, all persons who execute trades on your behalf, and investment funds, trusts, retirement plans, partnerships, corporations, and other entities over which you have the ability to influence or direct investment decisions concerning securities. Tipping Information to Others. Whether the information is proprietary information about Mercury or information that could have an impact on our stock price, executive officers, directors, and employees must not pass the information on to others. The above penalties apply, whether or not you derive any benefit from another’s actions. When Information Is Public. As you can appreciate, it is also improper for an executive officer, director, or employee to enter a trade immediately after Mercury has made a public announcement of material information, including earnings releases. Because Mercury’s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P a g e COR-P04-06 stockholders and the investing public should be afforded the time to receive the information and digest it, you should not engage in any transactions until 24 hours after the information has been disseminated in a manner making it available to investors generally (such as through an SEC filing or press release). Blackout Periods. In order to avoid even the appearance of impropriety, it is Mercury’s policy that all executive officers, directors, and certain “restricted employees” shall not buy or sell securities of Mercury during a “blackout period.” The recurring quarterly earnings blackout normally runs from two weeks (14 calendar days) prior to the end of the quarter or fiscal year end, until 24 hours after the distribution of the earnings release. Depending on the circumstances, additional blackout periods may be established based on material events involving Mercury. “Restricted employees” are those employees determined in writing from time to time by the Chief Executive Officer, Chief Financial Officer, or Chief Legal Officer or their designees as persons who may have access to material, non-public information. You will be notified if you have been determined to be a restricted employee prior to any blackout period. This prohibition does not apply to the following “exempt transactions”:  the exercise of stock options or stock appreciation rights for which the exercise instructions do not include a related market-based sale of stock (such as a sale to fund the applicable exercise price or tax withholding obligations triggered by the exercise);  sales of stock under a Rule 10b5-1 trading plan previously approved by Mercury as described below; or  a sale of stock to satisfy statutory tax withholding obligations triggered by the vesting of a stock-based award; provided, however, that you may not sell more shares (rounded up to the nearest whole share) than the minimum number required to satisfy your maximum tax withholding obligations related to the vesting of a stock-based award. Rule 10b5-1 Trading Plans. A Rule 10b5-1 trading plan is a prearranged trading plan entered into during an open trading window when an individual is not in possession of material, nonpublic information that allows such individual to buy or sell a predetermined number of company shares at set times, and serves as an affirmative defense against insider trading liability. To establish and execute these scheduled trades, Mercury’s Compliance Officer or designee must approve an individual’s use and implementation of such a plan. Special Procedures. Executive officers, directors, and certain employees of Mercury as determined in writing from time to time by any of the Chief Executive Officer, Chief Financial Officer, or Chief Legal Officer, or their designees must comply with special procedures regarding the pre-clearance of securities trades. If you are required to comply with these procedures, you will be notified and will receive a copy of the procedures. No Short Sales, Purchases or Sales of Derivative Securities, Trading on Prediction Markets, or Holding Mercury Securities in a Margin Account. No executive officer, director, or employee subject to the special procedures noted above may at any time sell any securities of Mercury that are not owned by such person at the time of the sale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P a g e COR-P04-06 “short sale”). Also, no such executive officer, director, or designated employee may buy or sell puts, calls, or other derivative securities of Mercury at any time. Furthermore, no such person may buy, sell, or place any wager on event contracts, binary options, or prediction market contracts (including on platforms like Kalshi or Polymarket) that depend on or relate to Mercury’s financial results or corporate actions. In addition, no such person may hold Mercury securities in a brokerage margin account. Executive Officers, Board Members, and Affiliates of Mercury (Section 16 Reporting Persons). Members of this group must also comply with the requirements of Section 16 of the Securities Exchange Act of 1934, as amended, and the regulations promulgated thereunder relating to purchases and sales of Mercury stock within a six-month period. Members of this group must generally make all sales of stock in compliance with Rule 144 promulgated under the Securities Act of 1933, as amended. Legal counsel should be consulted for clarification of Rule 144 procedures. This Policy Statement is not intended to describe the requirements of Rule 144 insofar as that rule may impact sales of your Mercury stock, nor is this Policy Statement intended to explain the prohibitions on short- swing trading set forth in Section 16. It should be noted that violations of Section 16 can result in the forfeiture of profit on stock transactions to Mercury. Accordingly, persons subject to Section 16 should seek legal counsel before engaging in any transaction in Mercury stock. Continuation of Restrictions. These restrictions continue to apply to executive officers, directors, and employees of Mercury following the termination of any such individual’s service to or employment with Mercury until any material, non-public information possessed by such individual has become public or is no longer material, whichever is earlier. In addition, any such person whose service to or employment with Mercury ends during a quarterly earnings blackout period to which they are subject should not buy or sell securities of Mercury until that blackout period ends. Unauthorized Disclosure; Prohibition on Commenting on Mercury on Social Media, Internet Chat Rooms, and Websites. While we encourage our stockholders and potential investors to obtain information about Mercury, we believe that information should come from our publicly-filed SEC reports, press releases, and external website or from a designated Mercury spokesperson, rather than from speculation or unauthorized disclosures by executive officers, directors, or employees of Mercury. For this reason, all such disclosures shall be made in accordance with Mercury’s Public Disclosure Policy. Reporting of Violations. If you violate this Policy Statement or any federal or state laws governing insider trading, or know of any such violation by any executive officer, director, or employee of Mercury, you must report the violation immediately to our Compliance Officer at (571) 777-4054. However, if the conduct in question involves the Compliance Officer, if you have reported such conduct to the Compliance Officer and do not believe that he has dealt with it properly, or if you do not feel that you can discuss the matter with the Compliance Officer, you may raise the matter with our Chief Executive Officer at (978) 967- 3675, or may report the matter anonymously by voicemail at 866-277-5739 or through our webpage at https://www.whistleblowerservices.com/mrcy. If you report any matter anonymously using either method above, please provide as much detail as possible regarding the potential violation, as we will not be able to contact you to request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P a g e COR-P04-06 Waivers. A waiver of any provision of this Policy Statement in a specific instance may be authorized in writing by the Compliance Officer, and any such waiver shall be reported to Mercury’s Board of Directors. Modifications. Mercury may at any time change this Policy Statement or adopt such other policies or procedures which it considers appropriate to carry out the purposes of its insider trading policy. Mercury will deliver notice of any such change to you by email (or other delivery option selected by Mercury). You will be deemed to have received, be bound by, and agree to revisions of this Policy Statement when such revisions have been delivered or otherwise made available to you. Company Assistance. Any person who has questions about specific transactions or this Policy Statement generally may obtain additional guidance from the Compliance Officer. It must be emphasized that the policies and procedures set forth in this Policy Statement present only a general framework within which you may buy and sell securities of Mercury without violating insider trading laws. Ultimate responsibility for adhering to this Policy Statement and avoiding improper transactions rests with you. You should not, therefore, rely totally on the policies and procedures set forth herein, but rather, you should obtain additional guidance whenever necessary and, if any questions remain as to the applicability of insider trading laws, you should abstain from trading in Mercury’s securities. * * * * * Your failure to observe this Policy Statement could lead to significant legal problems, and could have other serious consequences, including the termination of your employment.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211-subsidiarieso.htm"/>
      <w:bookmarkStart w:id="5" w:name="ksexhibit211subsidiarieso"/>
      <w:bookmarkEnd w:id="4"/>
      <w:bookmarkEnd w:id="5"/>
      <w:r>
        <w:rPr/>
        <w:drawing>
          <wp:inline distT="0" distB="0" distL="0" distR="0">
            <wp:extent cx="10048875" cy="13001625"/>
            <wp:effectExtent l="0" t="0" r="0" b="0"/>
            <wp:docPr id="9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21.1 SUBSIDIARIES OF THE REGISTRANT NAME JURISDICTION OF ORGANIZATION Mercury Mission Systems, LLC Delaware Mercury Computer Systems Limited United Kingdom Mercury Mission Systems Canada, Inc. Canada Mercury Mission Systems International Holding, SA Switzerland Mercury Mission Systems International, SA Switzerland Mercury Mission Systems Spain, SL Spain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kpmgconsent.htm"/>
      <w:bookmarkStart w:id="7" w:name="kskpmgconsent"/>
      <w:bookmarkEnd w:id="6"/>
      <w:bookmarkEnd w:id="7"/>
      <w:r>
        <w:rPr/>
        <w:drawing>
          <wp:inline distT="0" distB="0" distL="0" distR="0">
            <wp:extent cx="10048875" cy="13001625"/>
            <wp:effectExtent l="0" t="0" r="0" b="0"/>
            <wp:docPr id="9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0"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KPMG LLP Two Financial Center 60 South Street Boston, MA 02111 KPMG LLP, a Delaware limited liability partnership, and its subsidiaries are part of the KPMG global organization of independent member firms affiliated with KPMG International Limited, a private English company limited by guarantee. Consent of Independent Registered Public Accounting Firm We consent to the incorporation by reference in the registration statements (Nos. 333-228617, 333-234534, 333-250039, 333-260915, 333-268244, 333-275403, 333-275429, 333-279207, and 333-291284) on Form S-8 and the registration statement (No. 333-275858) on Form S-3ASR of our report dated August 18, 2026, with respect to the consolidated financial statements of Mercury Systems, Inc. and subsidiaries and the effectiveness of internal control over financial reporting. /s/ KPMG LLP Boston, Massachusetts August 18,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331"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331"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William L. Ballhaus, certify that: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Mercury Systems, Inc.;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18, 2026</w:t>
      </w:r>
    </w:p>
    <w:p>
      <w:pPr>
        <w:pStyle w:val="TextBody"/>
        <w:bidi w:val="0"/>
        <w:spacing w:lineRule="auto" w:line="331" w:before="0" w:after="0"/>
        <w:jc w:val="left"/>
        <w:rPr>
          <w:color w:val="000000"/>
        </w:rPr>
      </w:pPr>
      <w:r>
        <w:rPr>
          <w:color w:val="000000"/>
        </w:rPr>
        <w:t> </w:t>
      </w:r>
    </w:p>
    <w:tbl>
      <w:tblPr>
        <w:tblW w:w="4515" w:type="dxa"/>
        <w:jc w:val="left"/>
        <w:tblInd w:w="0" w:type="dxa"/>
        <w:tblLayout w:type="fixed"/>
        <w:tblCellMar>
          <w:top w:w="28" w:type="dxa"/>
          <w:left w:w="28" w:type="dxa"/>
          <w:bottom w:w="28" w:type="dxa"/>
          <w:right w:w="28" w:type="dxa"/>
        </w:tblCellMar>
      </w:tblPr>
      <w:tblGrid>
        <w:gridCol w:w="1445"/>
        <w:gridCol w:w="1271"/>
        <w:gridCol w:w="1799"/>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WILLIAM L. BALLHAUS</w:t>
            </w:r>
            <w:r>
              <w:rPr>
                <w:color w:val="000000"/>
              </w:rPr>
              <w:t>        </w:t>
            </w:r>
          </w:p>
        </w:tc>
      </w:tr>
      <w:tr>
        <w:trPr/>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William L. Ballhaus</w:t>
            </w:r>
          </w:p>
        </w:tc>
      </w:tr>
      <w:tr>
        <w:trPr/>
        <w:tc>
          <w:tcPr>
            <w:tcW w:w="4515" w:type="dxa"/>
            <w:gridSpan w:val="3"/>
            <w:tcBorders/>
            <w:tcMar>
              <w:top w:w="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CHAIRMAN, PRESIDENT AND CHIEF EXECUTIVE OFFICER</w:t>
            </w:r>
          </w:p>
          <w:p>
            <w:pPr>
              <w:pStyle w:val="TableContents"/>
              <w:bidi w:val="0"/>
              <w:spacing w:lineRule="auto" w:line="331" w:before="0" w:after="20"/>
              <w:jc w:val="center"/>
              <w:rPr>
                <w:rFonts w:ascii="Times New Roman;serif" w:hAnsi="Times New Roman;serif"/>
                <w:b/>
                <w:color w:val="000000"/>
                <w:sz w:val="15"/>
              </w:rPr>
            </w:pPr>
            <w:r>
              <w:rPr>
                <w:rFonts w:ascii="Times New Roman;serif" w:hAnsi="Times New Roman;serif"/>
                <w:b/>
                <w:color w:val="000000"/>
                <w:sz w:val="15"/>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31" w:before="0" w:after="0"/>
        <w:jc w:val="right"/>
        <w:rPr>
          <w:color w:val="000000"/>
        </w:rPr>
      </w:pPr>
      <w:r>
        <w:rPr>
          <w:color w:val="000000"/>
        </w:rPr>
        <w:t> </w:t>
      </w:r>
    </w:p>
    <w:p>
      <w:pPr>
        <w:pStyle w:val="TextBody"/>
        <w:bidi w:val="0"/>
        <w:spacing w:lineRule="auto" w:line="331"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331"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E. Farnsworth, certify that: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Mercury Systems, Inc.;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18, 2026 </w:t>
      </w:r>
    </w:p>
    <w:p>
      <w:pPr>
        <w:pStyle w:val="TextBody"/>
        <w:bidi w:val="0"/>
        <w:spacing w:lineRule="auto" w:line="331" w:before="0" w:after="0"/>
        <w:jc w:val="left"/>
        <w:rPr>
          <w:color w:val="000000"/>
        </w:rPr>
      </w:pPr>
      <w:r>
        <w:rPr>
          <w:color w:val="000000"/>
        </w:rPr>
        <w:t> </w:t>
      </w:r>
    </w:p>
    <w:tbl>
      <w:tblPr>
        <w:tblW w:w="2820" w:type="dxa"/>
        <w:jc w:val="left"/>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DAVID E. FARNSWORTH</w:t>
            </w:r>
            <w:r>
              <w:rPr>
                <w:color w:val="000000"/>
              </w:rPr>
              <w:t> </w:t>
            </w:r>
          </w:p>
        </w:tc>
      </w:tr>
      <w:tr>
        <w:trPr/>
        <w:tc>
          <w:tcPr>
            <w:tcW w:w="2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David E. Farnsworth</w:t>
            </w:r>
          </w:p>
        </w:tc>
      </w:tr>
      <w:tr>
        <w:trPr/>
        <w:tc>
          <w:tcPr>
            <w:tcW w:w="2820" w:type="dxa"/>
            <w:gridSpan w:val="3"/>
            <w:tcBorders/>
            <w:tcMar>
              <w:top w:w="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EXECUTIVE VICE PRESIDENT,</w:t>
            </w:r>
          </w:p>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CHIEF FINANCIAL OFFICER</w:t>
            </w:r>
          </w:p>
          <w:p>
            <w:pPr>
              <w:pStyle w:val="TableContents"/>
              <w:bidi w:val="0"/>
              <w:spacing w:lineRule="auto" w:line="331" w:before="0" w:after="20"/>
              <w:jc w:val="center"/>
              <w:rPr>
                <w:rFonts w:ascii="Times New Roman;serif" w:hAnsi="Times New Roman;serif"/>
                <w:b/>
                <w:color w:val="000000"/>
                <w:sz w:val="15"/>
              </w:rPr>
            </w:pPr>
            <w:r>
              <w:rPr>
                <w:rFonts w:ascii="Times New Roman;serif" w:hAnsi="Times New Roman;serif"/>
                <w:b/>
                <w:color w:val="000000"/>
                <w:sz w:val="15"/>
              </w:rPr>
              <w:t>[PRINCIPAL FINANCIAL OFFICER]</w:t>
            </w:r>
          </w:p>
        </w:tc>
      </w:tr>
    </w:tbl>
    <w:p>
      <w:pPr>
        <w:pStyle w:val="TextBody"/>
        <w:bidi w:val="0"/>
        <w:spacing w:lineRule="auto" w:line="331" w:before="180" w:after="283"/>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180" w:after="283"/>
        <w:jc w:val="right"/>
        <w:rPr/>
      </w:pPr>
      <w:r>
        <w:rPr>
          <w:color w:val="000000"/>
        </w:rPr>
        <w:t> </w:t>
      </w:r>
      <w:r>
        <w:rPr>
          <w:rFonts w:ascii="Times New Roman;serif" w:hAnsi="Times New Roman;serif"/>
          <w:b/>
          <w:color w:val="000000"/>
          <w:sz w:val="20"/>
        </w:rPr>
        <w:t xml:space="preserve">EXHIBIT 32.1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Mercury Systems, Inc.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Certification Pursuant To </w:t>
      </w:r>
    </w:p>
    <w:p>
      <w:pPr>
        <w:pStyle w:val="TextBody"/>
        <w:bidi w:val="0"/>
        <w:spacing w:lineRule="auto" w:line="33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18 U.S.C. Section 1350, </w:t>
      </w:r>
    </w:p>
    <w:p>
      <w:pPr>
        <w:pStyle w:val="TextBody"/>
        <w:bidi w:val="0"/>
        <w:spacing w:lineRule="auto" w:line="33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Adopted Pursuant To </w:t>
      </w:r>
    </w:p>
    <w:p>
      <w:pPr>
        <w:pStyle w:val="TextBody"/>
        <w:bidi w:val="0"/>
        <w:spacing w:lineRule="auto" w:line="33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906 of the Sarbanes-Oxley Act of 2002 </w:t>
      </w:r>
    </w:p>
    <w:p>
      <w:pPr>
        <w:pStyle w:val="TextBody"/>
        <w:bidi w:val="0"/>
        <w:spacing w:lineRule="auto" w:line="331"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Mercury Systems, Inc. (the “Company”) on Form 10-K for the fiscal year ended July 3, 2026 as filed with the Securities and Exchange Commission (the “Report”), we, William L. Ballhaus, Chairman, President and Chief Executive Officer of the Company, and David Farnsworth, Executive Vice President, Chief Financial Officer,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18, 2026</w:t>
      </w:r>
    </w:p>
    <w:p>
      <w:pPr>
        <w:pStyle w:val="TextBody"/>
        <w:bidi w:val="0"/>
        <w:spacing w:lineRule="auto" w:line="331" w:before="0" w:after="0"/>
        <w:jc w:val="left"/>
        <w:rPr>
          <w:color w:val="000000"/>
        </w:rPr>
      </w:pPr>
      <w:r>
        <w:rPr>
          <w:color w:val="000000"/>
        </w:rPr>
        <w:t> </w:t>
      </w:r>
    </w:p>
    <w:tbl>
      <w:tblPr>
        <w:tblW w:w="4574" w:type="dxa"/>
        <w:jc w:val="left"/>
        <w:tblInd w:w="0" w:type="dxa"/>
        <w:tblLayout w:type="fixed"/>
        <w:tblCellMar>
          <w:top w:w="28" w:type="dxa"/>
          <w:left w:w="28" w:type="dxa"/>
          <w:bottom w:w="28" w:type="dxa"/>
          <w:right w:w="28" w:type="dxa"/>
        </w:tblCellMar>
      </w:tblPr>
      <w:tblGrid>
        <w:gridCol w:w="1463"/>
        <w:gridCol w:w="1288"/>
        <w:gridCol w:w="1823"/>
      </w:tblGrid>
      <w:tr>
        <w:trPr/>
        <w:tc>
          <w:tcPr>
            <w:tcW w:w="146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WILLIAM L. BALLHAUS</w:t>
            </w:r>
            <w:r>
              <w:rPr>
                <w:color w:val="000000"/>
              </w:rPr>
              <w:t>        </w:t>
            </w:r>
          </w:p>
        </w:tc>
      </w:tr>
      <w:tr>
        <w:trPr/>
        <w:tc>
          <w:tcPr>
            <w:tcW w:w="4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William L. Ballhaus</w:t>
            </w:r>
          </w:p>
          <w:p>
            <w:pPr>
              <w:pStyle w:val="TableContents"/>
              <w:bidi w:val="0"/>
              <w:spacing w:lineRule="auto" w:line="331" w:before="0" w:after="20"/>
              <w:jc w:val="center"/>
              <w:rPr>
                <w:rFonts w:ascii="Times New Roman;serif" w:hAnsi="Times New Roman;serif"/>
                <w:b/>
                <w:color w:val="000000"/>
                <w:sz w:val="15"/>
              </w:rPr>
            </w:pPr>
            <w:r>
              <w:rPr>
                <w:rFonts w:ascii="Times New Roman;serif" w:hAnsi="Times New Roman;serif"/>
                <w:b/>
                <w:color w:val="000000"/>
                <w:sz w:val="15"/>
              </w:rPr>
              <w:t>CHAIRMAN, PRESIDENT AND CHIEF EXECUTIVE OFFICER</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E. FARNSWORTH</w:t>
            </w:r>
            <w:r>
              <w:rPr>
                <w:color w:val="000000"/>
              </w:rPr>
              <w:t>      </w:t>
            </w:r>
          </w:p>
        </w:tc>
      </w:tr>
      <w:tr>
        <w:trPr/>
        <w:tc>
          <w:tcPr>
            <w:tcW w:w="4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David E. Farnsworth</w:t>
              <w:br/>
              <w:t>EXECUTIVE VICE PRESIDENT, 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9521/000119312509187696/dex311.htm" TargetMode="External"/><Relationship Id="rId3" Type="http://schemas.openxmlformats.org/officeDocument/2006/relationships/hyperlink" Target="https://www.sec.gov/Archives/edgar/data/1049521/000119312509187696/dex311.htm" TargetMode="External"/><Relationship Id="rId4" Type="http://schemas.openxmlformats.org/officeDocument/2006/relationships/hyperlink" Target="https://www.sec.gov/Archives/edgar/data/1049521/000119312510192991/dex312.htm" TargetMode="External"/><Relationship Id="rId5" Type="http://schemas.openxmlformats.org/officeDocument/2006/relationships/hyperlink" Target="https://www.sec.gov/Archives/edgar/data/1049521/000119312510192991/dex312.htm" TargetMode="External"/><Relationship Id="rId6" Type="http://schemas.openxmlformats.org/officeDocument/2006/relationships/hyperlink" Target="https://www.sec.gov/Archives/edgar/data/1049521/000119312505243468/dex1.htm" TargetMode="External"/><Relationship Id="rId7" Type="http://schemas.openxmlformats.org/officeDocument/2006/relationships/hyperlink" Target="https://www.sec.gov/Archives/edgar/data/1049521/000119312505243468/dex1.htm" TargetMode="External"/><Relationship Id="rId8" Type="http://schemas.openxmlformats.org/officeDocument/2006/relationships/hyperlink" Target="https://www.sec.gov/Archives/edgar/data/1049521/000119312512465660/d433286dex31.htm" TargetMode="External"/><Relationship Id="rId9" Type="http://schemas.openxmlformats.org/officeDocument/2006/relationships/hyperlink" Target="https://www.sec.gov/Archives/edgar/data/1049521/000119312512465660/d433286dex31.htm" TargetMode="External"/><Relationship Id="rId10" Type="http://schemas.openxmlformats.org/officeDocument/2006/relationships/hyperlink" Target="https://www.sec.gov/Archives/edgar/data/1049521/000104952115000029/articlesofamendment.htm" TargetMode="External"/><Relationship Id="rId11" Type="http://schemas.openxmlformats.org/officeDocument/2006/relationships/hyperlink" Target="https://www.sec.gov/Archives/edgar/data/1049521/000104952115000029/articlesofamendment.htm" TargetMode="External"/><Relationship Id="rId12" Type="http://schemas.openxmlformats.org/officeDocument/2006/relationships/hyperlink" Target="https://www.sec.gov/Archives/edgar/data/0001049521/000104952121000066/a2021122921articlesofame.htm" TargetMode="External"/><Relationship Id="rId13" Type="http://schemas.openxmlformats.org/officeDocument/2006/relationships/hyperlink" Target="https://www.sec.gov/Archives/edgar/data/0001049521/000104952121000066/a2021122921articlesofame.htm" TargetMode="External"/><Relationship Id="rId14" Type="http://schemas.openxmlformats.org/officeDocument/2006/relationships/hyperlink" Target="https://www.sec.gov/Archives/edgar/data/1049521/000104952122000053/a8-k2022102822exhibit31.htm" TargetMode="External"/><Relationship Id="rId15" Type="http://schemas.openxmlformats.org/officeDocument/2006/relationships/hyperlink" Target="https://www.sec.gov/Archives/edgar/data/1049521/000104952122000053/a8-k2022102822exhibit31.htm" TargetMode="External"/><Relationship Id="rId16" Type="http://schemas.openxmlformats.org/officeDocument/2006/relationships/hyperlink" Target="https://www.sec.gov/Archives/edgar/data/1049521/0000950135-98-000049.txt" TargetMode="External"/><Relationship Id="rId17" Type="http://schemas.openxmlformats.org/officeDocument/2006/relationships/hyperlink" Target="https://www.sec.gov/Archives/edgar/data/1049521/0000950135-98-000049.txt" TargetMode="External"/><Relationship Id="rId18" Type="http://schemas.openxmlformats.org/officeDocument/2006/relationships/hyperlink" Target="https://www.sec.gov/Archives/edgar/data/1049521/000104952120000034/mrcy732020-exhibit42.htm" TargetMode="External"/><Relationship Id="rId19" Type="http://schemas.openxmlformats.org/officeDocument/2006/relationships/hyperlink" Target="https://www.sec.gov/Archives/edgar/data/1049521/000104952120000034/mrcy732020-exhibit42.htm" TargetMode="External"/><Relationship Id="rId20" Type="http://schemas.openxmlformats.org/officeDocument/2006/relationships/hyperlink" Target="https://www.sec.gov/Archives/edgar/data/1049521/000104952124000019/a2024employeestockpurchase.htm" TargetMode="External"/><Relationship Id="rId21" Type="http://schemas.openxmlformats.org/officeDocument/2006/relationships/hyperlink" Target="https://www.sec.gov/Archives/edgar/data/1049521/000104952124000019/a2024employeestockpurchase.htm" TargetMode="External"/><Relationship Id="rId22" Type="http://schemas.openxmlformats.org/officeDocument/2006/relationships/hyperlink" Target="https://www.sec.gov/Archives/edgar/data/1049521/000104952126000006/ex-101xformofindemnifica.htm" TargetMode="External"/><Relationship Id="rId23" Type="http://schemas.openxmlformats.org/officeDocument/2006/relationships/hyperlink" Target="https://www.sec.gov/Archives/edgar/data/1049521/000104952126000006/ex-101xformofindemnifica.htm" TargetMode="External"/><Relationship Id="rId24" Type="http://schemas.openxmlformats.org/officeDocument/2006/relationships/hyperlink" Target="https://www.sec.gov/Archives/edgar/data/1049521/000104952124000029/mrcy6302024-exhibit103.htm" TargetMode="External"/><Relationship Id="rId25" Type="http://schemas.openxmlformats.org/officeDocument/2006/relationships/hyperlink" Target="https://www.sec.gov/Archives/edgar/data/1049521/000104952124000029/mrcy6302024-exhibit103.htm" TargetMode="External"/><Relationship Id="rId26" Type="http://schemas.openxmlformats.org/officeDocument/2006/relationships/hyperlink" Target="https://www.sec.gov/Archives/edgar/data/0001049521/000104952119000015/exhibit101.htm" TargetMode="External"/><Relationship Id="rId27" Type="http://schemas.openxmlformats.org/officeDocument/2006/relationships/hyperlink" Target="https://www.sec.gov/Archives/edgar/data/0001049521/000104952119000015/exhibit101.htm" TargetMode="External"/><Relationship Id="rId28" Type="http://schemas.openxmlformats.org/officeDocument/2006/relationships/hyperlink" Target="https://www.sec.gov/Archives/edgar/data/0001049521/000104952119000015/exhibit102.htm" TargetMode="External"/><Relationship Id="rId29" Type="http://schemas.openxmlformats.org/officeDocument/2006/relationships/hyperlink" Target="https://www.sec.gov/Archives/edgar/data/1049521/000104952119000015/exhibit102.htm" TargetMode="External"/><Relationship Id="rId30" Type="http://schemas.openxmlformats.org/officeDocument/2006/relationships/hyperlink" Target="https://www.sec.gov/Archives/edgar/data/1049521/000104952119000015/exhibit103.htm" TargetMode="External"/><Relationship Id="rId31" Type="http://schemas.openxmlformats.org/officeDocument/2006/relationships/hyperlink" Target="https://www.sec.gov/Archives/edgar/data/1049521/000104952119000015/exhibit103.htm" TargetMode="External"/><Relationship Id="rId32" Type="http://schemas.openxmlformats.org/officeDocument/2006/relationships/hyperlink" Target="https://www.sec.gov/Archives/edgar/data/0001049521/000104952119000015/exhibit105.htm" TargetMode="External"/><Relationship Id="rId33" Type="http://schemas.openxmlformats.org/officeDocument/2006/relationships/hyperlink" Target="https://www.sec.gov/Archives/edgar/data/0001049521/000104952119000015/exhibit105.htm" TargetMode="External"/><Relationship Id="rId34" Type="http://schemas.openxmlformats.org/officeDocument/2006/relationships/hyperlink" Target="https://www.sec.gov/ix?doc=/Archives/edgar/data/1049521/000104952125000029/mrcy-20250910.htm" TargetMode="External"/><Relationship Id="rId35" Type="http://schemas.openxmlformats.org/officeDocument/2006/relationships/hyperlink" Target="https://www.sec.gov/ix?doc=/Archives/edgar/data/1049521/000104952125000029/mrcy-20250910.htm" TargetMode="External"/><Relationship Id="rId36" Type="http://schemas.openxmlformats.org/officeDocument/2006/relationships/hyperlink" Target="https://www.sec.gov/Archives/edgar/data/1049521/000104952125000062/a2026annualboardmemberrs.htm" TargetMode="External"/><Relationship Id="rId37" Type="http://schemas.openxmlformats.org/officeDocument/2006/relationships/hyperlink" Target="https://www.sec.gov/Archives/edgar/data/1049521/000104952125000062/a2026annualboardmemberrs.htm" TargetMode="External"/><Relationship Id="rId38" Type="http://schemas.openxmlformats.org/officeDocument/2006/relationships/hyperlink" Target="https://www.sec.gov/Archives/edgar/data/1049521/000104952125000062/a2026annualboardmemberds.htm" TargetMode="External"/><Relationship Id="rId39" Type="http://schemas.openxmlformats.org/officeDocument/2006/relationships/hyperlink" Target="https://www.sec.gov/Archives/edgar/data/1049521/000104952125000062/a2026annualboardmemberds.htm" TargetMode="External"/><Relationship Id="rId40" Type="http://schemas.openxmlformats.org/officeDocument/2006/relationships/hyperlink" Target="https://www.sec.gov/Archives/edgar/data/1049521/000104952125000062/a2026rankfilersusrsurf26.htm" TargetMode="External"/><Relationship Id="rId41" Type="http://schemas.openxmlformats.org/officeDocument/2006/relationships/hyperlink" Target="https://www.sec.gov/Archives/edgar/data/1049521/000104952125000062/a2026rankfilersusrsurf26.htm" TargetMode="External"/><Relationship Id="rId42" Type="http://schemas.openxmlformats.org/officeDocument/2006/relationships/hyperlink" Target="https://www.sec.gov/Archives/edgar/data/1049521/000104952125000062/a2026dcmpmatchingawardsd.htm" TargetMode="External"/><Relationship Id="rId43" Type="http://schemas.openxmlformats.org/officeDocument/2006/relationships/hyperlink" Target="https://www.sec.gov/Archives/edgar/data/1049521/000104952125000062/a2026dcmpmatchingawardsd.htm" TargetMode="External"/><Relationship Id="rId44" Type="http://schemas.openxmlformats.org/officeDocument/2006/relationships/hyperlink" Target="https://www.sec.gov/Archives/edgar/data/1049521/000104952125000062/a4achangeinctrlseverance.htm" TargetMode="External"/><Relationship Id="rId45" Type="http://schemas.openxmlformats.org/officeDocument/2006/relationships/hyperlink" Target="https://www.sec.gov/Archives/edgar/data/1049521/000104952125000062/a4achangeinctrlseverance.htm" TargetMode="External"/><Relationship Id="rId46" Type="http://schemas.openxmlformats.org/officeDocument/2006/relationships/hyperlink" Target="https://www.sec.gov/Archives/edgar/data/1049521/000104952125000062/xexecutiveseverancelette.htm" TargetMode="External"/><Relationship Id="rId47" Type="http://schemas.openxmlformats.org/officeDocument/2006/relationships/hyperlink" Target="https://www.sec.gov/Archives/edgar/data/1049521/000104952125000062/xexecutiveseverancelette.htm" TargetMode="External"/><Relationship Id="rId48" Type="http://schemas.openxmlformats.org/officeDocument/2006/relationships/hyperlink" Target="https://www.sec.gov/Archives/edgar/data/1049521/000104952125000062/compensationpolicyfornon.htm" TargetMode="External"/><Relationship Id="rId49" Type="http://schemas.openxmlformats.org/officeDocument/2006/relationships/hyperlink" Target="https://www.sec.gov/Archives/edgar/data/1049521/000104952125000062/compensationpolicyfornon.htm" TargetMode="External"/><Relationship Id="rId50" Type="http://schemas.openxmlformats.org/officeDocument/2006/relationships/hyperlink" Target="https://www.sec.gov/Archives/edgar/data/1049521/000104952116000076/creditagreement.htm" TargetMode="External"/><Relationship Id="rId51" Type="http://schemas.openxmlformats.org/officeDocument/2006/relationships/hyperlink" Target="https://www.sec.gov/Archives/edgar/data/1049521/000104952116000076/creditagreement.htm" TargetMode="External"/><Relationship Id="rId52" Type="http://schemas.openxmlformats.org/officeDocument/2006/relationships/hyperlink" Target="https://www.sec.gov/Archives/edgar/data/1049521/000104952117000037/secedgaramendmentno1tocr.htm" TargetMode="External"/><Relationship Id="rId53" Type="http://schemas.openxmlformats.org/officeDocument/2006/relationships/hyperlink" Target="https://www.sec.gov/Archives/edgar/data/1049521/000104952117000037/secedgaramendmentno1tocr.htm" TargetMode="External"/><Relationship Id="rId54" Type="http://schemas.openxmlformats.org/officeDocument/2006/relationships/hyperlink" Target="https://www.sec.gov/Archives/edgar/data/1049521/000104952118000034/amendmentno3withconformedc.htm" TargetMode="External"/><Relationship Id="rId55" Type="http://schemas.openxmlformats.org/officeDocument/2006/relationships/hyperlink" Target="https://www.sec.gov/Archives/edgar/data/1049521/000104952118000034/amendmentno3withconformedc.htm" TargetMode="External"/><Relationship Id="rId56" Type="http://schemas.openxmlformats.org/officeDocument/2006/relationships/hyperlink" Target="https://www.sec.gov/Archives/edgar/data/0001049521/000104952122000013/bofa_mercury-amendmentno4c.htm" TargetMode="External"/><Relationship Id="rId57" Type="http://schemas.openxmlformats.org/officeDocument/2006/relationships/hyperlink" Target="https://www.sec.gov/Archives/edgar/data/0001049521/000104952122000013/bofa_mercury-amendmentno4c.htm" TargetMode="External"/><Relationship Id="rId58" Type="http://schemas.openxmlformats.org/officeDocument/2006/relationships/hyperlink" Target="https://www.sec.gov/Archives/edgar/data/1049521/000104952123000045/mercury-amendmentno5exec.htm" TargetMode="External"/><Relationship Id="rId59" Type="http://schemas.openxmlformats.org/officeDocument/2006/relationships/hyperlink" Target="https://www.sec.gov/Archives/edgar/data/1049521/000104952123000045/mercury-amendmentno5exec.htm" TargetMode="External"/><Relationship Id="rId60" Type="http://schemas.openxmlformats.org/officeDocument/2006/relationships/hyperlink" Target="https://www.sec.gov/Archives/edgar/data/1049521/000104952124000027/a2024q4exhibit101.htm" TargetMode="External"/><Relationship Id="rId61" Type="http://schemas.openxmlformats.org/officeDocument/2006/relationships/hyperlink" Target="https://www.sec.gov/Archives/edgar/data/1049521/000104952124000027/a2024q4exhibit101.htm" TargetMode="External"/><Relationship Id="rId62" Type="http://schemas.openxmlformats.org/officeDocument/2006/relationships/hyperlink" Target="https://www.sec.gov/Archives/edgar/data/1049521/000104952125000060/mercury-amendmentno7xame.htm" TargetMode="External"/><Relationship Id="rId63" Type="http://schemas.openxmlformats.org/officeDocument/2006/relationships/hyperlink" Target="https://www.sec.gov/Archives/edgar/data/1049521/000104952125000060/mercury-amendmentno7xame.htm" TargetMode="External"/><Relationship Id="rId64" Type="http://schemas.openxmlformats.org/officeDocument/2006/relationships/hyperlink" Target="https://www.sec.gov/Archives/edgar/data/1049521/000104952123000029/exhibit10.htm" TargetMode="External"/><Relationship Id="rId65" Type="http://schemas.openxmlformats.org/officeDocument/2006/relationships/hyperlink" Target="https://www.sec.gov/Archives/edgar/data/1049521/000104952123000029/exhibit10.htm" TargetMode="External"/><Relationship Id="rId66" Type="http://schemas.openxmlformats.org/officeDocument/2006/relationships/hyperlink" Target="https://www.sec.gov/Archives/edgar/data/1049521/000104952125000062/amendmentno1toceoemploym.htm" TargetMode="External"/><Relationship Id="rId67" Type="http://schemas.openxmlformats.org/officeDocument/2006/relationships/hyperlink" Target="https://www.sec.gov/Archives/edgar/data/1049521/000104952125000062/amendmentno1toceoemploym.htm" TargetMode="External"/><Relationship Id="rId68" Type="http://schemas.openxmlformats.org/officeDocument/2006/relationships/hyperlink" Target="https://www.sec.gov/Archives/edgar/data/1049521/000104952123000018/davefarnsworthofferlette.htm" TargetMode="External"/><Relationship Id="rId69" Type="http://schemas.openxmlformats.org/officeDocument/2006/relationships/hyperlink" Target="https://www.sec.gov/Archives/edgar/data/1049521/000104952123000018/davefarnsworthofferlette.htm" TargetMode="External"/><Relationship Id="rId70" Type="http://schemas.openxmlformats.org/officeDocument/2006/relationships/hyperlink" Target="https://www.sec.gov/Archives/edgar/data/1049521/000104952123000052/mercurysystemsnqdcmodelbas.htm" TargetMode="External"/><Relationship Id="rId71" Type="http://schemas.openxmlformats.org/officeDocument/2006/relationships/hyperlink" Target="https://www.sec.gov/Archives/edgar/data/1049521/000104952123000052/mercurysystemsnqdcmodelbas.htm" TargetMode="External"/><Relationship Id="rId72" Type="http://schemas.openxmlformats.org/officeDocument/2006/relationships/hyperlink" Target="https://www.sec.gov/Archives/edgar/data/1049521/000104952123000052/mercurysystemsnqdcmodelado.htm" TargetMode="External"/><Relationship Id="rId73" Type="http://schemas.openxmlformats.org/officeDocument/2006/relationships/hyperlink" Target="https://www.sec.gov/Archives/edgar/data/1049521/000104952123000052/mercurysystemsnqdcmodelado.htm" TargetMode="External"/><Relationship Id="rId74" Type="http://schemas.openxmlformats.org/officeDocument/2006/relationships/hyperlink" Target="https://www.sec.gov/Archives/edgar/data/1049521/000104952125000024/rsuagreementdavidfarnswo.htm" TargetMode="External"/><Relationship Id="rId75" Type="http://schemas.openxmlformats.org/officeDocument/2006/relationships/hyperlink" Target="https://www.sec.gov/Archives/edgar/data/1049521/000104952125000024/rsuagreementdavidfarnswo.htm" TargetMode="External"/><Relationship Id="rId76" Type="http://schemas.openxmlformats.org/officeDocument/2006/relationships/hyperlink" Target="https://www.sec.gov/Archives/edgar/data/1049521/000104952124000029/mrcy6302024-exhibit971.htm" TargetMode="External"/><Relationship Id="rId77" Type="http://schemas.openxmlformats.org/officeDocument/2006/relationships/hyperlink" Target="https://www.sec.gov/Archives/edgar/data/1049521/000104952124000029/mrcy6302024-exhibit971.htm" TargetMode="External"/><Relationship Id="rId78" Type="http://schemas.openxmlformats.org/officeDocument/2006/relationships/image" Target="media/image1.jpeg"/><Relationship Id="rId79" Type="http://schemas.openxmlformats.org/officeDocument/2006/relationships/image" Target="media/image2.jpeg"/><Relationship Id="rId80" Type="http://schemas.openxmlformats.org/officeDocument/2006/relationships/image" Target="media/image3.jpeg"/><Relationship Id="rId81" Type="http://schemas.openxmlformats.org/officeDocument/2006/relationships/image" Target="media/image4.jpeg"/><Relationship Id="rId82" Type="http://schemas.openxmlformats.org/officeDocument/2006/relationships/image" Target="media/image5.jpeg"/><Relationship Id="rId83" Type="http://schemas.openxmlformats.org/officeDocument/2006/relationships/image" Target="media/image6.jpeg"/><Relationship Id="rId84" Type="http://schemas.openxmlformats.org/officeDocument/2006/relationships/image" Target="media/image7.jpeg"/><Relationship Id="rId85" Type="http://schemas.openxmlformats.org/officeDocument/2006/relationships/image" Target="media/image8.jpeg"/><Relationship Id="rId86" Type="http://schemas.openxmlformats.org/officeDocument/2006/relationships/image" Target="media/image9.jpeg"/><Relationship Id="rId87" Type="http://schemas.openxmlformats.org/officeDocument/2006/relationships/image" Target="media/image10.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60859</Words>
  <Characters>345227</Characters>
  <CharactersWithSpaces>403813</CharactersWithSpaces>
  <Paragraphs>3987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kpmgconsent</dc:title>
</cp:coreProperties>
</file>