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-224155</wp:posOffset>
            </wp:positionV>
            <wp:extent cx="16897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89735"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324485</wp:posOffset>
            </wp:positionV>
            <wp:extent cx="1689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ind w:left="720" w:right="320" w:hanging="685"/>
        <w:spacing w:after="0" w:line="266" w:lineRule="auto"/>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JUNE 30, 2013</w:t>
      </w:r>
    </w:p>
    <w:p>
      <w:pPr>
        <w:jc w:val="center"/>
        <w:ind w:right="-39"/>
        <w:spacing w:after="0"/>
        <w:rPr>
          <w:sz w:val="20"/>
          <w:szCs w:val="20"/>
          <w:color w:val="auto"/>
        </w:rPr>
      </w:pPr>
      <w:r>
        <w:rPr>
          <w:rFonts w:ascii="Arial" w:cs="Arial" w:eastAsia="Arial" w:hAnsi="Arial"/>
          <w:sz w:val="18"/>
          <w:szCs w:val="18"/>
          <w:b w:val="1"/>
          <w:bCs w:val="1"/>
          <w:color w:val="auto"/>
        </w:rPr>
        <w:t>OR</w:t>
      </w:r>
    </w:p>
    <w:p>
      <w:pPr>
        <w:ind w:left="740" w:hanging="691"/>
        <w:spacing w:after="0" w:line="213" w:lineRule="auto"/>
        <w:tabs>
          <w:tab w:leader="none" w:pos="7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w:t>
      </w:r>
    </w:p>
    <w:p>
      <w:pPr>
        <w:spacing w:after="0" w:line="204" w:lineRule="exact"/>
        <w:rPr>
          <w:sz w:val="24"/>
          <w:szCs w:val="24"/>
          <w:color w:val="auto"/>
        </w:rPr>
      </w:pPr>
    </w:p>
    <w:p>
      <w:pPr>
        <w:ind w:left="740"/>
        <w:spacing w:after="0"/>
        <w:tabs>
          <w:tab w:leader="none" w:pos="4180" w:val="left"/>
          <w:tab w:leader="none" w:pos="538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0-23599</w:t>
      </w:r>
    </w:p>
    <w:p>
      <w:pPr>
        <w:spacing w:after="0" w:line="27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MERCURY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-224155</wp:posOffset>
            </wp:positionV>
            <wp:extent cx="1689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167640</wp:posOffset>
            </wp:positionV>
            <wp:extent cx="1689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4040" w:type="dxa"/>
            <w:vAlign w:val="bottom"/>
          </w:tcPr>
          <w:p>
            <w:pPr>
              <w:jc w:val="center"/>
              <w:ind w:left="918"/>
              <w:spacing w:after="0"/>
              <w:rPr>
                <w:sz w:val="20"/>
                <w:szCs w:val="20"/>
                <w:color w:val="auto"/>
              </w:rPr>
            </w:pPr>
            <w:r>
              <w:rPr>
                <w:rFonts w:ascii="Arial" w:cs="Arial" w:eastAsia="Arial" w:hAnsi="Arial"/>
                <w:sz w:val="18"/>
                <w:szCs w:val="18"/>
                <w:b w:val="1"/>
                <w:bCs w:val="1"/>
                <w:color w:val="auto"/>
                <w:w w:val="98"/>
              </w:rPr>
              <w:t>MASSACHUSETTS</w:t>
            </w:r>
          </w:p>
        </w:tc>
        <w:tc>
          <w:tcPr>
            <w:tcW w:w="4620" w:type="dxa"/>
            <w:vAlign w:val="bottom"/>
            <w:gridSpan w:val="3"/>
          </w:tcPr>
          <w:p>
            <w:pPr>
              <w:jc w:val="right"/>
              <w:spacing w:after="0"/>
              <w:rPr>
                <w:sz w:val="20"/>
                <w:szCs w:val="20"/>
                <w:color w:val="auto"/>
              </w:rPr>
            </w:pPr>
            <w:r>
              <w:rPr>
                <w:rFonts w:ascii="Arial" w:cs="Arial" w:eastAsia="Arial" w:hAnsi="Arial"/>
                <w:sz w:val="18"/>
                <w:szCs w:val="18"/>
                <w:b w:val="1"/>
                <w:bCs w:val="1"/>
                <w:color w:val="auto"/>
              </w:rPr>
              <w:t>04-2741391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40" w:type="dxa"/>
            <w:vAlign w:val="bottom"/>
          </w:tcPr>
          <w:p>
            <w:pPr>
              <w:jc w:val="center"/>
              <w:ind w:left="918"/>
              <w:spacing w:after="0"/>
              <w:rPr>
                <w:sz w:val="20"/>
                <w:szCs w:val="20"/>
                <w:color w:val="auto"/>
              </w:rPr>
            </w:pPr>
            <w:r>
              <w:rPr>
                <w:rFonts w:ascii="Arial" w:cs="Arial" w:eastAsia="Arial" w:hAnsi="Arial"/>
                <w:sz w:val="14"/>
                <w:szCs w:val="14"/>
                <w:b w:val="1"/>
                <w:bCs w:val="1"/>
                <w:color w:val="auto"/>
                <w:w w:val="93"/>
              </w:rPr>
              <w:t>(State or other jurisdiction of</w:t>
            </w:r>
          </w:p>
        </w:tc>
        <w:tc>
          <w:tcPr>
            <w:tcW w:w="2660" w:type="dxa"/>
            <w:vAlign w:val="bottom"/>
          </w:tcPr>
          <w:p>
            <w:pPr>
              <w:spacing w:after="0"/>
              <w:rPr>
                <w:sz w:val="15"/>
                <w:szCs w:val="15"/>
                <w:color w:val="auto"/>
              </w:rPr>
            </w:pPr>
          </w:p>
        </w:tc>
        <w:tc>
          <w:tcPr>
            <w:tcW w:w="2920" w:type="dxa"/>
            <w:vAlign w:val="bottom"/>
            <w:gridSpan w:val="3"/>
          </w:tcPr>
          <w:p>
            <w:pPr>
              <w:jc w:val="center"/>
              <w:ind w:left="24"/>
              <w:spacing w:after="0"/>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6"/>
        </w:trPr>
        <w:tc>
          <w:tcPr>
            <w:tcW w:w="4040" w:type="dxa"/>
            <w:vAlign w:val="bottom"/>
          </w:tcPr>
          <w:p>
            <w:pPr>
              <w:jc w:val="center"/>
              <w:ind w:left="918"/>
              <w:spacing w:after="0"/>
              <w:rPr>
                <w:sz w:val="20"/>
                <w:szCs w:val="20"/>
                <w:color w:val="auto"/>
              </w:rPr>
            </w:pPr>
            <w:r>
              <w:rPr>
                <w:rFonts w:ascii="Arial" w:cs="Arial" w:eastAsia="Arial" w:hAnsi="Arial"/>
                <w:sz w:val="14"/>
                <w:szCs w:val="14"/>
                <w:b w:val="1"/>
                <w:bCs w:val="1"/>
                <w:color w:val="auto"/>
                <w:w w:val="94"/>
              </w:rPr>
              <w:t>incorporation or organization)</w:t>
            </w:r>
          </w:p>
        </w:tc>
        <w:tc>
          <w:tcPr>
            <w:tcW w:w="2660" w:type="dxa"/>
            <w:vAlign w:val="bottom"/>
          </w:tcPr>
          <w:p>
            <w:pPr>
              <w:spacing w:after="0"/>
              <w:rPr>
                <w:sz w:val="16"/>
                <w:szCs w:val="16"/>
                <w:color w:val="auto"/>
              </w:rPr>
            </w:pPr>
          </w:p>
        </w:tc>
        <w:tc>
          <w:tcPr>
            <w:tcW w:w="2920" w:type="dxa"/>
            <w:vAlign w:val="bottom"/>
            <w:gridSpan w:val="3"/>
          </w:tcPr>
          <w:p>
            <w:pPr>
              <w:jc w:val="center"/>
              <w:ind w:left="24"/>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72"/>
        </w:trPr>
        <w:tc>
          <w:tcPr>
            <w:tcW w:w="4040" w:type="dxa"/>
            <w:vAlign w:val="bottom"/>
          </w:tcPr>
          <w:p>
            <w:pPr>
              <w:jc w:val="center"/>
              <w:ind w:left="918"/>
              <w:spacing w:after="0"/>
              <w:rPr>
                <w:sz w:val="20"/>
                <w:szCs w:val="20"/>
                <w:color w:val="auto"/>
              </w:rPr>
            </w:pPr>
            <w:r>
              <w:rPr>
                <w:rFonts w:ascii="Arial" w:cs="Arial" w:eastAsia="Arial" w:hAnsi="Arial"/>
                <w:sz w:val="18"/>
                <w:szCs w:val="18"/>
                <w:b w:val="1"/>
                <w:bCs w:val="1"/>
                <w:color w:val="auto"/>
              </w:rPr>
              <w:t>201 RIVERNECK ROAD</w:t>
            </w:r>
          </w:p>
        </w:tc>
        <w:tc>
          <w:tcPr>
            <w:tcW w:w="2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40" w:type="dxa"/>
            <w:vAlign w:val="bottom"/>
          </w:tcPr>
          <w:p>
            <w:pPr>
              <w:jc w:val="center"/>
              <w:ind w:left="918"/>
              <w:spacing w:after="0"/>
              <w:rPr>
                <w:sz w:val="20"/>
                <w:szCs w:val="20"/>
                <w:color w:val="auto"/>
              </w:rPr>
            </w:pPr>
            <w:r>
              <w:rPr>
                <w:rFonts w:ascii="Arial" w:cs="Arial" w:eastAsia="Arial" w:hAnsi="Arial"/>
                <w:sz w:val="18"/>
                <w:szCs w:val="18"/>
                <w:b w:val="1"/>
                <w:bCs w:val="1"/>
                <w:color w:val="auto"/>
              </w:rPr>
              <w:t>CHELMSFORD, MA</w:t>
            </w:r>
          </w:p>
        </w:tc>
        <w:tc>
          <w:tcPr>
            <w:tcW w:w="4620" w:type="dxa"/>
            <w:vAlign w:val="bottom"/>
            <w:gridSpan w:val="3"/>
          </w:tcPr>
          <w:p>
            <w:pPr>
              <w:jc w:val="right"/>
              <w:ind w:right="139"/>
              <w:spacing w:after="0"/>
              <w:rPr>
                <w:sz w:val="20"/>
                <w:szCs w:val="20"/>
                <w:color w:val="auto"/>
              </w:rPr>
            </w:pPr>
            <w:r>
              <w:rPr>
                <w:rFonts w:ascii="Arial" w:cs="Arial" w:eastAsia="Arial" w:hAnsi="Arial"/>
                <w:sz w:val="18"/>
                <w:szCs w:val="18"/>
                <w:b w:val="1"/>
                <w:bCs w:val="1"/>
                <w:color w:val="auto"/>
              </w:rPr>
              <w:t>01824</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040" w:type="dxa"/>
            <w:vAlign w:val="bottom"/>
          </w:tcPr>
          <w:p>
            <w:pPr>
              <w:jc w:val="center"/>
              <w:ind w:left="89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6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978-256-1300</w:t>
            </w:r>
          </w:p>
        </w:tc>
        <w:tc>
          <w:tcPr>
            <w:tcW w:w="1960" w:type="dxa"/>
            <w:vAlign w:val="bottom"/>
            <w:gridSpan w:val="2"/>
          </w:tcPr>
          <w:p>
            <w:pPr>
              <w:jc w:val="center"/>
              <w:ind w:left="984"/>
              <w:spacing w:after="0"/>
              <w:rPr>
                <w:sz w:val="20"/>
                <w:szCs w:val="20"/>
                <w:color w:val="auto"/>
              </w:rPr>
            </w:pPr>
            <w:r>
              <w:rPr>
                <w:rFonts w:ascii="Arial" w:cs="Arial" w:eastAsia="Arial" w:hAnsi="Arial"/>
                <w:sz w:val="14"/>
                <w:szCs w:val="14"/>
                <w:b w:val="1"/>
                <w:bCs w:val="1"/>
                <w:color w:val="auto"/>
                <w:w w:val="95"/>
              </w:rPr>
              <w:t>(Zip Code)</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040" w:type="dxa"/>
            <w:vAlign w:val="bottom"/>
          </w:tcPr>
          <w:p>
            <w:pPr>
              <w:spacing w:after="0"/>
              <w:rPr>
                <w:sz w:val="15"/>
                <w:szCs w:val="15"/>
                <w:color w:val="auto"/>
              </w:rPr>
            </w:pPr>
          </w:p>
        </w:tc>
        <w:tc>
          <w:tcPr>
            <w:tcW w:w="266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320" w:type="dxa"/>
            <w:vAlign w:val="bottom"/>
            <w:gridSpan w:val="3"/>
          </w:tcPr>
          <w:p>
            <w:pPr>
              <w:jc w:val="center"/>
              <w:ind w:left="233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040" w:type="dxa"/>
            <w:vAlign w:val="bottom"/>
          </w:tcPr>
          <w:p>
            <w:pPr>
              <w:spacing w:after="0"/>
              <w:rPr>
                <w:sz w:val="11"/>
                <w:szCs w:val="11"/>
                <w:color w:val="auto"/>
              </w:rPr>
            </w:pPr>
          </w:p>
        </w:tc>
        <w:tc>
          <w:tcPr>
            <w:tcW w:w="2660" w:type="dxa"/>
            <w:vAlign w:val="bottom"/>
            <w:tcBorders>
              <w:bottom w:val="single" w:sz="8" w:color="auto"/>
            </w:tcBorders>
          </w:tcPr>
          <w:p>
            <w:pPr>
              <w:spacing w:after="0"/>
              <w:rPr>
                <w:sz w:val="11"/>
                <w:szCs w:val="11"/>
                <w:color w:val="auto"/>
              </w:rPr>
            </w:pPr>
          </w:p>
        </w:tc>
        <w:tc>
          <w:tcPr>
            <w:tcW w:w="1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6"/>
        </w:trPr>
        <w:tc>
          <w:tcPr>
            <w:tcW w:w="8320" w:type="dxa"/>
            <w:vAlign w:val="bottom"/>
            <w:gridSpan w:val="3"/>
          </w:tcPr>
          <w:p>
            <w:pPr>
              <w:jc w:val="center"/>
              <w:ind w:left="2338"/>
              <w:spacing w:after="0"/>
              <w:rPr>
                <w:sz w:val="20"/>
                <w:szCs w:val="20"/>
                <w:color w:val="auto"/>
              </w:rPr>
            </w:pPr>
            <w:r>
              <w:rPr>
                <w:rFonts w:ascii="Arial" w:cs="Arial" w:eastAsia="Arial" w:hAnsi="Arial"/>
                <w:sz w:val="16"/>
                <w:szCs w:val="16"/>
                <w:b w:val="1"/>
                <w:bCs w:val="1"/>
                <w:color w:val="auto"/>
              </w:rPr>
              <w:t>SECURITIES REGISTERED PURSUANT TO SECTION 12(b) OF THE</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320" w:type="dxa"/>
            <w:vAlign w:val="bottom"/>
            <w:gridSpan w:val="3"/>
          </w:tcPr>
          <w:p>
            <w:pPr>
              <w:jc w:val="center"/>
              <w:ind w:left="2338"/>
              <w:spacing w:after="0"/>
              <w:rPr>
                <w:sz w:val="20"/>
                <w:szCs w:val="20"/>
                <w:color w:val="auto"/>
              </w:rPr>
            </w:pPr>
            <w:r>
              <w:rPr>
                <w:rFonts w:ascii="Arial" w:cs="Arial" w:eastAsia="Arial" w:hAnsi="Arial"/>
                <w:sz w:val="16"/>
                <w:szCs w:val="16"/>
                <w:b w:val="1"/>
                <w:bCs w:val="1"/>
                <w:color w:val="auto"/>
              </w:rPr>
              <w:t>SECURITIES EXCHANGE ACT OF 1934:</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4040" w:type="dxa"/>
            <w:vAlign w:val="bottom"/>
          </w:tcPr>
          <w:p>
            <w:pPr>
              <w:jc w:val="center"/>
              <w:ind w:left="918"/>
              <w:spacing w:after="0"/>
              <w:rPr>
                <w:sz w:val="20"/>
                <w:szCs w:val="20"/>
                <w:color w:val="auto"/>
              </w:rPr>
            </w:pPr>
            <w:r>
              <w:rPr>
                <w:rFonts w:ascii="Arial" w:cs="Arial" w:eastAsia="Arial" w:hAnsi="Arial"/>
                <w:sz w:val="14"/>
                <w:szCs w:val="14"/>
                <w:b w:val="1"/>
                <w:bCs w:val="1"/>
                <w:color w:val="auto"/>
                <w:w w:val="93"/>
              </w:rPr>
              <w:t>Title of Each Class</w:t>
            </w:r>
          </w:p>
        </w:tc>
        <w:tc>
          <w:tcPr>
            <w:tcW w:w="2660" w:type="dxa"/>
            <w:vAlign w:val="bottom"/>
          </w:tcPr>
          <w:p>
            <w:pPr>
              <w:spacing w:after="0"/>
              <w:rPr>
                <w:sz w:val="24"/>
                <w:szCs w:val="24"/>
                <w:color w:val="auto"/>
              </w:rPr>
            </w:pPr>
          </w:p>
        </w:tc>
        <w:tc>
          <w:tcPr>
            <w:tcW w:w="2920" w:type="dxa"/>
            <w:vAlign w:val="bottom"/>
            <w:gridSpan w:val="3"/>
          </w:tcPr>
          <w:p>
            <w:pPr>
              <w:jc w:val="center"/>
              <w:ind w:left="24"/>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41"/>
        </w:trPr>
        <w:tc>
          <w:tcPr>
            <w:tcW w:w="4040" w:type="dxa"/>
            <w:vAlign w:val="bottom"/>
          </w:tcPr>
          <w:p>
            <w:pPr>
              <w:jc w:val="center"/>
              <w:ind w:left="918"/>
              <w:spacing w:after="0"/>
              <w:rPr>
                <w:sz w:val="20"/>
                <w:szCs w:val="20"/>
                <w:color w:val="auto"/>
              </w:rPr>
            </w:pPr>
            <w:r>
              <w:rPr>
                <w:rFonts w:ascii="Arial" w:cs="Arial" w:eastAsia="Arial" w:hAnsi="Arial"/>
                <w:sz w:val="18"/>
                <w:szCs w:val="18"/>
                <w:color w:val="auto"/>
                <w:w w:val="88"/>
              </w:rPr>
              <w:t>Common Stock, Par Value $.01 Per Share</w:t>
            </w:r>
          </w:p>
        </w:tc>
        <w:tc>
          <w:tcPr>
            <w:tcW w:w="2660" w:type="dxa"/>
            <w:vAlign w:val="bottom"/>
          </w:tcPr>
          <w:p>
            <w:pPr>
              <w:spacing w:after="0"/>
              <w:rPr>
                <w:sz w:val="20"/>
                <w:szCs w:val="20"/>
                <w:color w:val="auto"/>
              </w:rPr>
            </w:pPr>
          </w:p>
        </w:tc>
        <w:tc>
          <w:tcPr>
            <w:tcW w:w="2920" w:type="dxa"/>
            <w:vAlign w:val="bottom"/>
            <w:gridSpan w:val="3"/>
          </w:tcPr>
          <w:p>
            <w:pPr>
              <w:jc w:val="center"/>
              <w:ind w:left="24"/>
              <w:spacing w:after="0"/>
              <w:rPr>
                <w:sz w:val="20"/>
                <w:szCs w:val="20"/>
                <w:color w:val="auto"/>
              </w:rPr>
            </w:pPr>
            <w:r>
              <w:rPr>
                <w:rFonts w:ascii="Arial" w:cs="Arial" w:eastAsia="Arial" w:hAnsi="Arial"/>
                <w:sz w:val="18"/>
                <w:szCs w:val="18"/>
                <w:color w:val="auto"/>
                <w:w w:val="94"/>
              </w:rPr>
              <w:t>NASDAQ Global Select Market</w:t>
            </w:r>
          </w:p>
        </w:tc>
        <w:tc>
          <w:tcPr>
            <w:tcW w:w="0" w:type="dxa"/>
            <w:vAlign w:val="bottom"/>
          </w:tcPr>
          <w:p>
            <w:pPr>
              <w:spacing w:after="0"/>
              <w:rPr>
                <w:sz w:val="1"/>
                <w:szCs w:val="1"/>
                <w:color w:val="auto"/>
              </w:rPr>
            </w:pPr>
          </w:p>
        </w:tc>
      </w:tr>
      <w:tr>
        <w:trPr>
          <w:trHeight w:val="230"/>
        </w:trPr>
        <w:tc>
          <w:tcPr>
            <w:tcW w:w="4040" w:type="dxa"/>
            <w:vAlign w:val="bottom"/>
          </w:tcPr>
          <w:p>
            <w:pPr>
              <w:jc w:val="center"/>
              <w:ind w:left="918"/>
              <w:spacing w:after="0"/>
              <w:rPr>
                <w:sz w:val="20"/>
                <w:szCs w:val="20"/>
                <w:color w:val="auto"/>
              </w:rPr>
            </w:pPr>
            <w:r>
              <w:rPr>
                <w:rFonts w:ascii="Arial" w:cs="Arial" w:eastAsia="Arial" w:hAnsi="Arial"/>
                <w:sz w:val="18"/>
                <w:szCs w:val="18"/>
                <w:color w:val="auto"/>
                <w:w w:val="88"/>
              </w:rPr>
              <w:t>Preferred Stock Purchase Rights</w:t>
            </w:r>
          </w:p>
        </w:tc>
        <w:tc>
          <w:tcPr>
            <w:tcW w:w="26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320" w:type="dxa"/>
            <w:vAlign w:val="bottom"/>
            <w:gridSpan w:val="3"/>
          </w:tcPr>
          <w:p>
            <w:pPr>
              <w:jc w:val="center"/>
              <w:ind w:left="2338"/>
              <w:spacing w:after="0"/>
              <w:rPr>
                <w:sz w:val="20"/>
                <w:szCs w:val="20"/>
                <w:color w:val="auto"/>
              </w:rPr>
            </w:pPr>
            <w:r>
              <w:rPr>
                <w:rFonts w:ascii="Arial" w:cs="Arial" w:eastAsia="Arial" w:hAnsi="Arial"/>
                <w:sz w:val="18"/>
                <w:szCs w:val="18"/>
                <w:b w:val="1"/>
                <w:bCs w:val="1"/>
                <w:color w:val="auto"/>
                <w:w w:val="99"/>
              </w:rPr>
              <w:t>SECURITIES REGISTERED PURSUANT TO SECTION 12(g) OF THE</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20" w:type="dxa"/>
            <w:vAlign w:val="bottom"/>
            <w:gridSpan w:val="3"/>
          </w:tcPr>
          <w:p>
            <w:pPr>
              <w:jc w:val="center"/>
              <w:ind w:left="2358"/>
              <w:spacing w:after="0"/>
              <w:rPr>
                <w:sz w:val="20"/>
                <w:szCs w:val="20"/>
                <w:color w:val="auto"/>
              </w:rPr>
            </w:pPr>
            <w:r>
              <w:rPr>
                <w:rFonts w:ascii="Arial" w:cs="Arial" w:eastAsia="Arial" w:hAnsi="Arial"/>
                <w:sz w:val="18"/>
                <w:szCs w:val="18"/>
                <w:b w:val="1"/>
                <w:bCs w:val="1"/>
                <w:color w:val="auto"/>
                <w:w w:val="99"/>
              </w:rPr>
              <w:t>SECURITIES EXCHANGE ACT OF 1934: NONE</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2660" w:type="dxa"/>
            <w:vAlign w:val="bottom"/>
            <w:tcBorders>
              <w:bottom w:val="single" w:sz="8" w:color="auto"/>
            </w:tcBorders>
          </w:tcPr>
          <w:p>
            <w:pPr>
              <w:spacing w:after="0"/>
              <w:rPr>
                <w:sz w:val="11"/>
                <w:szCs w:val="11"/>
                <w:color w:val="auto"/>
              </w:rPr>
            </w:pPr>
          </w:p>
        </w:tc>
        <w:tc>
          <w:tcPr>
            <w:tcW w:w="1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8320" w:type="dxa"/>
            <w:vAlign w:val="bottom"/>
            <w:gridSpan w:val="3"/>
          </w:tcPr>
          <w:p>
            <w:pPr>
              <w:spacing w:after="0" w:line="184" w:lineRule="exact"/>
              <w:rPr>
                <w:sz w:val="20"/>
                <w:szCs w:val="20"/>
                <w:color w:val="auto"/>
              </w:rPr>
            </w:pPr>
            <w:r>
              <w:rPr>
                <w:rFonts w:ascii="Arial" w:cs="Arial" w:eastAsia="Arial" w:hAnsi="Arial"/>
                <w:sz w:val="16"/>
                <w:szCs w:val="16"/>
                <w:color w:val="auto"/>
                <w:w w:val="93"/>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3"/>
              </w:rPr>
              <w:t>☐</w:t>
            </w:r>
          </w:p>
        </w:tc>
        <w:tc>
          <w:tcPr>
            <w:tcW w:w="340" w:type="dxa"/>
            <w:vAlign w:val="bottom"/>
          </w:tcPr>
          <w:p>
            <w:pPr>
              <w:ind w:left="60"/>
              <w:spacing w:after="0"/>
              <w:rPr>
                <w:sz w:val="20"/>
                <w:szCs w:val="20"/>
                <w:color w:val="auto"/>
              </w:rPr>
            </w:pPr>
            <w:r>
              <w:rPr>
                <w:rFonts w:ascii="Arial" w:cs="Arial" w:eastAsia="Arial" w:hAnsi="Arial"/>
                <w:sz w:val="16"/>
                <w:szCs w:val="16"/>
                <w:color w:val="auto"/>
              </w:rPr>
              <w:t>No</w:t>
            </w:r>
          </w:p>
        </w:tc>
        <w:tc>
          <w:tcPr>
            <w:tcW w:w="96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33"/>
        </w:trPr>
        <w:tc>
          <w:tcPr>
            <w:tcW w:w="8320" w:type="dxa"/>
            <w:vAlign w:val="bottom"/>
            <w:gridSpan w:val="3"/>
          </w:tcPr>
          <w:p>
            <w:pPr>
              <w:spacing w:after="0" w:line="184" w:lineRule="exact"/>
              <w:rPr>
                <w:sz w:val="20"/>
                <w:szCs w:val="20"/>
                <w:color w:val="auto"/>
              </w:rPr>
            </w:pPr>
            <w:r>
              <w:rPr>
                <w:rFonts w:ascii="Arial" w:cs="Arial" w:eastAsia="Arial" w:hAnsi="Arial"/>
                <w:sz w:val="16"/>
                <w:szCs w:val="16"/>
                <w:color w:val="auto"/>
                <w:w w:val="93"/>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w w:val="93"/>
              </w:rPr>
              <w:t>☐</w:t>
            </w:r>
          </w:p>
        </w:tc>
        <w:tc>
          <w:tcPr>
            <w:tcW w:w="340" w:type="dxa"/>
            <w:vAlign w:val="bottom"/>
          </w:tcPr>
          <w:p>
            <w:pPr>
              <w:ind w:left="80"/>
              <w:spacing w:after="0"/>
              <w:rPr>
                <w:sz w:val="20"/>
                <w:szCs w:val="20"/>
                <w:color w:val="auto"/>
              </w:rPr>
            </w:pPr>
            <w:r>
              <w:rPr>
                <w:rFonts w:ascii="Arial" w:cs="Arial" w:eastAsia="Arial" w:hAnsi="Arial"/>
                <w:sz w:val="16"/>
                <w:szCs w:val="16"/>
                <w:color w:val="auto"/>
              </w:rPr>
              <w:t>No</w:t>
            </w:r>
          </w:p>
        </w:tc>
        <w:tc>
          <w:tcPr>
            <w:tcW w:w="960" w:type="dxa"/>
            <w:vAlign w:val="bottom"/>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jc w:val="both"/>
        <w:ind w:right="520" w:firstLine="324"/>
        <w:spacing w:after="0" w:line="18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20" w:firstLine="324"/>
        <w:spacing w:after="0" w:line="189"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60" w:firstLine="324"/>
        <w:spacing w:after="0" w:line="189"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1" w:lineRule="exact"/>
        <w:rPr>
          <w:sz w:val="24"/>
          <w:szCs w:val="24"/>
          <w:color w:val="auto"/>
        </w:rPr>
      </w:pPr>
    </w:p>
    <w:p>
      <w:pPr>
        <w:ind w:firstLine="324"/>
        <w:spacing w:after="0" w:line="2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p>
    <w:p>
      <w:pPr>
        <w:spacing w:after="0" w:line="5" w:lineRule="exact"/>
        <w:rPr>
          <w:sz w:val="24"/>
          <w:szCs w:val="24"/>
          <w:color w:val="auto"/>
        </w:rPr>
      </w:pPr>
    </w:p>
    <w:p>
      <w:pPr>
        <w:ind w:left="340"/>
        <w:spacing w:after="0" w:line="184" w:lineRule="exact"/>
        <w:tabs>
          <w:tab w:leader="none" w:pos="7860" w:val="left"/>
          <w:tab w:leader="none" w:pos="8500" w:val="left"/>
        </w:tabs>
        <w:rPr>
          <w:sz w:val="20"/>
          <w:szCs w:val="20"/>
          <w:color w:val="auto"/>
        </w:rPr>
      </w:pPr>
      <w:r>
        <w:rPr>
          <w:rFonts w:ascii="Arial" w:cs="Arial" w:eastAsia="Arial" w:hAnsi="Arial"/>
          <w:sz w:val="15"/>
          <w:szCs w:val="15"/>
          <w:color w:val="auto"/>
        </w:rPr>
        <w:t>Indicate by check mark whether the registrant is a shell company (as defined by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 w:lineRule="exact"/>
        <w:rPr>
          <w:sz w:val="24"/>
          <w:szCs w:val="24"/>
          <w:color w:val="auto"/>
        </w:rPr>
      </w:pPr>
    </w:p>
    <w:p>
      <w:pPr>
        <w:ind w:right="100" w:firstLine="324"/>
        <w:spacing w:after="0" w:line="281" w:lineRule="auto"/>
        <w:rPr>
          <w:sz w:val="20"/>
          <w:szCs w:val="20"/>
          <w:color w:val="auto"/>
        </w:rPr>
      </w:pPr>
      <w:r>
        <w:rPr>
          <w:rFonts w:ascii="Arial" w:cs="Arial" w:eastAsia="Arial" w:hAnsi="Arial"/>
          <w:sz w:val="14"/>
          <w:szCs w:val="14"/>
          <w:color w:val="auto"/>
        </w:rPr>
        <w:t>The aggregate market value of the Common Stock held by non-affiliates of the registrant was approximately $273.5 million based upon the closing price of the Common Stock as reported on the Nasdaq Global Select Market on December 31, 2012, the last business day of the registrant’s most recently completed second fiscal quarter.</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Shares of Common Stock outstanding as of July 31, 2013: 32,388,030 shares</w:t>
      </w:r>
    </w:p>
    <w:p>
      <w:pPr>
        <w:spacing w:after="0" w:line="5"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5" w:lineRule="exact"/>
        <w:rPr>
          <w:sz w:val="24"/>
          <w:szCs w:val="24"/>
          <w:color w:val="auto"/>
        </w:rPr>
      </w:pPr>
    </w:p>
    <w:p>
      <w:pPr>
        <w:ind w:right="40" w:firstLine="324"/>
        <w:spacing w:after="0" w:line="246" w:lineRule="auto"/>
        <w:rPr>
          <w:sz w:val="20"/>
          <w:szCs w:val="20"/>
          <w:color w:val="auto"/>
        </w:rPr>
      </w:pPr>
      <w:r>
        <w:rPr>
          <w:rFonts w:ascii="Arial" w:cs="Arial" w:eastAsia="Arial" w:hAnsi="Arial"/>
          <w:sz w:val="16"/>
          <w:szCs w:val="16"/>
          <w:color w:val="auto"/>
        </w:rPr>
        <w:t>Portions of the registrant’s definitive Proxy Statement for its Annual Meeting of Shareholders to be held on October 22, 2013 (the “Proxy Statement”) are incorporated by reference into Part III of this report.</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Exhibit Index on Page 78</w:t>
      </w:r>
    </w:p>
    <w:p>
      <w:pPr>
        <w:sectPr>
          <w:pgSz w:w="11900" w:h="16838" w:orient="portrait"/>
          <w:cols w:equalWidth="0" w:num="1">
            <w:col w:w="11400"/>
          </w:cols>
          <w:pgMar w:left="240" w:top="233" w:right="25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120" w:type="dxa"/>
            <w:vAlign w:val="bottom"/>
            <w:gridSpan w:val="8"/>
          </w:tcPr>
          <w:p>
            <w:pPr>
              <w:jc w:val="center"/>
              <w:ind w:right="3240"/>
              <w:spacing w:after="0"/>
              <w:rPr>
                <w:sz w:val="20"/>
                <w:szCs w:val="20"/>
                <w:color w:val="auto"/>
              </w:rPr>
            </w:pPr>
            <w:r>
              <w:rPr>
                <w:rFonts w:ascii="Arial" w:cs="Arial" w:eastAsia="Arial" w:hAnsi="Arial"/>
                <w:sz w:val="18"/>
                <w:szCs w:val="18"/>
                <w:b w:val="1"/>
                <w:bCs w:val="1"/>
                <w:color w:val="auto"/>
                <w:w w:val="99"/>
              </w:rPr>
              <w:t>MERCURY SYSTEMS, INC.</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40" w:type="dxa"/>
            <w:vAlign w:val="bottom"/>
            <w:gridSpan w:val="6"/>
          </w:tcPr>
          <w:p>
            <w:pPr>
              <w:jc w:val="center"/>
              <w:ind w:right="4240"/>
              <w:spacing w:after="0"/>
              <w:rPr>
                <w:sz w:val="20"/>
                <w:szCs w:val="20"/>
                <w:color w:val="auto"/>
              </w:rPr>
            </w:pPr>
            <w:r>
              <w:rPr>
                <w:rFonts w:ascii="Arial" w:cs="Arial" w:eastAsia="Arial" w:hAnsi="Arial"/>
                <w:sz w:val="18"/>
                <w:szCs w:val="18"/>
                <w:b w:val="1"/>
                <w:bCs w:val="1"/>
                <w:color w:val="auto"/>
              </w:rPr>
              <w:t>INDEX</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7"/>
        </w:trPr>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PAGE</w:t>
            </w:r>
          </w:p>
        </w:tc>
      </w:tr>
      <w:tr>
        <w:trPr>
          <w:trHeight w:val="192"/>
        </w:trPr>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NUMBER</w:t>
            </w:r>
          </w:p>
        </w:tc>
      </w:tr>
      <w:tr>
        <w:trPr>
          <w:trHeight w:val="203"/>
        </w:trPr>
        <w:tc>
          <w:tcPr>
            <w:tcW w:w="920" w:type="dxa"/>
            <w:vAlign w:val="bottom"/>
          </w:tcPr>
          <w:p>
            <w:pPr>
              <w:spacing w:after="0"/>
              <w:rPr>
                <w:sz w:val="17"/>
                <w:szCs w:val="17"/>
                <w:color w:val="auto"/>
              </w:rPr>
            </w:pPr>
          </w:p>
        </w:tc>
        <w:tc>
          <w:tcPr>
            <w:tcW w:w="580" w:type="dxa"/>
            <w:vAlign w:val="bottom"/>
            <w:tcBorders>
              <w:bottom w:val="single" w:sz="8" w:color="0000FF"/>
            </w:tcBorders>
          </w:tcPr>
          <w:p>
            <w:pPr>
              <w:spacing w:after="0" w:line="202" w:lineRule="exact"/>
              <w:rPr>
                <w:rFonts w:ascii="Arial" w:cs="Arial" w:eastAsia="Arial" w:hAnsi="Arial"/>
                <w:sz w:val="18"/>
                <w:szCs w:val="18"/>
                <w:b w:val="1"/>
                <w:bCs w:val="1"/>
                <w:color w:val="0000FF"/>
                <w:w w:val="94"/>
              </w:rPr>
            </w:pPr>
            <w:hyperlink w:anchor="page2">
              <w:r>
                <w:rPr>
                  <w:rFonts w:ascii="Arial" w:cs="Arial" w:eastAsia="Arial" w:hAnsi="Arial"/>
                  <w:sz w:val="18"/>
                  <w:szCs w:val="18"/>
                  <w:b w:val="1"/>
                  <w:bCs w:val="1"/>
                  <w:color w:val="0000FF"/>
                  <w:w w:val="94"/>
                </w:rPr>
                <w:t>PART I</w:t>
              </w:r>
            </w:hyperlink>
          </w:p>
        </w:tc>
        <w:tc>
          <w:tcPr>
            <w:tcW w:w="8860" w:type="dxa"/>
            <w:vAlign w:val="bottom"/>
            <w:gridSpan w:val="22"/>
          </w:tcPr>
          <w:p>
            <w:pPr>
              <w:spacing w:after="0"/>
              <w:rPr>
                <w:sz w:val="17"/>
                <w:szCs w:val="17"/>
                <w:color w:val="auto"/>
              </w:rPr>
            </w:pPr>
          </w:p>
        </w:tc>
        <w:tc>
          <w:tcPr>
            <w:tcW w:w="9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202"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2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FF"/>
            </w:tcBorders>
            <w:gridSpan w:val="2"/>
          </w:tcPr>
          <w:p>
            <w:pPr>
              <w:spacing w:after="0"/>
              <w:rPr>
                <w:rFonts w:ascii="Arial" w:cs="Arial" w:eastAsia="Arial" w:hAnsi="Arial"/>
                <w:sz w:val="18"/>
                <w:szCs w:val="18"/>
                <w:color w:val="0000FF"/>
                <w:w w:val="84"/>
              </w:rPr>
            </w:pPr>
            <w:hyperlink w:anchor="page3">
              <w:r>
                <w:rPr>
                  <w:rFonts w:ascii="Arial" w:cs="Arial" w:eastAsia="Arial" w:hAnsi="Arial"/>
                  <w:sz w:val="18"/>
                  <w:szCs w:val="18"/>
                  <w:color w:val="0000FF"/>
                  <w:w w:val="84"/>
                </w:rPr>
                <w:t>Business</w:t>
              </w:r>
            </w:hyperlink>
          </w:p>
        </w:tc>
        <w:tc>
          <w:tcPr>
            <w:tcW w:w="8800" w:type="dxa"/>
            <w:vAlign w:val="bottom"/>
            <w:gridSpan w:val="21"/>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5"/>
          </w:tcPr>
          <w:p>
            <w:pPr>
              <w:spacing w:after="0"/>
              <w:rPr>
                <w:rFonts w:ascii="Arial" w:cs="Arial" w:eastAsia="Arial" w:hAnsi="Arial"/>
                <w:sz w:val="18"/>
                <w:szCs w:val="18"/>
                <w:color w:val="0000FF"/>
                <w:w w:val="87"/>
              </w:rPr>
            </w:pPr>
            <w:hyperlink w:anchor="page12">
              <w:r>
                <w:rPr>
                  <w:rFonts w:ascii="Arial" w:cs="Arial" w:eastAsia="Arial" w:hAnsi="Arial"/>
                  <w:sz w:val="18"/>
                  <w:szCs w:val="18"/>
                  <w:color w:val="0000FF"/>
                  <w:w w:val="87"/>
                </w:rPr>
                <w:t>Risk Factors</w:t>
              </w:r>
            </w:hyperlink>
          </w:p>
        </w:tc>
        <w:tc>
          <w:tcPr>
            <w:tcW w:w="8540" w:type="dxa"/>
            <w:vAlign w:val="bottom"/>
            <w:gridSpan w:val="1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12">
              <w:r>
                <w:rPr>
                  <w:rFonts w:ascii="Arial" w:cs="Arial" w:eastAsia="Arial" w:hAnsi="Arial"/>
                  <w:sz w:val="18"/>
                  <w:szCs w:val="18"/>
                  <w:color w:val="0000FF"/>
                </w:rPr>
                <w:t>12</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11"/>
          </w:tcPr>
          <w:p>
            <w:pPr>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Unresolved Staff Comments</w:t>
              </w:r>
            </w:hyperlink>
          </w:p>
        </w:tc>
        <w:tc>
          <w:tcPr>
            <w:tcW w:w="7400" w:type="dxa"/>
            <w:vAlign w:val="bottom"/>
            <w:gridSpan w:val="12"/>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700" w:type="dxa"/>
            <w:vAlign w:val="bottom"/>
            <w:gridSpan w:val="3"/>
          </w:tcPr>
          <w:p>
            <w:pPr>
              <w:spacing w:after="0"/>
              <w:rPr>
                <w:rFonts w:ascii="Arial" w:cs="Arial" w:eastAsia="Arial" w:hAnsi="Arial"/>
                <w:sz w:val="18"/>
                <w:szCs w:val="18"/>
                <w:color w:val="0000FF"/>
                <w:w w:val="80"/>
              </w:rPr>
            </w:pPr>
            <w:hyperlink w:anchor="page25">
              <w:r>
                <w:rPr>
                  <w:rFonts w:ascii="Arial" w:cs="Arial" w:eastAsia="Arial" w:hAnsi="Arial"/>
                  <w:sz w:val="18"/>
                  <w:szCs w:val="18"/>
                  <w:color w:val="0000FF"/>
                  <w:w w:val="80"/>
                </w:rPr>
                <w:t>Properties</w:t>
              </w:r>
            </w:hyperlink>
          </w:p>
        </w:tc>
        <w:tc>
          <w:tcPr>
            <w:tcW w:w="1340" w:type="dxa"/>
            <w:vAlign w:val="bottom"/>
            <w:gridSpan w:val="8"/>
          </w:tcPr>
          <w:p>
            <w:pPr>
              <w:spacing w:after="0"/>
              <w:rPr>
                <w:sz w:val="21"/>
                <w:szCs w:val="21"/>
                <w:color w:val="auto"/>
              </w:rPr>
            </w:pPr>
          </w:p>
        </w:tc>
        <w:tc>
          <w:tcPr>
            <w:tcW w:w="7400" w:type="dxa"/>
            <w:vAlign w:val="bottom"/>
            <w:gridSpan w:val="12"/>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440" w:type="dxa"/>
            <w:vAlign w:val="bottom"/>
            <w:gridSpan w:val="23"/>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Legal Proceedings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700" w:type="dxa"/>
            <w:vAlign w:val="bottom"/>
            <w:gridSpan w:val="8"/>
          </w:tcPr>
          <w:p>
            <w:pPr>
              <w:spacing w:after="0"/>
              <w:rPr>
                <w:rFonts w:ascii="Arial" w:cs="Arial" w:eastAsia="Arial" w:hAnsi="Arial"/>
                <w:sz w:val="18"/>
                <w:szCs w:val="18"/>
                <w:color w:val="0000FF"/>
                <w:w w:val="85"/>
              </w:rPr>
            </w:pPr>
            <w:hyperlink w:anchor="page25">
              <w:r>
                <w:rPr>
                  <w:rFonts w:ascii="Arial" w:cs="Arial" w:eastAsia="Arial" w:hAnsi="Arial"/>
                  <w:sz w:val="18"/>
                  <w:szCs w:val="18"/>
                  <w:color w:val="0000FF"/>
                  <w:w w:val="85"/>
                </w:rPr>
                <w:t>Removed and Reserved</w:t>
              </w:r>
            </w:hyperlink>
          </w:p>
        </w:tc>
        <w:tc>
          <w:tcPr>
            <w:tcW w:w="7740" w:type="dxa"/>
            <w:vAlign w:val="bottom"/>
            <w:gridSpan w:val="15"/>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4.1.</w:t>
            </w:r>
          </w:p>
        </w:tc>
        <w:tc>
          <w:tcPr>
            <w:tcW w:w="9440" w:type="dxa"/>
            <w:vAlign w:val="bottom"/>
            <w:gridSpan w:val="23"/>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Executive Officers of the Registrant</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26</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920" w:type="dxa"/>
            <w:vAlign w:val="bottom"/>
          </w:tcPr>
          <w:p>
            <w:pPr>
              <w:spacing w:after="0"/>
              <w:rPr>
                <w:sz w:val="24"/>
                <w:szCs w:val="24"/>
                <w:color w:val="auto"/>
              </w:rPr>
            </w:pPr>
          </w:p>
        </w:tc>
        <w:tc>
          <w:tcPr>
            <w:tcW w:w="2580" w:type="dxa"/>
            <w:vAlign w:val="bottom"/>
            <w:gridSpan w:val="12"/>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PART II</w:t>
              </w:r>
            </w:hyperlink>
          </w:p>
        </w:tc>
        <w:tc>
          <w:tcPr>
            <w:tcW w:w="6860" w:type="dxa"/>
            <w:vAlign w:val="bottom"/>
            <w:gridSpan w:val="11"/>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27</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9440" w:type="dxa"/>
            <w:vAlign w:val="bottom"/>
            <w:gridSpan w:val="23"/>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Market for Registrant’s Common Equity, Related Stockholder Matters and Issuer Purchases of Equity Securities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22"/>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Selected Financial Data</w:t>
              </w:r>
            </w:hyperlink>
          </w:p>
        </w:tc>
        <w:tc>
          <w:tcPr>
            <w:tcW w:w="1380" w:type="dxa"/>
            <w:vAlign w:val="bottom"/>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9"/>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Management’s Discussion and Analysis of Financial Condition and Results of Operations</w:t>
              </w:r>
            </w:hyperlink>
          </w:p>
        </w:tc>
        <w:tc>
          <w:tcPr>
            <w:tcW w:w="2980" w:type="dxa"/>
            <w:vAlign w:val="bottom"/>
            <w:gridSpan w:val="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7A.</w:t>
            </w:r>
          </w:p>
        </w:tc>
        <w:tc>
          <w:tcPr>
            <w:tcW w:w="6460" w:type="dxa"/>
            <w:vAlign w:val="bottom"/>
            <w:gridSpan w:val="19"/>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Quantitative and Qualitative Disclosures about Market Risk</w:t>
              </w:r>
            </w:hyperlink>
          </w:p>
        </w:tc>
        <w:tc>
          <w:tcPr>
            <w:tcW w:w="2980" w:type="dxa"/>
            <w:vAlign w:val="bottom"/>
            <w:gridSpan w:val="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8.</w:t>
            </w:r>
          </w:p>
        </w:tc>
        <w:tc>
          <w:tcPr>
            <w:tcW w:w="4300" w:type="dxa"/>
            <w:vAlign w:val="bottom"/>
            <w:gridSpan w:val="17"/>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Financial Statements and Supplementary Data</w:t>
              </w:r>
            </w:hyperlink>
          </w:p>
        </w:tc>
        <w:tc>
          <w:tcPr>
            <w:tcW w:w="514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45</w:t>
              </w:r>
            </w:hyperlink>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gridSpan w:val="20"/>
          </w:tcPr>
          <w:p>
            <w:pPr>
              <w:spacing w:after="0"/>
              <w:rPr>
                <w:rFonts w:ascii="Arial" w:cs="Arial" w:eastAsia="Arial" w:hAnsi="Arial"/>
                <w:sz w:val="18"/>
                <w:szCs w:val="18"/>
                <w:color w:val="0000FF"/>
                <w:w w:val="90"/>
              </w:rPr>
            </w:pPr>
            <w:hyperlink w:anchor="page74">
              <w:r>
                <w:rPr>
                  <w:rFonts w:ascii="Arial" w:cs="Arial" w:eastAsia="Arial" w:hAnsi="Arial"/>
                  <w:sz w:val="18"/>
                  <w:szCs w:val="18"/>
                  <w:color w:val="0000FF"/>
                  <w:w w:val="90"/>
                </w:rPr>
                <w:t>Changes in and Disagreements with Accountants on Accounting and Financial Disclosure</w:t>
              </w:r>
            </w:hyperlink>
          </w:p>
        </w:tc>
        <w:tc>
          <w:tcPr>
            <w:tcW w:w="2960" w:type="dxa"/>
            <w:vAlign w:val="bottom"/>
            <w:gridSpan w:val="3"/>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74">
              <w:r>
                <w:rPr>
                  <w:rFonts w:ascii="Arial" w:cs="Arial" w:eastAsia="Arial" w:hAnsi="Arial"/>
                  <w:sz w:val="18"/>
                  <w:szCs w:val="18"/>
                  <w:color w:val="0000FF"/>
                </w:rPr>
                <w:t>73</w:t>
              </w:r>
            </w:hyperlink>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9A.</w:t>
            </w:r>
          </w:p>
        </w:tc>
        <w:tc>
          <w:tcPr>
            <w:tcW w:w="6480" w:type="dxa"/>
            <w:vAlign w:val="bottom"/>
            <w:gridSpan w:val="20"/>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Controls and Procedures</w:t>
              </w:r>
            </w:hyperlink>
          </w:p>
        </w:tc>
        <w:tc>
          <w:tcPr>
            <w:tcW w:w="2960" w:type="dxa"/>
            <w:vAlign w:val="bottom"/>
            <w:gridSpan w:val="3"/>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74">
              <w:r>
                <w:rPr>
                  <w:rFonts w:ascii="Arial" w:cs="Arial" w:eastAsia="Arial" w:hAnsi="Arial"/>
                  <w:sz w:val="18"/>
                  <w:szCs w:val="18"/>
                  <w:color w:val="0000FF"/>
                </w:rPr>
                <w:t>73</w:t>
              </w:r>
            </w:hyperlink>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9"/>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Other Information</w:t>
              </w:r>
            </w:hyperlink>
          </w:p>
        </w:tc>
        <w:tc>
          <w:tcPr>
            <w:tcW w:w="7680" w:type="dxa"/>
            <w:vAlign w:val="bottom"/>
            <w:gridSpan w:val="1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75">
              <w:r>
                <w:rPr>
                  <w:rFonts w:ascii="Arial" w:cs="Arial" w:eastAsia="Arial" w:hAnsi="Arial"/>
                  <w:sz w:val="18"/>
                  <w:szCs w:val="18"/>
                  <w:color w:val="0000FF"/>
                </w:rPr>
                <w:t>74</w:t>
              </w:r>
            </w:hyperlink>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920" w:type="dxa"/>
            <w:vAlign w:val="bottom"/>
          </w:tcPr>
          <w:p>
            <w:pPr>
              <w:spacing w:after="0"/>
              <w:rPr>
                <w:sz w:val="24"/>
                <w:szCs w:val="24"/>
                <w:color w:val="auto"/>
              </w:rPr>
            </w:pPr>
          </w:p>
        </w:tc>
        <w:tc>
          <w:tcPr>
            <w:tcW w:w="700" w:type="dxa"/>
            <w:vAlign w:val="bottom"/>
            <w:gridSpan w:val="3"/>
          </w:tcPr>
          <w:p>
            <w:pPr>
              <w:spacing w:after="0"/>
              <w:rPr>
                <w:rFonts w:ascii="Arial" w:cs="Arial" w:eastAsia="Arial" w:hAnsi="Arial"/>
                <w:sz w:val="18"/>
                <w:szCs w:val="18"/>
                <w:b w:val="1"/>
                <w:bCs w:val="1"/>
                <w:color w:val="0000FF"/>
                <w:w w:val="95"/>
              </w:rPr>
            </w:pPr>
            <w:hyperlink w:anchor="page76">
              <w:r>
                <w:rPr>
                  <w:rFonts w:ascii="Arial" w:cs="Arial" w:eastAsia="Arial" w:hAnsi="Arial"/>
                  <w:sz w:val="18"/>
                  <w:szCs w:val="18"/>
                  <w:b w:val="1"/>
                  <w:bCs w:val="1"/>
                  <w:color w:val="0000FF"/>
                  <w:w w:val="95"/>
                </w:rPr>
                <w:t>PART III</w:t>
              </w:r>
            </w:hyperlink>
          </w:p>
        </w:tc>
        <w:tc>
          <w:tcPr>
            <w:tcW w:w="600" w:type="dxa"/>
            <w:vAlign w:val="bottom"/>
            <w:gridSpan w:val="4"/>
          </w:tcPr>
          <w:p>
            <w:pPr>
              <w:spacing w:after="0"/>
              <w:rPr>
                <w:sz w:val="24"/>
                <w:szCs w:val="24"/>
                <w:color w:val="auto"/>
              </w:rPr>
            </w:pPr>
          </w:p>
        </w:tc>
        <w:tc>
          <w:tcPr>
            <w:tcW w:w="8140" w:type="dxa"/>
            <w:vAlign w:val="bottom"/>
            <w:gridSpan w:val="16"/>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76">
              <w:r>
                <w:rPr>
                  <w:rFonts w:ascii="Arial" w:cs="Arial" w:eastAsia="Arial" w:hAnsi="Arial"/>
                  <w:sz w:val="18"/>
                  <w:szCs w:val="18"/>
                  <w:color w:val="0000FF"/>
                </w:rPr>
                <w:t>75</w:t>
              </w:r>
            </w:hyperlink>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10.</w:t>
            </w:r>
          </w:p>
        </w:tc>
        <w:tc>
          <w:tcPr>
            <w:tcW w:w="9440" w:type="dxa"/>
            <w:vAlign w:val="bottom"/>
            <w:gridSpan w:val="23"/>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Directors, Executive Officers and Corporate Governance</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76">
              <w:r>
                <w:rPr>
                  <w:rFonts w:ascii="Arial" w:cs="Arial" w:eastAsia="Arial" w:hAnsi="Arial"/>
                  <w:sz w:val="18"/>
                  <w:szCs w:val="18"/>
                  <w:color w:val="0000FF"/>
                </w:rPr>
                <w:t>75</w:t>
              </w:r>
            </w:hyperlink>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10"/>
          </w:tcPr>
          <w:p>
            <w:pPr>
              <w:spacing w:after="0"/>
              <w:rPr>
                <w:rFonts w:ascii="Arial" w:cs="Arial" w:eastAsia="Arial" w:hAnsi="Arial"/>
                <w:sz w:val="18"/>
                <w:szCs w:val="18"/>
                <w:color w:val="0000FF"/>
                <w:w w:val="89"/>
              </w:rPr>
            </w:pPr>
            <w:hyperlink w:anchor="page76">
              <w:r>
                <w:rPr>
                  <w:rFonts w:ascii="Arial" w:cs="Arial" w:eastAsia="Arial" w:hAnsi="Arial"/>
                  <w:sz w:val="18"/>
                  <w:szCs w:val="18"/>
                  <w:color w:val="0000FF"/>
                  <w:w w:val="89"/>
                </w:rPr>
                <w:t>Executive Compensation</w:t>
              </w:r>
            </w:hyperlink>
          </w:p>
        </w:tc>
        <w:tc>
          <w:tcPr>
            <w:tcW w:w="2280" w:type="dxa"/>
            <w:vAlign w:val="bottom"/>
            <w:gridSpan w:val="6"/>
          </w:tcPr>
          <w:p>
            <w:pPr>
              <w:spacing w:after="0"/>
              <w:rPr>
                <w:sz w:val="21"/>
                <w:szCs w:val="21"/>
                <w:color w:val="auto"/>
              </w:rPr>
            </w:pPr>
          </w:p>
        </w:tc>
        <w:tc>
          <w:tcPr>
            <w:tcW w:w="5360" w:type="dxa"/>
            <w:vAlign w:val="bottom"/>
            <w:gridSpan w:val="7"/>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76">
              <w:r>
                <w:rPr>
                  <w:rFonts w:ascii="Arial" w:cs="Arial" w:eastAsia="Arial" w:hAnsi="Arial"/>
                  <w:sz w:val="18"/>
                  <w:szCs w:val="18"/>
                  <w:color w:val="0000FF"/>
                </w:rPr>
                <w:t>75</w:t>
              </w:r>
            </w:hyperlink>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12.</w:t>
            </w:r>
          </w:p>
        </w:tc>
        <w:tc>
          <w:tcPr>
            <w:tcW w:w="9440" w:type="dxa"/>
            <w:vAlign w:val="bottom"/>
            <w:gridSpan w:val="23"/>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Security Ownership of Certain Beneficial Owners and Management and Related Stockholder Matters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76">
              <w:r>
                <w:rPr>
                  <w:rFonts w:ascii="Arial" w:cs="Arial" w:eastAsia="Arial" w:hAnsi="Arial"/>
                  <w:sz w:val="18"/>
                  <w:szCs w:val="18"/>
                  <w:color w:val="0000FF"/>
                </w:rPr>
                <w:t>75</w:t>
              </w:r>
            </w:hyperlink>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80" w:type="dxa"/>
            <w:vAlign w:val="bottom"/>
            <w:gridSpan w:val="7"/>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21"/>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Certain Relationships and Related Transactions, and Director Independence</w:t>
              </w:r>
            </w:hyperlink>
          </w:p>
        </w:tc>
        <w:tc>
          <w:tcPr>
            <w:tcW w:w="2160" w:type="dxa"/>
            <w:vAlign w:val="bottom"/>
            <w:gridSpan w:val="2"/>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76">
              <w:r>
                <w:rPr>
                  <w:rFonts w:ascii="Arial" w:cs="Arial" w:eastAsia="Arial" w:hAnsi="Arial"/>
                  <w:sz w:val="18"/>
                  <w:szCs w:val="18"/>
                  <w:color w:val="0000FF"/>
                </w:rPr>
                <w:t>75</w:t>
              </w:r>
            </w:hyperlink>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80" w:type="dxa"/>
            <w:vAlign w:val="bottom"/>
            <w:gridSpan w:val="7"/>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8"/>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Principal Accounting Fees and Services</w:t>
              </w:r>
            </w:hyperlink>
          </w:p>
        </w:tc>
        <w:tc>
          <w:tcPr>
            <w:tcW w:w="4000" w:type="dxa"/>
            <w:vAlign w:val="bottom"/>
            <w:gridSpan w:val="5"/>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76">
              <w:r>
                <w:rPr>
                  <w:rFonts w:ascii="Arial" w:cs="Arial" w:eastAsia="Arial" w:hAnsi="Arial"/>
                  <w:sz w:val="18"/>
                  <w:szCs w:val="18"/>
                  <w:color w:val="0000FF"/>
                </w:rPr>
                <w:t>75</w:t>
              </w:r>
            </w:hyperlink>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80" w:type="dxa"/>
            <w:vAlign w:val="bottom"/>
            <w:gridSpan w:val="7"/>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920" w:type="dxa"/>
            <w:vAlign w:val="bottom"/>
          </w:tcPr>
          <w:p>
            <w:pPr>
              <w:spacing w:after="0"/>
              <w:rPr>
                <w:sz w:val="24"/>
                <w:szCs w:val="24"/>
                <w:color w:val="auto"/>
              </w:rPr>
            </w:pPr>
          </w:p>
        </w:tc>
        <w:tc>
          <w:tcPr>
            <w:tcW w:w="2860" w:type="dxa"/>
            <w:vAlign w:val="bottom"/>
            <w:gridSpan w:val="13"/>
          </w:tcPr>
          <w:p>
            <w:pPr>
              <w:spacing w:after="0"/>
              <w:rPr>
                <w:rFonts w:ascii="Arial" w:cs="Arial" w:eastAsia="Arial" w:hAnsi="Arial"/>
                <w:sz w:val="18"/>
                <w:szCs w:val="18"/>
                <w:b w:val="1"/>
                <w:bCs w:val="1"/>
                <w:color w:val="0000FF"/>
              </w:rPr>
            </w:pPr>
            <w:hyperlink w:anchor="page76">
              <w:r>
                <w:rPr>
                  <w:rFonts w:ascii="Arial" w:cs="Arial" w:eastAsia="Arial" w:hAnsi="Arial"/>
                  <w:sz w:val="18"/>
                  <w:szCs w:val="18"/>
                  <w:b w:val="1"/>
                  <w:bCs w:val="1"/>
                  <w:color w:val="0000FF"/>
                </w:rPr>
                <w:t>PART IV</w:t>
              </w:r>
            </w:hyperlink>
          </w:p>
        </w:tc>
        <w:tc>
          <w:tcPr>
            <w:tcW w:w="6580" w:type="dxa"/>
            <w:vAlign w:val="bottom"/>
            <w:gridSpan w:val="10"/>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76">
              <w:r>
                <w:rPr>
                  <w:rFonts w:ascii="Arial" w:cs="Arial" w:eastAsia="Arial" w:hAnsi="Arial"/>
                  <w:sz w:val="18"/>
                  <w:szCs w:val="18"/>
                  <w:color w:val="0000FF"/>
                </w:rPr>
                <w:t>75</w:t>
              </w:r>
            </w:hyperlink>
          </w:p>
        </w:tc>
      </w:tr>
      <w:tr>
        <w:trPr>
          <w:trHeight w:val="20"/>
        </w:trPr>
        <w:tc>
          <w:tcPr>
            <w:tcW w:w="9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80" w:type="dxa"/>
            <w:vAlign w:val="bottom"/>
            <w:gridSpan w:val="8"/>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15.</w:t>
            </w:r>
          </w:p>
        </w:tc>
        <w:tc>
          <w:tcPr>
            <w:tcW w:w="3160" w:type="dxa"/>
            <w:vAlign w:val="bottom"/>
            <w:gridSpan w:val="14"/>
          </w:tcPr>
          <w:p>
            <w:pPr>
              <w:spacing w:after="0"/>
              <w:rPr>
                <w:rFonts w:ascii="Arial" w:cs="Arial" w:eastAsia="Arial" w:hAnsi="Arial"/>
                <w:sz w:val="18"/>
                <w:szCs w:val="18"/>
                <w:color w:val="0000FF"/>
                <w:w w:val="89"/>
              </w:rPr>
            </w:pPr>
            <w:hyperlink w:anchor="page76">
              <w:r>
                <w:rPr>
                  <w:rFonts w:ascii="Arial" w:cs="Arial" w:eastAsia="Arial" w:hAnsi="Arial"/>
                  <w:sz w:val="18"/>
                  <w:szCs w:val="18"/>
                  <w:color w:val="0000FF"/>
                  <w:w w:val="89"/>
                </w:rPr>
                <w:t>Exhibits and Financial Statement Schedules</w:t>
              </w:r>
            </w:hyperlink>
          </w:p>
        </w:tc>
        <w:tc>
          <w:tcPr>
            <w:tcW w:w="6280" w:type="dxa"/>
            <w:vAlign w:val="bottom"/>
            <w:gridSpan w:val="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76">
              <w:r>
                <w:rPr>
                  <w:rFonts w:ascii="Arial" w:cs="Arial" w:eastAsia="Arial" w:hAnsi="Arial"/>
                  <w:sz w:val="18"/>
                  <w:szCs w:val="18"/>
                  <w:color w:val="0000FF"/>
                </w:rPr>
                <w:t>75</w:t>
              </w:r>
            </w:hyperlink>
          </w:p>
        </w:tc>
      </w:tr>
      <w:tr>
        <w:trPr>
          <w:trHeight w:val="20"/>
        </w:trPr>
        <w:tc>
          <w:tcPr>
            <w:tcW w:w="92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180" w:type="dxa"/>
            <w:vAlign w:val="bottom"/>
            <w:gridSpan w:val="8"/>
            <w:shd w:val="clear" w:color="auto" w:fill="0000FF"/>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760" w:type="dxa"/>
            <w:vAlign w:val="bottom"/>
            <w:gridSpan w:val="4"/>
          </w:tcPr>
          <w:p>
            <w:pPr>
              <w:spacing w:after="0"/>
              <w:rPr>
                <w:rFonts w:ascii="Arial" w:cs="Arial" w:eastAsia="Arial" w:hAnsi="Arial"/>
                <w:sz w:val="18"/>
                <w:szCs w:val="18"/>
                <w:color w:val="0000FF"/>
                <w:w w:val="85"/>
              </w:rPr>
            </w:pPr>
            <w:hyperlink w:anchor="page77">
              <w:r>
                <w:rPr>
                  <w:rFonts w:ascii="Arial" w:cs="Arial" w:eastAsia="Arial" w:hAnsi="Arial"/>
                  <w:sz w:val="18"/>
                  <w:szCs w:val="18"/>
                  <w:color w:val="0000FF"/>
                  <w:w w:val="85"/>
                </w:rPr>
                <w:t>Signatures</w:t>
              </w:r>
            </w:hyperlink>
          </w:p>
        </w:tc>
        <w:tc>
          <w:tcPr>
            <w:tcW w:w="2400" w:type="dxa"/>
            <w:vAlign w:val="bottom"/>
            <w:gridSpan w:val="10"/>
          </w:tcPr>
          <w:p>
            <w:pPr>
              <w:spacing w:after="0"/>
              <w:rPr>
                <w:sz w:val="21"/>
                <w:szCs w:val="21"/>
                <w:color w:val="auto"/>
              </w:rPr>
            </w:pPr>
          </w:p>
        </w:tc>
        <w:tc>
          <w:tcPr>
            <w:tcW w:w="6280" w:type="dxa"/>
            <w:vAlign w:val="bottom"/>
            <w:gridSpan w:val="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77">
              <w:r>
                <w:rPr>
                  <w:rFonts w:ascii="Arial" w:cs="Arial" w:eastAsia="Arial" w:hAnsi="Arial"/>
                  <w:sz w:val="18"/>
                  <w:szCs w:val="18"/>
                  <w:color w:val="0000FF"/>
                </w:rPr>
                <w:t>77</w:t>
              </w:r>
            </w:hyperlink>
          </w:p>
        </w:tc>
      </w:tr>
      <w:tr>
        <w:trPr>
          <w:trHeight w:val="20"/>
        </w:trPr>
        <w:tc>
          <w:tcPr>
            <w:tcW w:w="92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60" w:type="dxa"/>
            <w:vAlign w:val="bottom"/>
            <w:gridSpan w:val="1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980" w:type="dxa"/>
            <w:vAlign w:val="bottom"/>
            <w:gridSpan w:val="6"/>
          </w:tcPr>
          <w:p>
            <w:pPr>
              <w:spacing w:after="0"/>
              <w:rPr>
                <w:rFonts w:ascii="Arial" w:cs="Arial" w:eastAsia="Arial" w:hAnsi="Arial"/>
                <w:sz w:val="18"/>
                <w:szCs w:val="18"/>
                <w:color w:val="0000FF"/>
                <w:w w:val="93"/>
              </w:rPr>
            </w:pPr>
            <w:hyperlink w:anchor="page78">
              <w:r>
                <w:rPr>
                  <w:rFonts w:ascii="Arial" w:cs="Arial" w:eastAsia="Arial" w:hAnsi="Arial"/>
                  <w:sz w:val="18"/>
                  <w:szCs w:val="18"/>
                  <w:color w:val="0000FF"/>
                  <w:w w:val="93"/>
                </w:rPr>
                <w:t>Exhibit Index</w:t>
              </w:r>
            </w:hyperlink>
          </w:p>
        </w:tc>
        <w:tc>
          <w:tcPr>
            <w:tcW w:w="8460" w:type="dxa"/>
            <w:vAlign w:val="bottom"/>
            <w:gridSpan w:val="17"/>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78">
              <w:r>
                <w:rPr>
                  <w:rFonts w:ascii="Arial" w:cs="Arial" w:eastAsia="Arial" w:hAnsi="Arial"/>
                  <w:sz w:val="18"/>
                  <w:szCs w:val="18"/>
                  <w:color w:val="0000FF"/>
                </w:rPr>
                <w:t>78</w:t>
              </w:r>
            </w:hyperlink>
          </w:p>
        </w:tc>
      </w:tr>
      <w:tr>
        <w:trPr>
          <w:trHeight w:val="507"/>
        </w:trPr>
        <w:tc>
          <w:tcPr>
            <w:tcW w:w="920" w:type="dxa"/>
            <w:vAlign w:val="bottom"/>
          </w:tcPr>
          <w:p>
            <w:pPr>
              <w:spacing w:after="0"/>
              <w:rPr>
                <w:sz w:val="24"/>
                <w:szCs w:val="24"/>
                <w:color w:val="auto"/>
              </w:rPr>
            </w:pPr>
          </w:p>
        </w:tc>
        <w:tc>
          <w:tcPr>
            <w:tcW w:w="980" w:type="dxa"/>
            <w:vAlign w:val="bottom"/>
            <w:tcBorders>
              <w:top w:val="single" w:sz="8" w:color="0000FF"/>
            </w:tcBorders>
            <w:gridSpan w:val="6"/>
          </w:tcPr>
          <w:p>
            <w:pPr>
              <w:spacing w:after="0"/>
              <w:rPr>
                <w:sz w:val="24"/>
                <w:szCs w:val="24"/>
                <w:color w:val="auto"/>
              </w:rPr>
            </w:pPr>
          </w:p>
        </w:tc>
        <w:tc>
          <w:tcPr>
            <w:tcW w:w="4460" w:type="dxa"/>
            <w:vAlign w:val="bottom"/>
            <w:gridSpan w:val="12"/>
          </w:tcPr>
          <w:p>
            <w:pPr>
              <w:jc w:val="center"/>
              <w:ind w:left="2990"/>
              <w:spacing w:after="0"/>
              <w:rPr>
                <w:sz w:val="20"/>
                <w:szCs w:val="20"/>
                <w:color w:val="auto"/>
              </w:rPr>
            </w:pPr>
            <w:r>
              <w:rPr>
                <w:rFonts w:ascii="Arial" w:cs="Arial" w:eastAsia="Arial" w:hAnsi="Arial"/>
                <w:sz w:val="18"/>
                <w:szCs w:val="18"/>
                <w:color w:val="auto"/>
                <w:w w:val="99"/>
              </w:rPr>
              <w:t>2</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ind w:right="260" w:firstLine="432"/>
        <w:spacing w:after="0" w:line="254" w:lineRule="auto"/>
        <w:rPr>
          <w:sz w:val="20"/>
          <w:szCs w:val="20"/>
          <w:color w:val="auto"/>
        </w:rPr>
      </w:pPr>
      <w:r>
        <w:rPr>
          <w:rFonts w:ascii="Arial" w:cs="Arial" w:eastAsia="Arial" w:hAnsi="Arial"/>
          <w:sz w:val="18"/>
          <w:szCs w:val="18"/>
          <w:b w:val="1"/>
          <w:bCs w:val="1"/>
          <w:color w:val="auto"/>
        </w:rPr>
        <w:t>This Annual Report on Form 10-K contains forward-looking statements within the meaning of Section 27A of the Securities Act of 1933, as amended, and Section 21E of the Securities Exchange Act of 1934, as amended. Actual results could differ materially from those set forth in the forward-looking statements. Certain factors that might cause such a difference are discussed in this annual report on Form 10-K, including in the section entitled “Risk Factors.”</w:t>
      </w:r>
    </w:p>
    <w:p>
      <w:pPr>
        <w:spacing w:after="0" w:line="190"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When used in this report, the terms “Mercury,” “we,” “our,” “us,” and “the Company” refer to Mercury Systems, Inc. and its consolidated subsidiaries, except where the context otherwise requires or as otherwise indicated. The term “fiscal” with respect to a year refers to the period from July 1 to June 30. For example, fiscal 2013 refers to the period from July 1, 2012 to June 30, 2013.</w:t>
      </w:r>
    </w:p>
    <w:p>
      <w:pPr>
        <w:spacing w:after="0" w:line="12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7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provide commercially developed, open sensor and Big Data processing systems, software and services for critical commercial, defense and intelligence applications. We deliver innovative solutions, rapid time-to-value and world-class service and support to our defense prime contractor customers. Our products and solutions have been deployed in more than 300 programs with over 25 different defense prime contractors. Key programs include Aegis, Patriot, Surface Electronic Warfare Improvement Program ("SEWIP"), Predator and Reaper. We also deliver services and solutions in support of the intelligence community. Mercury Systems operates across a broad spectrum of defense and intelligence programs and we deliver our solutions and services via three business units: (i) Mercury Commercial Electronics; (ii) Mercury Defense Systems and; (iii) Mercury Intelligence Systems.</w:t>
      </w:r>
    </w:p>
    <w:p>
      <w:pPr>
        <w:spacing w:after="0" w:line="11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i w:val="1"/>
          <w:iCs w:val="1"/>
          <w:color w:val="auto"/>
        </w:rPr>
        <w:t xml:space="preserve">Mercury Commercial Electronics, or MCE, </w:t>
      </w:r>
      <w:r>
        <w:rPr>
          <w:rFonts w:ascii="Arial" w:cs="Arial" w:eastAsia="Arial" w:hAnsi="Arial"/>
          <w:sz w:val="17"/>
          <w:szCs w:val="17"/>
          <w:color w:val="auto"/>
        </w:rPr>
        <w:t>delivers innovative, commercially developed, open sensor and Big Data processing systems for critical</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defense and intelligence applications. We deliver solutions that are secure and based upon open architectures and widely adopted industry standards. We deliver rapid time-to-value and world-class service and support to prime defense contractors and commercial customers. MCE provides solutions to prime contractor customers on a variety of programs. MCE also provides technology building blocks to Mercury Defense Systems on key classified and unclassified programs. MCE has a legacy of embedded multi-computing and embedded sensor processing expertise. More recently, MCE has added substantial capabilities around radio frequency ("RF") and microwave technologies as well as emerging new manufacturing capabilities to bring design, production and test capabilities of our RF and microwave solutions to market on a more scalable basis.</w:t>
      </w:r>
    </w:p>
    <w:p>
      <w:pPr>
        <w:spacing w:after="0" w:line="12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Mercury Defense Systems, or MDS, </w:t>
      </w:r>
      <w:r>
        <w:rPr>
          <w:rFonts w:ascii="Arial" w:cs="Arial" w:eastAsia="Arial" w:hAnsi="Arial"/>
          <w:sz w:val="18"/>
          <w:szCs w:val="18"/>
          <w:color w:val="auto"/>
        </w:rPr>
        <w:t>delivers innovative, open sensor processing solutions to the Department of Defense ("DoD") and key prime defense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contractors leveraging commercially available technologies and solutions (or “building blocks”) from our MCE business. MDS leverages this technology to develop integrated sensor processing subsystems, often including classified application-specific software and intellectual property ("IP") for the C4ISR (command, control, communications, computers, intelligence, surveillance and reconnaissance), electronic warfare ("EW"), and electronic counter measures ("ECM") markets. MDS brings significant domain expertise to customers, drawing on over 25 years of experience in EW, signal intelligence ("SIGINT") and radar test and simulation.</w:t>
      </w:r>
    </w:p>
    <w:p>
      <w:pPr>
        <w:spacing w:after="0" w:line="13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 xml:space="preserve">Mercury Intelligence Systems, or MIS, </w:t>
      </w:r>
      <w:r>
        <w:rPr>
          <w:rFonts w:ascii="Arial" w:cs="Arial" w:eastAsia="Arial" w:hAnsi="Arial"/>
          <w:sz w:val="17"/>
          <w:szCs w:val="17"/>
          <w:color w:val="auto"/>
        </w:rPr>
        <w:t>delivers technologically advanced hardware and software data processing solutions and predictive analytics</w:t>
      </w:r>
      <w:r>
        <w:rPr>
          <w:rFonts w:ascii="Arial" w:cs="Arial" w:eastAsia="Arial" w:hAnsi="Arial"/>
          <w:sz w:val="17"/>
          <w:szCs w:val="17"/>
          <w:i w:val="1"/>
          <w:iCs w:val="1"/>
          <w:color w:val="auto"/>
        </w:rPr>
        <w:t xml:space="preserve"> </w:t>
      </w:r>
      <w:r>
        <w:rPr>
          <w:rFonts w:ascii="Arial" w:cs="Arial" w:eastAsia="Arial" w:hAnsi="Arial"/>
          <w:sz w:val="17"/>
          <w:szCs w:val="17"/>
          <w:color w:val="auto"/>
        </w:rPr>
        <w:t>capabilities to address intelligence community and DoD mission needs. Our unique approach and solutions facilitate the transformation of raw data into information and then into actionable intelligence. MIS provides Big Data processing capabilities, streaming and predictive analytics, and multi-intelligence analysis for our customers, often utilizing cloud computing models and other emerging computing technologies and methodologies.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three business units allow us to deliver capabilities that combine technology building blocks, deep domain expertise in the defense sector and critical solution areas, and specialized skills in serving the DoD and the intelligence community.</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report under two business segments: (i) Mercury Commercial Electronics and; (ii) Mercury Defense and Intelligence Systems ("MDIS"). We combined the MDS and MIS business units as they both entail similar products and services and a similar customer base.</w:t>
      </w:r>
    </w:p>
    <w:p>
      <w:pPr>
        <w:spacing w:after="0" w:line="11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Our consolidated revenues, net (loss) and adjusted EBITDA for fiscal 2013 were $208.8 million, $(13.2) million and $11.7 million, respectively. Our consolidated revenues, income from continuing operations and adjusted EBITDA for fiscal 2012 were $244.9 million, $22.6 million and $48.9 million, respectively. See the Non-GAAP Financial Measures section of this annual report for a reconciliation of our adjusted EBITDA to net loss.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During the first quarter of fiscal 2013, and as a result of a significant decline in bookings and revenue, we announced a restructuring plan ("2013 Plan") impacting primarily the MCE business segment. The plan consisted of the elimination of 142 positions primarily in engineering and support staff areas. Additionally, during the fourth quarter of fiscal 2013, as a result of the integration activities surrounding our recent acquisitions, we initiated a plan that included the sale of our Hudson, NH facility and the elimination of 17 positions primarily in operations. We incurred restructuring charges of $7.1 million for the fiscal year ended June 30, 2013 and expect to realize approximately $22 million in annual savings from these activities.</w:t>
      </w:r>
    </w:p>
    <w:p>
      <w:pPr>
        <w:spacing w:after="0" w:line="11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On January 1, 2013, we reorganized internally to logically group our expanded capabilities with our recent acquisitions of LNX, KOR Electronics, PDI, and Micronetics. This internal reorganization grouped our product and service offerings into three business units: MCE, MDS and MIS.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17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Since 1981, we have operated as a provider of advanced embedded computing products primarily for end markets in the defense industry. Over time, we expanded our business to focus on a number of commercial end markets, including the biotechnology, embedded systems and professional services, visual imaging software and life sciences markets. While this strategy was designed to expand our target market, in the mid-2000’s many of these new businesses required large investments, which significantly reduced our profitability, and we found ourselves spread across several disparate, unprofitable end-user segments.</w:t>
      </w:r>
    </w:p>
    <w:p>
      <w:pPr>
        <w:spacing w:after="0" w:line="13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November 2007, we embarked on a strategy to refocus the business and return to growth and profitability. Since then, we have successfully sold or shut down five non-core business units, returned the Company to profitability and growth for four consecutive years, and transformed the Company into a best-of-breed provider of commercially developed, open sensor and Big Data processing systems, software and services for critical commercial, defense and intelligence applications. Fiscal 2013 was a challenging year in light of uncertainty within the defense sector. Despite macro-industry challenges, fiscal 2013 highlights for the Company included:</w:t>
      </w:r>
    </w:p>
    <w:p>
      <w:pPr>
        <w:spacing w:after="0" w:line="53" w:lineRule="exact"/>
        <w:rPr>
          <w:sz w:val="20"/>
          <w:szCs w:val="20"/>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bookings of $220 million with a 1.1 book-to-bill ratio;</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backlog of $140 million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signed a new $200 million senior unsecured line of credit and as of June 30, 2013 there were no borrowings outstanding;</w:t>
      </w:r>
    </w:p>
    <w:p>
      <w:pPr>
        <w:spacing w:after="0" w:line="90"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successful integration of the former Micronetics business, adding substantial capabilities around RF and microwave to help continue the build-out of the sensor processing chain;</w:t>
      </w:r>
    </w:p>
    <w:p>
      <w:pPr>
        <w:spacing w:after="0" w:line="35"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opened a new classified Big Data development center;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entered into a new 70,000 square foot lease for an Advanced Microelectronics Center.</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Over the past six years, we continued to have success on programs such as Aegis, Global Hawk, Gorgon Stare, Predator and Reaper and have reinvested in our business. We improved our position as a best-of-breed provider in our target markets, with major design wins including the Patriot missile program, and SEWIP, the EW improvement program for surface vessels to counteract a variety of emerging threats. In fiscal 2010, we grew organically, improved our working capital position and profitability metrics, continued to refresh our product portfolio, and grew our services and systems integration business. We strengthened our position in our core intelligence, surveillance and reconnaissance ("ISR"), EW and ballistic missile defense markets and believe our position in these markets will continue to grow. In fiscal 2011 and 2012, we continued to strengthen and grow our core business by enhancing our product portfolio and increasing our ISR, EW, and missile defense system domain expertise and capabilities. During fiscal 2013, we addressed significant industry headwinds aggressively by aligning our cost structure to lower revenue levels via two restructuring actions. These initiatives reduced our operating expenses by approximately $22 million annually. In addition, we acquired unique EW program capabilities through the acquisition of Micronetics early in fiscal 2013.</w:t>
      </w:r>
    </w:p>
    <w:p>
      <w:pPr>
        <w:spacing w:after="0" w:line="11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continue to be successful on our existing programs and to pursue new design wins on high growth, high priority programs. In response to new and emerging threats, and the need for better intelligence in shorter time frames, we have developed new products and capabilities that, in conjunction with our customers, seek to address those areas of concern. We have also grown and anticipate growing further through acquisitions that will complement, strengthen and grow our core business. While we look at acquisitions on an on-going basis, we also are doing this as we balance our assessment of the industry environment, our business outlook and the potential to further build-out the sensor processing chain, all while also prudently managing the business. As a result of these efforts, we believe we are well-positioned to capture existing and future growth opportunities in our end markets. We also continually look at our organizational, product development, and go-to-market capabilities to ensure we maintain an orientation towards “time to value” for our customers. This approach will help us reach our goal of providing the best solutions as we apply our commercially developed technologies to solve complex customer problems.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7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market opportunity is defined by the growing demand for advanced sensor processing capabilities within the defense industry, as well as the burgeoning needs of the intelligence community to handle Big Data processing, analytics and analysis challenges. Our primary market has historically been the defense sector, specifically C4ISR (command, control, communications, computers, intelligence, surveillance and reconnaissance), EW, and ballistic missile defense; and commercial markets, which include commercial communications and other commercial computing applications. We believe we are well-positioned in growing, sustainable market segments of the defense sector that leverage advanced technology to improve warfighter capability and provide enhanced force protection capabilities.</w:t>
      </w:r>
    </w:p>
    <w:p>
      <w:pPr>
        <w:spacing w:after="0" w:line="13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believe there are a number of evolving trends that are reshaping our target market and accordingly provide us with attractive growth opportunities, including:</w:t>
      </w:r>
    </w:p>
    <w:p>
      <w:pPr>
        <w:spacing w:after="0" w:line="116"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i w:val="1"/>
          <w:iCs w:val="1"/>
          <w:color w:val="auto"/>
        </w:rPr>
        <w:t xml:space="preserve">The defense electronics market is expected to grow in government fiscal 2014, in spite of DoD budget uncertainty, opaque execution of the U.S. budget sequestration mandate, and on-going uncertainty around future spending. According to The Teal Group, the defense electronics market is projected to increase from $40.4 billion in government fiscal 2013 to $41.7 billion in government fiscal 2014. </w:t>
      </w:r>
      <w:r>
        <w:rPr>
          <w:rFonts w:ascii="Arial" w:cs="Arial" w:eastAsia="Arial" w:hAnsi="Arial"/>
          <w:sz w:val="16"/>
          <w:szCs w:val="16"/>
          <w:color w:val="auto"/>
        </w:rPr>
        <w:t>Defense electronic spending represents approximately 6% of</w:t>
      </w:r>
      <w:r>
        <w:rPr>
          <w:rFonts w:ascii="Arial" w:cs="Arial" w:eastAsia="Arial" w:hAnsi="Arial"/>
          <w:sz w:val="16"/>
          <w:szCs w:val="16"/>
          <w:i w:val="1"/>
          <w:iCs w:val="1"/>
          <w:color w:val="auto"/>
        </w:rPr>
        <w:t xml:space="preserve"> </w:t>
      </w:r>
      <w:r>
        <w:rPr>
          <w:rFonts w:ascii="Arial" w:cs="Arial" w:eastAsia="Arial" w:hAnsi="Arial"/>
          <w:sz w:val="16"/>
          <w:szCs w:val="16"/>
          <w:color w:val="auto"/>
        </w:rPr>
        <w:t>the total DoD spending annually. We believe ISR, EW and ballistic missile defense have a high priority for future DoD spending. We have positioned ourselves well in these important areas and have won a position on many programs and platforms. We continue to build on our strengths as a best-of-breed provider in the design and development of performance optimized electronic sub-systems for the ISR and EW markets. As a leader in these markets, we often contract with multiple defense prime contractors as they bid for a particular project, thereby increasing our chance of a successful outcome.</w:t>
      </w:r>
    </w:p>
    <w:p>
      <w:pPr>
        <w:spacing w:after="0" w:line="113"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i w:val="1"/>
          <w:iCs w:val="1"/>
          <w:color w:val="auto"/>
        </w:rPr>
        <w:t>The rapidly expanding demand for tactical ISR is leading to significant growth in sensor data being generated, causing even greater demand for the capability of our products to process data onboard platforms</w:t>
      </w:r>
      <w:r>
        <w:rPr>
          <w:rFonts w:ascii="Arial" w:cs="Arial" w:eastAsia="Arial" w:hAnsi="Arial"/>
          <w:sz w:val="17"/>
          <w:szCs w:val="17"/>
          <w:color w:val="auto"/>
        </w:rPr>
        <w:t>. An increase in the prevalence and resolution of ISR sensors is generating significant growth in</w:t>
      </w:r>
      <w:r>
        <w:rPr>
          <w:rFonts w:ascii="Arial" w:cs="Arial" w:eastAsia="Arial" w:hAnsi="Arial"/>
          <w:sz w:val="17"/>
          <w:szCs w:val="17"/>
          <w:i w:val="1"/>
          <w:iCs w:val="1"/>
          <w:color w:val="auto"/>
        </w:rPr>
        <w:t xml:space="preserve"> </w:t>
      </w:r>
      <w:r>
        <w:rPr>
          <w:rFonts w:ascii="Arial" w:cs="Arial" w:eastAsia="Arial" w:hAnsi="Arial"/>
          <w:sz w:val="17"/>
          <w:szCs w:val="17"/>
          <w:color w:val="auto"/>
        </w:rPr>
        <w:t>the associated data that needs to be turned into information for the warfighter in a timely manner. In addition, several factors are driving the defense and intelligence industries to demand greater capability to collect and process data onboard the aircraft, unmanned aerial vehicles, or UAVs, ships and other vehicles, which we refer to collectively as platforms. Each platform has limited communications bandwidth and cannot realistically transmit all the data that is collected onboard the platform, and this problem will increase over time as sensor generated data will continue to outstrip data communication capabilities. Looking forward, we believe our armed forces will need platforms that operate more autonomously and possibly in denied communication environments. In addition, the platforms themselves require increased persistence, and reducing the need to communicate data off the platform can help increase the ability of the platform to remain on or fly above the battlefield for extended periods. Finally, the scarcity and cost of human analysts, the demand for timely and relevant quality information and the increasing need to fuse data not only from multiple onboard sensors but also with intelligence generated from other platforms is causing even greater demand for the onboard processing capabilities our products provide.</w:t>
      </w:r>
    </w:p>
    <w:p>
      <w:pPr>
        <w:spacing w:after="0" w:line="1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Rogue nations’ missile programs and threats from peer nations are causing greater investment in new EW and ballistic missile defense capabilities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There are a number of new and emerging threats, such as peer nations developing stealth technologies, including stealth aircraft and new anti-ship ballistic missiles that potentially threaten the U.S. naval fleet. Finally, U.S. armed forces require enhanced signals intelligence and jamming capabilities. In response to these emerging threats, we have engaged in the following:</w:t>
      </w:r>
    </w:p>
    <w:p>
      <w:pPr>
        <w:spacing w:after="0" w:line="52" w:lineRule="exact"/>
        <w:rPr>
          <w:sz w:val="20"/>
          <w:szCs w:val="20"/>
          <w:color w:val="auto"/>
        </w:rPr>
      </w:pPr>
    </w:p>
    <w:p>
      <w:pPr>
        <w:ind w:left="640" w:hanging="321"/>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provide the core radar processing on both the Aegis ballistic missile defense system as well as the Patriot missile system, a ground-based missile defense platform;</w:t>
      </w:r>
    </w:p>
    <w:p>
      <w:pPr>
        <w:spacing w:after="0" w:line="35"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provide advanced RF, microwave and digital products for the U.S. Navy's SEWIP Block 2 program, designed to upgrade the Naval Surface Fleet EW capability and counteract a range of new emerging threats;</w:t>
      </w:r>
    </w:p>
    <w:p>
      <w:pPr>
        <w:spacing w:after="0" w:line="35"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provide radar processing capabilities for the F-22 Raptor and F-35 Joint Strike Fighter, the latest generation of U.S. stealth-enabled fighters;</w:t>
      </w:r>
    </w:p>
    <w:p>
      <w:pPr>
        <w:spacing w:after="0" w:line="101" w:lineRule="exact"/>
        <w:rPr>
          <w:rFonts w:ascii="Arial" w:cs="Arial" w:eastAsia="Arial" w:hAnsi="Arial"/>
          <w:sz w:val="17"/>
          <w:szCs w:val="17"/>
          <w:color w:val="auto"/>
        </w:rPr>
      </w:pPr>
    </w:p>
    <w:p>
      <w:pPr>
        <w:ind w:left="640" w:right="20" w:hanging="321"/>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provide RF and microwave content for the U.S. Airforce F-15 EW upgrade program, designed to provide fighter jets with advanced radar warning and countermeasures capabilities. This is applicable to both U.S. DoD and foreign military sales; and</w:t>
      </w:r>
    </w:p>
    <w:p>
      <w:pPr>
        <w:spacing w:after="0" w:line="35"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respond to the need for the modernization and upgrades to radar capabilities on the F-16, we recently achieved a new design win for the next generation of the Scalable Agile Beam Radar, or SABR, program.</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The long-term DoD budget pressure is pushing more dollars toward upgrades of the electronic sub-systems on existing platforms, which may increase demand for our products</w:t>
      </w:r>
      <w:r>
        <w:rPr>
          <w:rFonts w:ascii="Arial" w:cs="Arial" w:eastAsia="Arial" w:hAnsi="Arial"/>
          <w:sz w:val="18"/>
          <w:szCs w:val="18"/>
          <w:color w:val="auto"/>
        </w:rPr>
        <w:t>. The DoD is moving from major new weapons systems developments to upgrades of the electronic sub-systems on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platforms. These upgrades are expected to include more sensors, signal processing, ISR algorithms, multi-intelligence fusion exploitation, computing and communications. We believe that upgrades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provide new urgent war fighting capability, driven by combatant commanders, are occurring more rapidly than traditional defense prime contractors can easily react to. We believe these trends will cause defense prime contractors to increasingly seek out our high performance, cost-effective open architecture products.</w:t>
      </w:r>
    </w:p>
    <w:p>
      <w:pPr>
        <w:spacing w:after="0" w:line="12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i w:val="1"/>
          <w:iCs w:val="1"/>
          <w:color w:val="auto"/>
        </w:rPr>
        <w:t>Defense procurement reform is causing the defense prime contractors to outsource more work to best-of-breed companies</w:t>
      </w:r>
      <w:r>
        <w:rPr>
          <w:rFonts w:ascii="Arial" w:cs="Arial" w:eastAsia="Arial" w:hAnsi="Arial"/>
          <w:sz w:val="17"/>
          <w:szCs w:val="17"/>
          <w:color w:val="auto"/>
        </w:rPr>
        <w:t>. The U.S. government is</w:t>
      </w:r>
      <w:r>
        <w:rPr>
          <w:rFonts w:ascii="Arial" w:cs="Arial" w:eastAsia="Arial" w:hAnsi="Arial"/>
          <w:sz w:val="17"/>
          <w:szCs w:val="17"/>
          <w:i w:val="1"/>
          <w:iCs w:val="1"/>
          <w:color w:val="auto"/>
        </w:rPr>
        <w:t xml:space="preserve"> </w:t>
      </w:r>
      <w:r>
        <w:rPr>
          <w:rFonts w:ascii="Arial" w:cs="Arial" w:eastAsia="Arial" w:hAnsi="Arial"/>
          <w:sz w:val="17"/>
          <w:szCs w:val="17"/>
          <w:color w:val="auto"/>
        </w:rPr>
        <w:t>intensely focused on making systems more affordable and shortening their development time. As a company that provides commercial items to the defense industry, we believe our products are often more affordable than products with the same functionality developed by a defense prime contractor. Defense prime contractors are increasingly being asked to work under firm fixed price contract awards, which can pressure profit margins and increase program risk. Defense prime contractors are also being asked to produce systems much more rapidly than they have in the past. In addition, the U.S. government is demanding more use of commercial items and open system architectures. In this budget environment, there are fewer research and development dollars available with which defense prime contractors can invest early-on to differentiate their offerings while competing for new program awards or re-competes. As a result, defense prime contractors are generally trying to adjust their cost model from a high fixed cost model to a variable cost model. All of these factors are forcing the defense prime contractors to outsource more work to best-of-breed subcontractors, and we have transformed our business model over the last several years to address these long-term outsourcing needs and other trends.</w:t>
      </w:r>
    </w:p>
    <w:p>
      <w:pPr>
        <w:spacing w:after="0" w:line="12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 xml:space="preserve">A Growing Role in Big Data. </w:t>
      </w:r>
      <w:r>
        <w:rPr>
          <w:rFonts w:ascii="Arial" w:cs="Arial" w:eastAsia="Arial" w:hAnsi="Arial"/>
          <w:sz w:val="17"/>
          <w:szCs w:val="17"/>
          <w:color w:val="auto"/>
        </w:rPr>
        <w:t>In a world of increasing information flow, the intelligence community and DoD are faced with the problem of processing</w:t>
      </w:r>
      <w:r>
        <w:rPr>
          <w:rFonts w:ascii="Arial" w:cs="Arial" w:eastAsia="Arial" w:hAnsi="Arial"/>
          <w:sz w:val="17"/>
          <w:szCs w:val="17"/>
          <w:i w:val="1"/>
          <w:iCs w:val="1"/>
          <w:color w:val="auto"/>
        </w:rPr>
        <w:t xml:space="preserve"> </w:t>
      </w:r>
      <w:r>
        <w:rPr>
          <w:rFonts w:ascii="Arial" w:cs="Arial" w:eastAsia="Arial" w:hAnsi="Arial"/>
          <w:sz w:val="17"/>
          <w:szCs w:val="17"/>
          <w:color w:val="auto"/>
        </w:rPr>
        <w:t>extremely large volumes of data, and transforming that data into actionable intelligence. We have technologies and solutions that are currently being used, and will be seeing increased usage moving forward, for these types of applications. We will continue to invest in technologies and service capabilities that enhance our value in this important area. We leverage both traditional computing models and increasingly leverage cloud-based applications and analytic processes to allow us to efficiently process and analyze Big Data on shared application platforms. In May 2013, we announced and opened our new Big Data development center at our Mercury Intelligence Systems facility in Aurora, Colorado.</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17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strategy is built around our key strengths as a best-of-breed provider of commercially developed, open sensor and Big Data processing systems, software and services for critical commercial, defense and intelligence applications. By driving this strategy consistently, we are able to help our customers, mostly defense prime contractors, and the intelligence community, to reduce program cost, minimize technical risk, and stay on-schedule. Tactically, we have a well earned reputation of relentless execution on behalf of our customers that supports the successful evolution of our strategy.</w:t>
      </w:r>
    </w:p>
    <w:p>
      <w:pPr>
        <w:spacing w:after="0" w:line="100"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intend to accelerate our strategic direction through continued investment in advanced new products and solutions development in the fields of radio frequency, analog-to-digital and digital to analog conversion, advanced multi- and many-core sensor processing systems including GPUs, embedded security, digital storage, and digital radio frequency memory ("DRFM") solutions as well as software defined communications capabilities. We leverage our Services and Systems Integration business, or SSI, to accelerate our move to become a commercial outsourcing partner to the large defense prime contractors as they seek the more rapid design, development and delivery of affordable, best-of-breed solutions within the markets we serve. Services-led engagements in SSI can help lead to long-term production sub-system annuity revenues that will continue long after the initial services are delivered. This business model positions us to be paid for work we would have previously expensed through our own income statement, to team concurrently with multiple defense prime contractors as they pursue new business with the government, and to engage with our customers much earlier in the design cycle and ahead of our competition. In fiscal 2013, we have substantially added to our technology portfolio by adding capabilities in RF and microwave subsystems and components as critical building blocks to support programs in EW, electronic attack ("EA"), and electronic countermeasures ("ECM").</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Key elements of our strategy to accomplish our continued growth objectives include:</w:t>
      </w:r>
    </w:p>
    <w:p>
      <w:pPr>
        <w:spacing w:after="0" w:line="17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i w:val="1"/>
          <w:iCs w:val="1"/>
          <w:color w:val="auto"/>
        </w:rPr>
        <w:t xml:space="preserve">Achieve Design Wins on High Growth, High Priority Defense Programs. </w:t>
      </w:r>
      <w:r>
        <w:rPr>
          <w:rFonts w:ascii="Arial" w:cs="Arial" w:eastAsia="Arial" w:hAnsi="Arial"/>
          <w:sz w:val="17"/>
          <w:szCs w:val="17"/>
          <w:color w:val="auto"/>
        </w:rPr>
        <w:t>We believe that the most significant long-term, leading indicator in our</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is the number and probable value of design wins awarded. We believe our advanced embedded sensor processing solutions position us well going forward to capture design wins on key high growth, high priority defense programs within our targeted segments of the C4ISR market. We have won designs in persistent ISR related signals intelligence payloads on UAVs and other aerial platforms. As a result of these successes, we now have significant content on all major UAV platforms, including Global Hawk, Predator, Triton (previously known as Broad Area Maritime Surveillance or "BAMS"), Reaper and Gorgon Stare. Our ballistic missile defense wins include additional designs on the Aegis program, as well as wins on the Patriot missile program. In EW, we have won key designs related to the U.S. Navy's SEWIP program and the Ships Signal Exploitation Equipment ("SSEE") programs. Additional wins in the critical EW space include the Navy's Filthy Badger and Filthy Buzzard programs, focusing on vulnerability assessment and training for manned aircraft. Together, these wins represent substantial opportunity for us in the years ahead.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 xml:space="preserve">Continue to Provide Excellent Performance on Our Existing Programs. </w:t>
      </w:r>
      <w:r>
        <w:rPr>
          <w:rFonts w:ascii="Arial" w:cs="Arial" w:eastAsia="Arial" w:hAnsi="Arial"/>
          <w:sz w:val="17"/>
          <w:szCs w:val="17"/>
          <w:color w:val="auto"/>
        </w:rPr>
        <w:t>The foundation for our growth remains our continued involvement with existing</w:t>
      </w:r>
      <w:r>
        <w:rPr>
          <w:rFonts w:ascii="Arial" w:cs="Arial" w:eastAsia="Arial" w:hAnsi="Arial"/>
          <w:sz w:val="17"/>
          <w:szCs w:val="17"/>
          <w:i w:val="1"/>
          <w:iCs w:val="1"/>
          <w:color w:val="auto"/>
        </w:rPr>
        <w:t xml:space="preserve"> </w:t>
      </w:r>
      <w:r>
        <w:rPr>
          <w:rFonts w:ascii="Arial" w:cs="Arial" w:eastAsia="Arial" w:hAnsi="Arial"/>
          <w:sz w:val="17"/>
          <w:szCs w:val="17"/>
          <w:color w:val="auto"/>
        </w:rPr>
        <w:t>programs that are in late-stage development or currently in production, such as Aegis, the F-35 Joint Strike Fighter, Patriot missile, the F-16 and F-15 aircrafts, the Global Hawk, Predator and Reaper UAVs, the P-8 MMA as well as the Suite of Integrated Radio Frequency Countermeasures ("SIRFIC") program. As part of a long-term reprioritization, the DoD is shifting its emphasis from major new weapons systems development to upgrades of existing programs and platforms. We believe the upgrades on these programs focus on four key areas: improved sensors; more advanced on-board embedded computing; enhanced ISR algorithms; and better communications on and off the platform. A key element of our strategy is to continue to provide high performance, cost-effective solutions on these programs and for these customers as a best-of-breed provider.</w:t>
      </w:r>
    </w:p>
    <w:p>
      <w:pPr>
        <w:spacing w:after="0" w:line="12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i w:val="1"/>
          <w:iCs w:val="1"/>
          <w:color w:val="auto"/>
        </w:rPr>
        <w:t xml:space="preserve">Pursue Strategic, Capability-Enhancing Acquisitions. </w:t>
      </w:r>
      <w:r>
        <w:rPr>
          <w:rFonts w:ascii="Arial" w:cs="Arial" w:eastAsia="Arial" w:hAnsi="Arial"/>
          <w:sz w:val="17"/>
          <w:szCs w:val="17"/>
          <w:color w:val="auto"/>
        </w:rPr>
        <w:t>We will continue to pursue selective strategic acquisitions of profitable growing businesses to</w:t>
      </w:r>
      <w:r>
        <w:rPr>
          <w:rFonts w:ascii="Arial" w:cs="Arial" w:eastAsia="Arial" w:hAnsi="Arial"/>
          <w:sz w:val="17"/>
          <w:szCs w:val="17"/>
          <w:i w:val="1"/>
          <w:iCs w:val="1"/>
          <w:color w:val="auto"/>
        </w:rPr>
        <w:t xml:space="preserve"> </w:t>
      </w:r>
      <w:r>
        <w:rPr>
          <w:rFonts w:ascii="Arial" w:cs="Arial" w:eastAsia="Arial" w:hAnsi="Arial"/>
          <w:sz w:val="17"/>
          <w:szCs w:val="17"/>
          <w:color w:val="auto"/>
        </w:rPr>
        <w:t>augment our businesses using the following strategies: adding technologies or products that expand MCE's core business by competing more effectively in the ISR, EW, and missile defense markets; adding content and services to the defense and intelligence programs and platforms in which we currently participate or could participate in the future; enhancing key customer relationships and forming relationships with potential new customers; and adding a platform company that we can build around in our intelligence business. Our acquisitions of LNX, KOR, and PDI in fiscal 2011 and 2012 support all three of these objectives. Adding LNX to our business significantly strengthened our product portfolio in radio frequency and our capabilities in signals intelligence and EW. Similarly, adding KOR has brought capabilities with DRFM technologies that combine well with the RF domain expertise of LNX and the embedded computing and packaging design expertise developed organically at Mercury. The acquisition of the former PDI (now MIS) has expanded our Big Data analytics capabilities within certain intelligence agencies. Our acquisition of Micronetics in fiscal 2013 expands our RF and microwave technology and subsystems integration capabilities. Our acquisition strategy also focuses on broadening our customer base.</w:t>
      </w:r>
    </w:p>
    <w:p>
      <w:pPr>
        <w:spacing w:after="0" w:line="12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 xml:space="preserve">Capitalize on Outsourcing and Other Dynamics in the Defense and Intelligence Industries. </w:t>
      </w:r>
      <w:r>
        <w:rPr>
          <w:rFonts w:ascii="Arial" w:cs="Arial" w:eastAsia="Arial" w:hAnsi="Arial"/>
          <w:sz w:val="17"/>
          <w:szCs w:val="17"/>
          <w:color w:val="auto"/>
        </w:rPr>
        <w:t>We are well-positioned to take advantage of several</w:t>
      </w:r>
      <w:r>
        <w:rPr>
          <w:rFonts w:ascii="Arial" w:cs="Arial" w:eastAsia="Arial" w:hAnsi="Arial"/>
          <w:sz w:val="17"/>
          <w:szCs w:val="17"/>
          <w:i w:val="1"/>
          <w:iCs w:val="1"/>
          <w:color w:val="auto"/>
        </w:rPr>
        <w:t xml:space="preserve"> </w:t>
      </w:r>
      <w:r>
        <w:rPr>
          <w:rFonts w:ascii="Arial" w:cs="Arial" w:eastAsia="Arial" w:hAnsi="Arial"/>
          <w:sz w:val="17"/>
          <w:szCs w:val="17"/>
          <w:color w:val="auto"/>
        </w:rPr>
        <w:t>changing dynamics in the defense industry. Defense prime contractors are increasingly being awarded firm fixed price contracts. These contracts shift risk to the defense prime contractors, and as a result they are beginning to outsource increasing levels of sub-system development and production and other higher value program content. In addition, the U.S. government is shifting toward shorter program timelines, which require increased flexibility and responsiveness from defense prime contractors. Finally, more programs are moving to open systems architectures encompassing best-of-breed capabilities. We believe that these dynamics will result in defense prime contractors outsourcing increasing levels of program content to us as a best-of-breed provider of differentiated products, sub-systems engineering services and system integration.</w:t>
      </w:r>
    </w:p>
    <w:p>
      <w:pPr>
        <w:spacing w:after="0" w:line="124"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i w:val="1"/>
          <w:iCs w:val="1"/>
          <w:color w:val="auto"/>
        </w:rPr>
        <w:t xml:space="preserve">Leverage Our Research and Development Efforts to Anticipate Market Needs and Maintain our Technology Leadership. </w:t>
      </w:r>
      <w:r>
        <w:rPr>
          <w:rFonts w:ascii="Arial" w:cs="Arial" w:eastAsia="Arial" w:hAnsi="Arial"/>
          <w:sz w:val="17"/>
          <w:szCs w:val="17"/>
          <w:color w:val="auto"/>
        </w:rPr>
        <w:t>Our high performance, quick</w:t>
      </w:r>
      <w:r>
        <w:rPr>
          <w:rFonts w:ascii="Arial" w:cs="Arial" w:eastAsia="Arial" w:hAnsi="Arial"/>
          <w:sz w:val="17"/>
          <w:szCs w:val="17"/>
          <w:i w:val="1"/>
          <w:iCs w:val="1"/>
          <w:color w:val="auto"/>
        </w:rPr>
        <w:t xml:space="preserve"> </w:t>
      </w:r>
      <w:r>
        <w:rPr>
          <w:rFonts w:ascii="Arial" w:cs="Arial" w:eastAsia="Arial" w:hAnsi="Arial"/>
          <w:sz w:val="17"/>
          <w:szCs w:val="17"/>
          <w:color w:val="auto"/>
        </w:rPr>
        <w:t>reaction sub-systems and capabilities require increasingly more sophisticated hardware, software and middleware technology. In addition, as the defense and intelligence industries shift to products with open systems architectures, we believe that our software expertise will become increasingly important and differentiates us from many of our competitors as we have the ability to map complex algorithms onto size, weight, and power-constrained on-board embedded sensor processing solutions. We have substantially and will continue to refresh both our sensor processing and multicomputer product lines while increasing our product development velocity. Faster product development velocity aligns us with the U.S. government’s demands on the defense prime contractors for quick reaction capabilities. By shortening our product development times, we have been able to quickly launch the products we need to win new designs from the defense prime contractor community that will ultimately generate bookings and revenue for us. We intend to continue to utilize company and customer-funded research and development, as well as our acquisition strategy, to develop technologies, products and solutions that have significant potential for near-term and long-term value creation in both the defense and intelligence markets. We devote significant resources in order to anticipate the future requirements in our target defense and intelligence markets, including monitoring and pioneering advances in advanced embedded computing hardware and software, anticipating changes in U.S. government spending and procurement practices and leveraging insight from direct interaction with our customers.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75"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We believe the following competitive strengths will allow us to take advantage of the evolving trends in our industry and successfully pursue our business strategy:</w:t>
      </w:r>
    </w:p>
    <w:p>
      <w:pPr>
        <w:spacing w:after="0" w:line="11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 xml:space="preserve">Best-of-Breed Sub-System Solutions Provider for the C4ISR and EW Markets. </w:t>
      </w:r>
      <w:r>
        <w:rPr>
          <w:rFonts w:ascii="Arial" w:cs="Arial" w:eastAsia="Arial" w:hAnsi="Arial"/>
          <w:sz w:val="17"/>
          <w:szCs w:val="17"/>
          <w:color w:val="auto"/>
        </w:rPr>
        <w:t>Through our commercially-developed, high-performance embedded</w:t>
      </w:r>
      <w:r>
        <w:rPr>
          <w:rFonts w:ascii="Arial" w:cs="Arial" w:eastAsia="Arial" w:hAnsi="Arial"/>
          <w:sz w:val="17"/>
          <w:szCs w:val="17"/>
          <w:i w:val="1"/>
          <w:iCs w:val="1"/>
          <w:color w:val="auto"/>
        </w:rPr>
        <w:t xml:space="preserve"> </w:t>
      </w:r>
      <w:r>
        <w:rPr>
          <w:rFonts w:ascii="Arial" w:cs="Arial" w:eastAsia="Arial" w:hAnsi="Arial"/>
          <w:sz w:val="17"/>
          <w:szCs w:val="17"/>
          <w:color w:val="auto"/>
        </w:rPr>
        <w:t>sensor processing solutions, we address the challenges associated with the collection and processing of massive, continuous streams of data and dramatically shorten the time that it takes to give information to U.S. armed forces at the tactical edge. Our solutions are specifically designed for flexibility and interoperability, allowing our products to be easily integrated into larger system-level solutions. Our ability to integrate sub-system-level capabilities allows us to provide solutions that most effectively address the mission-critical challenges within the C4ISR market, including multi-intelligence data fusion and intelligence processing onboard the platform. We leverage our deep expertise in embedded multi-computing, embedded sensor processing, with the recent addition of best of breed RF and microwave subsystems and components, to provide solutions across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sensor processing chain. Our deep domain knowledge within MDS along with Big Data prowess within MIS round-out our full capabilities in service to our prime contractor, DoD, and intelligence community customers.</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Diverse Mix of Stable, High Growth Programs Aligned with DoD Funding Priorities. </w:t>
      </w:r>
      <w:r>
        <w:rPr>
          <w:rFonts w:ascii="Arial" w:cs="Arial" w:eastAsia="Arial" w:hAnsi="Arial"/>
          <w:sz w:val="18"/>
          <w:szCs w:val="18"/>
          <w:color w:val="auto"/>
        </w:rPr>
        <w:t>Our products and solutions have been deployed on more than 300</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 programs and over 25 different defense prime contractors. We serve high priority markets for the DoD and foreign militaries, such as UAVs, ballistic missile defense, airborne reconnaissance, EW, ECM, and have secured positions on mission-critical programs including Aegis, Predator and Reaper UAVs, F-35 Joint Strike Fighter, Patriot missile, and SEWIP. In addition, we consistently leverage our technology and capability across 15 to 20 programs on an annual basis, providing significant operating leverage and cost savings.</w:t>
      </w:r>
    </w:p>
    <w:p>
      <w:pPr>
        <w:spacing w:after="0" w:line="13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i w:val="1"/>
          <w:iCs w:val="1"/>
          <w:color w:val="auto"/>
        </w:rPr>
        <w:t xml:space="preserve">Value-Added Sub-System Solution Provider for Defense Prime Contractors. </w:t>
      </w:r>
      <w:r>
        <w:rPr>
          <w:rFonts w:ascii="Arial" w:cs="Arial" w:eastAsia="Arial" w:hAnsi="Arial"/>
          <w:sz w:val="16"/>
          <w:szCs w:val="16"/>
          <w:color w:val="auto"/>
        </w:rPr>
        <w:t>Because of the DoD’s shift towards a firm fixed price contract procurement</w:t>
      </w:r>
      <w:r>
        <w:rPr>
          <w:rFonts w:ascii="Arial" w:cs="Arial" w:eastAsia="Arial" w:hAnsi="Arial"/>
          <w:sz w:val="16"/>
          <w:szCs w:val="16"/>
          <w:i w:val="1"/>
          <w:iCs w:val="1"/>
          <w:color w:val="auto"/>
        </w:rPr>
        <w:t xml:space="preserve"> </w:t>
      </w:r>
      <w:r>
        <w:rPr>
          <w:rFonts w:ascii="Arial" w:cs="Arial" w:eastAsia="Arial" w:hAnsi="Arial"/>
          <w:sz w:val="16"/>
          <w:szCs w:val="16"/>
          <w:color w:val="auto"/>
        </w:rPr>
        <w:t>model, an increasingly uncertain budgetary and procurement environment, and increased budget pressures from both the U.S. and allied governments, defense prime contractors are accelerating their move towards outsourcing opportunities to help mitigate the increased program and financial risk. Our differentiated advanced sensor processing solutions offer meaningful capabilities upgrades for our customers and enable the rapid, cost-effective deployment of systems to the end customer. We believe our open architecture sub-systems offer differentiated sensor processing and data analytics capabilities that cannot be easily replicated. Our solutions minimize program risk, maximize application portability, and accelerate customers’ time to market.</w:t>
      </w:r>
    </w:p>
    <w:p>
      <w:pPr>
        <w:spacing w:after="0" w:line="11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i w:val="1"/>
          <w:iCs w:val="1"/>
          <w:color w:val="auto"/>
        </w:rPr>
        <w:t xml:space="preserve">MDS Enables the Delivery of Platform-Ready Solutions for Classified Programs. </w:t>
      </w:r>
      <w:r>
        <w:rPr>
          <w:rFonts w:ascii="Arial" w:cs="Arial" w:eastAsia="Arial" w:hAnsi="Arial"/>
          <w:sz w:val="16"/>
          <w:szCs w:val="16"/>
          <w:color w:val="auto"/>
        </w:rPr>
        <w:t>MDS was created in fiscal 2013 to enable us to directly pursue</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integration opportunities within the DoD and U.S. intelligence community. On top of that, we now have the ability, within MDS, to draw on the critical subsystem innovations from MCE. We believe the development work through MDS will provide us leverage and implement key classified government intellectual property, including critical intelligence and signal processing algorithms. Within MDS, we will also be able to leverage our combination of domain knowledge, plus building blocks from MCE to serve the needs of our core defense prime contractor customer base. We believe that MDS also provides us the opportunity to directly integrate these building blocks along with intellectual property onto our existing MCE business, enabling us to deliver platform-ready integrated ISR sub-systems that leverage our open architecture solutions and address key government technology and procurement concerns. MDS operations in this environment will also influence future product development so that critical future needs can be met in a timely manner.</w:t>
      </w:r>
    </w:p>
    <w:p>
      <w:pPr>
        <w:spacing w:after="0" w:line="11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Long-Standing Industry Relationships</w:t>
      </w:r>
      <w:r>
        <w:rPr>
          <w:rFonts w:ascii="Arial" w:cs="Arial" w:eastAsia="Arial" w:hAnsi="Arial"/>
          <w:sz w:val="18"/>
          <w:szCs w:val="18"/>
          <w:color w:val="auto"/>
        </w:rPr>
        <w:t>. We have established long-standing relationships with defense prime contractors, the U.S. government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key organizations in the defense and intelligence industries over our 30 years in the defense electronics industry. Our customers include BAE Systems, the Boeing Company, ITT Exelis, Lockheed Martin Corporation, Northrop Grumman Corporation, and Raytheon Company. Over this period, we have become recognized for our ability to develop new technologies and meet stringent program requirements. We believe we are well-positioned to maintain these high-level customer engagements.</w:t>
      </w:r>
    </w:p>
    <w:p>
      <w:pPr>
        <w:spacing w:after="0" w:line="13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Proven Management Team. </w:t>
      </w:r>
      <w:r>
        <w:rPr>
          <w:rFonts w:ascii="Arial" w:cs="Arial" w:eastAsia="Arial" w:hAnsi="Arial"/>
          <w:sz w:val="18"/>
          <w:szCs w:val="18"/>
          <w:color w:val="auto"/>
        </w:rPr>
        <w:t>Over the past several years, our senior management team has refocused the Company on its economic core, developed a</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compelling strategy for the defense and intelligence markets and restored profitability to the business. Having completed these critical steps to rebuild the Company and with a senior management team with significant experience in growing and scaling businesses, both through operating execution and acquisitions, we believe that we have demonstrated our operational capabilities and we are well-positioned for the next phase to transform, grow and scale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 and Products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and Systems Integration (“SSI”)</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part of our strategy, we are continuing to invest in our SSI capability. SSI is tasked with partnering with defense prime contractors to deliver sub-system level engineering expertise as well as ongoing systems integration services. Our SSI capability addresses our strategy to capitalize on the multi-billion dollar sub-system market within the defense embedded electronics market segment.</w:t>
      </w:r>
    </w:p>
    <w:p>
      <w:pPr>
        <w:spacing w:after="0" w:line="12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As the U.S. government mandates more outsourcing and open standards, a major shift is occurring within the defense prime contractor community towards procurement of integrated sub-systems that enable quick application level porting through standards-based methodologies. We believe that our core expertise in this area is well aligned to capitalize on this trend. By leveraging our open architecture and high performance modular product set, we provide defense prime contractors with rapid deployment and quick reaction capabilities through our professional services and systems integration offerings. This results in less risk for the defense prime contractors, shortened development cycles, quicker solution deployment and reduced lifecycle costs.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Products</w:t>
      </w:r>
    </w:p>
    <w:p>
      <w:pPr>
        <w:spacing w:after="0" w:line="17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actively design, market and sell complete software and middleware environments to accelerate development and execution of complex signal and image processing applications on a broad range of heterogeneous, multi-computing platforms. Our software suite is based on open standards and includes heterogeneous processor support with extensive high performance math libraries, multi-computing fabric support, net-centric and system management enabling services, extended operating system services, board support packages and development tools.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software is developed using some of the most advanced integrated development environments ("IDE’s"), such as Eclipse, and our work is done on multiple platforms including open source platforms such as Linux. Our software development teams are schooled in the most up-to-date software development methodologies.</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software and middleware provides customer application-level algorithm portability across rapidly evolving hardware processor types with math and input/output, or I/O, interfaces running at industry leading performance rates. In order to develop, test and integrate software ahead of hardware availability, we have invested in the notion of a Virtual Multi-Computer. The Virtual Multi-Computer model allows for concurrent engineering internally and with customers to accelerate time to deployment, improve quality and reduce development costs. In most cases, these software products are bundled together with broader solutions including hardware and/or services, while in other cases they are licensed separately.</w:t>
      </w:r>
    </w:p>
    <w:p>
      <w:pPr>
        <w:spacing w:after="0" w:line="119"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 xml:space="preserve">Our multi-computer software packages are marketed and licensed under the </w:t>
      </w:r>
      <w:r>
        <w:rPr>
          <w:rFonts w:ascii="Arial" w:cs="Arial" w:eastAsia="Arial" w:hAnsi="Arial"/>
          <w:sz w:val="18"/>
          <w:szCs w:val="18"/>
          <w:i w:val="1"/>
          <w:iCs w:val="1"/>
          <w:color w:val="auto"/>
        </w:rPr>
        <w:t>MultiCore Plus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registered trademark. These software products are a key differentiator for our systems business and represent only a modest amount of stand-alone revenue. We generally charge a user-based development license fee and bundle software run-time licenses with our hardware. We offer a standards-based software value proposition to our customers and provide this offer through several integrated software packages and service offerings.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Hardware Products</w:t>
      </w:r>
    </w:p>
    <w:p>
      <w:pPr>
        <w:spacing w:after="0" w:line="171" w:lineRule="exact"/>
        <w:rPr>
          <w:sz w:val="20"/>
          <w:szCs w:val="20"/>
          <w:color w:val="auto"/>
        </w:rPr>
      </w:pPr>
    </w:p>
    <w:p>
      <w:pPr>
        <w:jc w:val="both"/>
        <w:ind w:firstLine="432"/>
        <w:spacing w:after="0" w:line="247" w:lineRule="auto"/>
        <w:rPr>
          <w:sz w:val="20"/>
          <w:szCs w:val="20"/>
          <w:color w:val="auto"/>
        </w:rPr>
      </w:pPr>
      <w:r>
        <w:rPr>
          <w:rFonts w:ascii="Arial" w:cs="Arial" w:eastAsia="Arial" w:hAnsi="Arial"/>
          <w:sz w:val="17"/>
          <w:szCs w:val="17"/>
          <w:color w:val="auto"/>
        </w:rPr>
        <w:t>We offer a broad family of products designed to meet the full range of requirements in compute-intensive, signal processing and image processing applications, multi-computer interconnect fabrics, sensor interfaces and command and control functions. To maintain a competitive advantage, we seek to leverage technology investments across multiple product lines. We are also influential in the industry-standard organizations associated with our market segments. For example, we started the OpenVPX</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initiative with the goal of providing customers with multi-vendor interoperable hardware built to well-defined system standards. We continue to leverage our embedded high performance processing technologies with our Intel server-class processing products as well as graphics based processor ("GPGPU") products. While this multi-computing and embedded processing technology is a core skill of Mercury Systems, the size, weight, and power ("SWaP") constraints that occur concurrent with the high performance embedded processing create unique challenges. For example, with the heat build-up involved in small subsystems, we introduced a key innovation in fiscal 2013 designed to address this challenge. The technology is called Air-Flow-By</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and it allows previously unattainable levels of processing power within a small footprint by reducing heat so the processor can perform as designed.</w:t>
      </w:r>
    </w:p>
    <w:p>
      <w:pPr>
        <w:spacing w:after="0" w:line="14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Our hardware products are typically compute-intensive and require extremely high inter-processor bandwidth and high I/O capacity. These systems often must also meet significant size, weight and power constraints for use in aircraft, UAVs, ships and other vehicles, and be ruggedized for use in highly demanding use environments. They are used in both commercial industrial applications, such as ground radar air traffic control, and advanced defense applications, including space-time adaptive processing, synthetic aperture radar, airborne early warning, command, control, communication and information systems, mission planning, image intelligence and signal intelligence systems. Our products transform the massive streams of digital data created in these applications into usable information in real time. The systems can scale from a few processors to thousands of processors.</w:t>
      </w:r>
    </w:p>
    <w:p>
      <w:pPr>
        <w:spacing w:after="0" w:line="11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To address the current challenges facing the war fighter, our government and defense prime contractors, we have developed a new product architecture that supports a more dynamic, iterative, spiral development process by leveraging open architecture standards and leading-edge commercial technologies and products. Configured and productized as integrated sub-systems, customers can rapidly and cost-effectively port and adapt their applications to changing threats.</w:t>
      </w:r>
    </w:p>
    <w:p>
      <w:pPr>
        <w:spacing w:after="0" w:line="133"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6"/>
          <w:szCs w:val="16"/>
          <w:color w:val="auto"/>
        </w:rPr>
        <w:t>Our open architecture is carried throughout our entire Ensemble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 from the very small form-factor sub-systems to the high-end, where ultimate processing power and reliability is of paramount importance to the mission. Our commercially-developed hardware and software product capabilities cover the entire ISR spectrum from acquisition and digitization of the signal, to processing of the signal, through the exploitation and dissemination of the information. We work continuously to improve our hardware technology with an eye toward optimization of SWaP demands, as outlined above.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Product Development</w:t>
      </w:r>
    </w:p>
    <w:p>
      <w:pPr>
        <w:spacing w:after="0" w:line="17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Our research and development efforts are focused on developing new products and systems as well as enhancing existing hardware and software products in signal and image processing. Our research and development goal is to fully exploit and maintain our technological lead in the high-performance, real-time sensor processing industry. Expenditures for research and development amounted to $32.7 million in fiscal 2013, $46.0 million in fiscal 2012 and $44.5 million in fiscal 2011. During fiscal 2013, we addressed significant industry headwinds aggressively by aligning our cost structure to lower revenue levels via two restructuring actions. These initiatives reduced our operating expenses by $22 million annually. As of June 30, 2013, we had 199 employees, including hardware and software architects and design engineers, primarily engaged in engineering and research and product development activities. These individuals, in conjunction with our sales team, also devote a portion of their time to assisting customers in utilizing our products, developing new uses for these products and anticipating customer requirements for new products.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Mercury Commercial Electronics</w:t>
      </w:r>
    </w:p>
    <w:p>
      <w:pPr>
        <w:spacing w:after="0" w:line="17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majority of our sales are produced in International Organization for Standardization, or ISO, 9001:2000 quality system certified facilities. The current scope of delivered hardware products includes commercial and industrial class printed circuit board assemblies (modules) and complex chassis systems. Our manufacturing operations consist primarily of materials planning and procurement, final assembly and test and logistics (inventory and traffic management). We subcontract the assembly and testing of most embedded multi-computing products to contract manufacturers in the U.S. to build to our specifications. We currently rely primarily on one contract manufacturer. We have a comprehensive quality and process control plan for each of our products, which include an effective supply chain management program and the use of automated inspection and test equipment to assure the quality and reliability of our products. We perform most post sales service obligations (both warranty and other lifecycle support) in-house through a dedicated service and repair operation. We periodically review our contract manufacturing capabilities to ensure we are optimized for the right mix of quality, affordability, performance and on-time delivery.</w:t>
      </w:r>
    </w:p>
    <w:p>
      <w:pPr>
        <w:spacing w:after="0" w:line="14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are also in the process of building out a state-of-the-art microelectronics facility in Hudson, NH that will be opened during fiscal 2014. This new facility will consolidate current microelectronics operations in Salem, NH and Hudson, NH. This new facility will be specifically aimed at providing best of breed, scalable manufacturing within our critical RF and microwave businesses. We will leverage best practices in design, development, manufacturing and materials handling at this facility. The facility will be part of our Advanced Microelectronics Centers, which will include our RF/microwave subsystems group in West Caldwell, NJ. Over time, we may roll-out additional Advanced Microelectronics Centers to meet various customer requirements. The Advanced Microelectronics Centers will design, build and test both RF and microwave components and subsystems in support of a variety of key customer programs.</w:t>
      </w:r>
    </w:p>
    <w:p>
      <w:pPr>
        <w:spacing w:after="0" w:line="13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Although we generally use standard parts and components for our products, certain components, including custom designed ASICs, static random access memory, FPGAs, microprocessors and other third-party chassis peripherals (single board computers, power supplies, blowers, etc.), are currently available only from a single source or from limited sources. With the exception of certain components that have gone “end of life”, we strive to maintain minimal supply commitments from our vendors and generally purchase components on a purchase order basis as opposed to entering into long-term procurement agreements with vendors. We have generally been able to obtain adequate supplies of components in a timely manner from current vendors or, when necessary to meet production needs, from alternate vendors. We believe that, in most cases, alternate vendors can be identified if current vendors are unable to fulfill needs.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Mercury Defense Systems</w:t>
      </w:r>
    </w:p>
    <w:p>
      <w:pPr>
        <w:spacing w:after="0" w:line="225"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MDS designs, develops, and manufactures digital radio frequency memory (“DRFM”) units for a variety of modern EW applications, as well as radar environment simulation and test systems for defense applications.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Mercury Intelligence Systems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2013, MIS did not manufacture hardware.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Mercury Commercial Electronics</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MCE operates in a highly competitive marketplace characterized by rapidly changing technology, frequent product performance improvements, increasing speed of deployment to align with warfighters’ needs, and evolving industry standards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requirements coming from our customers or the DoD. Competition typically occurs at the design stage of a prospective customer’s product, where the customer evaluates alternative technologies and design approaches.</w:t>
      </w:r>
    </w:p>
    <w:p>
      <w:pPr>
        <w:spacing w:after="0" w:line="116"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The principal competitive factors in our market are price/performance value proposition, available new products at the time of design win engagement, services and systems integration capability, effective marketing and sales efforts, and reputation in the market. Our competitive strengths include innovative engineering in both hardware and software products, sub-system design expertise, advanced packaging capability to deliver the most optimized size, weight and power solution possible, our ability to rapidly respond to varied customer requirements, and a track record of successfully supporting many high profile programs in both the commercial and defense markets. There are a limited number of competitors across the market segments and application types in which we compete. Some of these competitors are larger and have greater resources than us. Some of these competitors compete against us at purely a board-level, others at a sub-system level. We also compete with in-house design teams at our customers. The DoD as well as the defense prime contractors are pushing for more outsourcing of sub-system designs to mitigate risk and to enable concurrent design of the platform which ultimately leads to faster time to deployment. We have aligned our strategy to capitalize on that trend and are leveraging our long standing sub-system expertise to provide this value to our customers.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Mercury Defense Systems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MDS competes with many specialized providers of EW related solutions, test and simulation and SIGINT capabilities. These competitors range from small specialized pure play providers with limited solutions capabilities to full scale integrated providers who can provide large scale solutions and subsystems.</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work directly with the DoD as well as with defense prime contractors. We can help drive subsystem development and deployment in both a classified and unclassified environment. We can produce DRFM based ECM solutions for tactical, testing and training applications. We have developed, within MDS, high performance SIGINT payloads for small UAV platforms as well as powerful onboard UAV processor systems for real-time Wide Area Motion Imagery ("WAMI"). These systems digest multiple simultaneous image sources to product imagery for storage and exploitation. MDS has the ability to drive engineering experience, understanding of customer needs in critical domains, and then leverage MCE's building blocks, SWaP and packaging expertise and embedded processing legacy of excellence.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Mercury Intelligence Systems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MIS competes with numerous small scale professional services firms that provide solutions to the intelligence community. On occasion, we also compete with larger integrated consulting and system houses who provide Big Data services to the intelligence community.</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MIS also provides predictive analytics; tools that can differentiate between useful data and data that distracts. Finally we offer critical multi-intelligence analysis; our intelligence analysts know the difference between distractions and difference makers. With the right data and tools for the job, our subject matter experts are equipped to make a difference in interpreting information in real time.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Rights</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30, 2013, we held 39 patents of varying duration issued in the United States. We file U.S. patent applications and, where appropriate, foreign patent applications. We also file continuations to cover both new and improved designs and products. At present, we have several U.S. and foreign patent applications in process.</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 also rely on a combination of trade secret, copyright, and trademark laws, as well as contractual agreements, to safeguard our proprietary rights in technology and products. In seeking to limit access to sensitive information to the greatest practical extent, we routinely enter into confidentiality and assignment of invention agreements with each of our employees and consultants and nondisclosure agreements with our key customers and vendors.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As of June 30, 2013, we had a backlog of orders aggregating approximately $140.3 million, of which $113.2 million is expected to be delivered within the next twelve months. As of June 30, 2012, backlog was approximately $104.6 million. The defense backlog at June 30, 2013 was $117.2 million, a $15.7 million increase from June 30, 2012. We include in our backlog customer orders for products and services for which we have accepted signed purchase orders, as long as that order is scheduled to ship or invoice in whole, or in part, within the next 24 months. Orders included in backlog may be canceled or rescheduled by customers, although the customer may incur cancellation penalties depending on the timing of the cancellation. A variety of conditions, both specific to the individual customer and generally affecting the customer’s industry, may cause customers to cancel, reduce or delay orders that were previously made or anticipated. We cannot assure the timely replacement of canceled, delayed 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reduced orders. Significant or numerous cancellations, reductions or delays in orders by a customer or group of customers could materially and adversely affect our results of operations or our ability to predict future revenues. Backlog should not be relied upon as indicative of our revenues for any future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At June 30, 2013, we employed a total of 756 people excluding contractors, including 199 in research and development, 70 in sales and marketing, 337 in manufacturing and customer support and 150 in general and administrative functions. We have six employees located in Europe, one located in Japan, and 749 located in the United States. We do not have any employees represented by a labor organization, and we believe that our relations with our employees are good.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revenues were concentrated in three defense prime contractors including Lockheed Martin Corporation, Raytheon Company and Northrop Grumman Corporation for the years ended June 30, 2013, 2012 and 2011. These three defense prime contractors comprised 37%, 54% and 51% of our revenues in each of the years ended June 30, 2013, 2012 and 2011,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w:t>
      </w:r>
    </w:p>
    <w:p>
      <w:pPr>
        <w:spacing w:after="0" w:line="17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We maintain a website at </w:t>
      </w:r>
      <w:r>
        <w:rPr>
          <w:rFonts w:ascii="Arial" w:cs="Arial" w:eastAsia="Arial" w:hAnsi="Arial"/>
          <w:sz w:val="18"/>
          <w:szCs w:val="18"/>
          <w:i w:val="1"/>
          <w:iCs w:val="1"/>
          <w:color w:val="auto"/>
        </w:rPr>
        <w:t>www.mrcy.com</w:t>
      </w:r>
      <w:r>
        <w:rPr>
          <w:rFonts w:ascii="Arial" w:cs="Arial" w:eastAsia="Arial" w:hAnsi="Arial"/>
          <w:sz w:val="18"/>
          <w:szCs w:val="18"/>
          <w:color w:val="auto"/>
        </w:rPr>
        <w:t xml:space="preserve">. We make available on our website, free of charge, our annual report on Form 10-K, quarterly reports on Form 10-Q, and current reports on Form 8-K, including exhibits and amendments to those reports filed or furnished pursuant to Section 13(a) or 15(d) of the Securities Exchange Act of 1934, as soon as reasonably practicable after such reports are electronically filed with, or furnished to, the Securities and Exchange Commission (“SEC”). Our code of business conduct and ethics is also available on our website. We intend to disclose any future amendments to, or waivers from, our code of business conduct and ethics within four business days of the waiver or amendment through a website posting or by filing a current report on Form 8-K with the SEC. Information contained on our website does not constitute part of this report. Our reports filed with, or furnished to, the SEC are also available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EchoCore, Echotek, Ensemble, PowerStream, RACE++ and MultiCore Plus are registered trademarks, and Mercury Systems, Innovation that Matters, Air Flow-By, Application Ready Subsystem, ARS, POET, and StreamDirect are trademarks of Mercury Systems, Inc. OpenVPX is a trademark of the VMEbus International Trade Association. All other trademarks and registered trademarks are the property of their respective holders, and are hereby acknowledged.</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We depend heavily on defense electronics programs that incorporate our products and services, which may be only partially funded and are subject to potential termination and reductions and delays in government spending.</w:t>
      </w:r>
    </w:p>
    <w:p>
      <w:pPr>
        <w:spacing w:after="0" w:line="112"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Sales of our application ready subsystems, digital, microwave, RF components, and related services, primarily as an indirect subcontractor or team member with defense prime contractors, and in some cases directly, to the U.S. government and its agencies, as well as foreign governments and agencies, accounted for approximately 91%, 94%, and 78% of our total net revenues in fiscal 2013, 2012, and 2011, respectively. Our products and services are incorporated into many different domestic and international defense programs. Over the lifetime of a defense program, the award of many different individual contracts and subcontracts may impact our products’ requirements. The funding of U.S. government programs is subject to Congressional appropriations. Although multiple-year contracts may be planned in connection with major procurements, Congress generally appropriates funds on a fiscal year basis even though a program may continue for many years. Consequently, programs are often only partially funded initially, and additional funds are committed only as Congress makes further appropriations and prime contracts receive such funding. The reduction or delay in funding or termination of a government program in which we are involved would result in a loss of or delay in receiving anticipated future revenues attributable to that program and contracts or orders received. The U.S. government could reduce or terminate a prime contract under which we are a subcontractor or team member irrespective of the quality of our products or services. The termination of a program or the reduction in or failure to commit additional funds to a program in which we are involved could negatively impact our revenues and have a material adverse effect on our financial condition and results of operations. The U.S. defense budget frequently operates under a continuing budget resolution, which increases revenue uncertainty and volatility. During fiscal 2013, the Presidential election, bipartisan gridlock in Congress, a continuing budget resolution, and the implementation of defense budget sequestration impacted our revenues and increased uncertainty in our business and financial planning. For fiscal 2014, the potential for further bipartisan gridlock in Congress, another continuing budget resolution, and the defense industry operating under sequestration may continue to adversely impact our revenues and increase uncertainty in our business and financial planning. In addition, delays in the funding for new or existing programs, or of the defense appropriation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generally, could negatively impact our revenues and have a material adverse effect on our financial condition and results of operations for the period in which such revenues were originally anticipated.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could adversely affect our business, results of operations and financial condition.</w:t>
      </w:r>
    </w:p>
    <w:p>
      <w:pPr>
        <w:spacing w:after="0" w:line="17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world’s financial markets have experienced turmoil, characterized by reductions in available credit, volatility in security prices, rating downgrades of investments, and reduced valuations of securities. These events have materially and adversely impacted the availability of financing to a wide variety of businesses, including small businesses, and the resulting uncertainty has led to reductions in capital investments, overall spending levels, future product plans, and sales projections across many industries and markets. These trends could have a material adverse impact on our business. These trends could also impact our financial condition and our ability to achieve targeted results of operations due to:</w:t>
      </w:r>
    </w:p>
    <w:p>
      <w:pPr>
        <w:spacing w:after="0" w:line="37" w:lineRule="exact"/>
        <w:rPr>
          <w:sz w:val="20"/>
          <w:szCs w:val="20"/>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and delayed demand for our products;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risk of order cancellations or delays;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downward pressure on the prices of our products;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greater difficulty in collecting accounts receivable; and</w:t>
      </w:r>
    </w:p>
    <w:p>
      <w:pPr>
        <w:spacing w:after="0" w:line="90" w:lineRule="exact"/>
        <w:rPr>
          <w:rFonts w:ascii="Arial" w:cs="Arial" w:eastAsia="Arial" w:hAnsi="Arial"/>
          <w:sz w:val="18"/>
          <w:szCs w:val="18"/>
          <w:color w:val="auto"/>
        </w:rPr>
      </w:pPr>
    </w:p>
    <w:p>
      <w:pPr>
        <w:ind w:left="640" w:right="20" w:hanging="321"/>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to our liquidity, including the possibility that we might not have access to our cash and short-term investments or to our line of credit when needed.</w:t>
      </w:r>
    </w:p>
    <w:p>
      <w:pPr>
        <w:spacing w:after="0" w:line="11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Further, the funding of the defense programs that incorporate our products and services is subject to the overall U.S. government budget and appropriation decisions and processes, which are driven by numerous factors beyond our control, including geo-political, macroeconomic, and political conditions. Increased federal budget deficits could result in reduced Congressional appropriations, such as the continuation of defense budget sequestration, for the defense programs that use our defense electronics products and services. In addition, Congress could fund U.S. government operations through a continuing budget resolution without approving a formal budget for the government fiscal year, thereby potentially reducing or delaying the demand for our products. We are unable to predict the likely duration and severity of adverse economic conditions in the United States and other countries, but the longer the duration or the greater the severity, the greater the risks we face in operating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face other risks and uncertainties associated with defense-related contracts, which may have a material adverse effect on our business.</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Whether our contracts are directly with the U.S. government, a foreign government, or one of their respective agencies, or indirectly as a subcontractor or team member, our contracts and subcontracts are subject to special risks. For example:</w:t>
      </w:r>
    </w:p>
    <w:p>
      <w:pPr>
        <w:spacing w:after="0" w:line="35" w:lineRule="exact"/>
        <w:rPr>
          <w:sz w:val="20"/>
          <w:szCs w:val="20"/>
          <w:color w:val="auto"/>
        </w:rPr>
      </w:pPr>
    </w:p>
    <w:p>
      <w:pPr>
        <w:jc w:val="both"/>
        <w:ind w:left="640" w:hanging="321"/>
        <w:spacing w:after="0" w:line="264"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government administration and national and international priorities, including developments in the geo-political environment, could have a significant impact on national or international defense spending priorities and the efficient handling of routine contractual matters. These changes could have a negative impact on our business in the future.</w:t>
      </w:r>
    </w:p>
    <w:p>
      <w:pPr>
        <w:spacing w:after="0" w:line="46" w:lineRule="exact"/>
        <w:rPr>
          <w:rFonts w:ascii="Arial" w:cs="Arial" w:eastAsia="Arial" w:hAnsi="Arial"/>
          <w:sz w:val="18"/>
          <w:szCs w:val="18"/>
          <w:color w:val="auto"/>
        </w:rPr>
      </w:pPr>
    </w:p>
    <w:p>
      <w:pPr>
        <w:jc w:val="both"/>
        <w:ind w:left="640" w:hanging="321"/>
        <w:spacing w:after="0" w:line="259"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contracts with the U.S. and foreign governments and their defense prime contractors and subcontractors are subject to termination either upon default by us or at the convenience of the government or contractor if, among other reasons, the program itself has been terminated. Termination for convenience provisions generally entitle us to recover costs incurred, settlement expenses and profit on work completed prior to termination, but there can be no assurance in this regard.</w:t>
      </w:r>
    </w:p>
    <w:p>
      <w:pPr>
        <w:spacing w:after="0" w:line="51" w:lineRule="exact"/>
        <w:rPr>
          <w:rFonts w:ascii="Arial" w:cs="Arial" w:eastAsia="Arial" w:hAnsi="Arial"/>
          <w:sz w:val="18"/>
          <w:szCs w:val="18"/>
          <w:color w:val="auto"/>
        </w:rPr>
      </w:pPr>
    </w:p>
    <w:p>
      <w:pPr>
        <w:jc w:val="both"/>
        <w:ind w:left="640" w:hanging="321"/>
        <w:spacing w:after="0" w:line="273"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Because we contract to supply goods and services to the U.S. and foreign governments and their prime and subcontractors, we compete for contracts in a competitive bidding process and, in the event we are awarded a contract, we are subject to protests by disappointed bidders of contract awards that can result in the reopening of the bidding process and changes in governmental policies or regulations and other political factors. In addition, we may be subject to multiple rebid requirements over the life of a defense program in order to continue to participate on such program, which can result in the loss of the program or significantly reduce our revenue or margin from the program. The government’s requirements for more frequent technology refreshes on defense programs may lead to increased costs and lower long term revenues.</w:t>
      </w:r>
    </w:p>
    <w:p>
      <w:pPr>
        <w:spacing w:after="0" w:line="43" w:lineRule="exact"/>
        <w:rPr>
          <w:rFonts w:ascii="Arial" w:cs="Arial" w:eastAsia="Arial" w:hAnsi="Arial"/>
          <w:sz w:val="17"/>
          <w:szCs w:val="17"/>
          <w:color w:val="auto"/>
        </w:rPr>
      </w:pPr>
    </w:p>
    <w:p>
      <w:pPr>
        <w:jc w:val="both"/>
        <w:ind w:left="640" w:hanging="321"/>
        <w:spacing w:after="0" w:line="264"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Consolidation among defense industry contractors has resulted in a few large contractors with increased bargaining power relative to us. The increased bargaining power of these contractors may adversely affect our ability to compete for contracts and, as a result, may adversely affect our business or results of operations in the future.</w:t>
      </w:r>
    </w:p>
    <w:p>
      <w:pPr>
        <w:spacing w:after="0" w:line="46" w:lineRule="exact"/>
        <w:rPr>
          <w:rFonts w:ascii="Arial" w:cs="Arial" w:eastAsia="Arial" w:hAnsi="Arial"/>
          <w:sz w:val="18"/>
          <w:szCs w:val="18"/>
          <w:color w:val="auto"/>
        </w:rPr>
      </w:pPr>
    </w:p>
    <w:p>
      <w:pPr>
        <w:jc w:val="both"/>
        <w:ind w:left="640" w:hanging="321"/>
        <w:spacing w:after="0" w:line="264"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customers include U.S. government contractors who must comply with and are affected by laws and regulations relating to the formation, administration, and performance of U.S. government contracts. In addition, when our business units, such as MDS and MIS, contract with the U.S. government, they must comply with these laws and regulations,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both"/>
        <w:ind w:left="640"/>
        <w:spacing w:after="0" w:line="358" w:lineRule="auto"/>
        <w:rPr>
          <w:sz w:val="20"/>
          <w:szCs w:val="20"/>
          <w:color w:val="auto"/>
        </w:rPr>
      </w:pPr>
      <w:r>
        <w:rPr>
          <w:rFonts w:ascii="Arial" w:cs="Arial" w:eastAsia="Arial" w:hAnsi="Arial"/>
          <w:sz w:val="16"/>
          <w:szCs w:val="16"/>
          <w:color w:val="auto"/>
        </w:rPr>
        <w:t>including the organizational conflict-of-interest regulations. A violation of these laws and regulations could result in the imposition of fines and penalties to us or our customers or the termination of our or their contracts with the U.S. government. As a result, there could be a delay in our receipt of orders from our customers, a termination of such orders, or a termination of contracts between our business units and the U.S. government.</w:t>
      </w:r>
    </w:p>
    <w:p>
      <w:pPr>
        <w:jc w:val="both"/>
        <w:ind w:left="640" w:hanging="321"/>
        <w:spacing w:after="0" w:line="253"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sell many products to U.S. and international defense contractors and also directly to the U.S. government as a commercial supplier such that cost data is not supplied. To the extent that there are interpretations or changes in the Federal Acquisition Regulations regarding the qualifications necessary to be a commercial item supplier, there could be a material adverse effect on our business and operating results. For example, there have been legislative proposals to narrow the definition of a “commercial item” (as defined in the Federal Acquisition Regulations) that could limit our ability to contract as a commercial item supplier. In addition, growth in our defense sales relative to our commercial sales could adversely impact our status as a commercial supplier, which could adversely affect our business and operating results. Changes in our mix of business, in federal regulations, or in the interpretation of federal regulations, may subject us to audit by the Defense Contract Audit Agency ("DCAA") for certain of our products or services. Such changes may require us to implement a DCAA cost-accounting system at our commercial item business unit. Operating under a cost-accounting business model rather than our historical commercial item business model could adversely impact our revenues and profitability.</w:t>
      </w:r>
    </w:p>
    <w:p>
      <w:pPr>
        <w:spacing w:after="0" w:line="59" w:lineRule="exact"/>
        <w:rPr>
          <w:rFonts w:ascii="Arial" w:cs="Arial" w:eastAsia="Arial" w:hAnsi="Arial"/>
          <w:sz w:val="18"/>
          <w:szCs w:val="18"/>
          <w:color w:val="auto"/>
        </w:rPr>
      </w:pPr>
    </w:p>
    <w:p>
      <w:pPr>
        <w:jc w:val="both"/>
        <w:ind w:left="640" w:hanging="321"/>
        <w:spacing w:after="0" w:line="291" w:lineRule="auto"/>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qualify as a “small business” for government contracts purposes under the definition of that term in an applicable NAICS code because we have fewer than 1,000 employees. As we grow and potentially have over 1,000 employees in the future, we would no longer qualify as a small business. Loss of our small business status could negatively impact us, including our customers purchases from us would not qualify as purchases from a small business, customers may flow down additional Federal Acquisition Regulation, or FAR, clauses in their contracts with us that are less favorable than our existing contract terms and conditions, and the flow down of certain FAR clauses may require us to implement a Defense Contract Audit Agency cost-accounting system at our commercial item business unit. In addition, our MIS business unit currently experiences the impact of the loss of its small business status under its NAICS codes when its government contracts come up for re-compete.</w:t>
      </w:r>
    </w:p>
    <w:p>
      <w:pPr>
        <w:spacing w:after="0" w:line="32" w:lineRule="exact"/>
        <w:rPr>
          <w:rFonts w:ascii="Arial" w:cs="Arial" w:eastAsia="Arial" w:hAnsi="Arial"/>
          <w:sz w:val="16"/>
          <w:szCs w:val="16"/>
          <w:color w:val="auto"/>
        </w:rPr>
      </w:pPr>
    </w:p>
    <w:p>
      <w:pPr>
        <w:jc w:val="both"/>
        <w:ind w:left="640" w:hanging="321"/>
        <w:spacing w:after="0" w:line="276"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subject to the Defense Federal Acquisition Regulations Supplement, referred to as DFARS, in connection with our defense work for the U.S. government and defense prime contractors. Amendments to the DFARS, such as the amendment to the DFARS specialty metals clause requiring that the specialty metals in specified items be melted or produced in the U.S. or other qualifying countries, may increase our costs for certain materials or result in supply-chain difficulties or production delays due to the limited availability of compliant materials. Compliance with the new conflict minerals regulations enacted pursuant to the Dodd Frank legislation may pose similar risks and increase our costs.</w:t>
      </w:r>
    </w:p>
    <w:p>
      <w:pPr>
        <w:spacing w:after="0" w:line="37" w:lineRule="exact"/>
        <w:rPr>
          <w:rFonts w:ascii="Arial" w:cs="Arial" w:eastAsia="Arial" w:hAnsi="Arial"/>
          <w:sz w:val="17"/>
          <w:szCs w:val="17"/>
          <w:color w:val="auto"/>
        </w:rPr>
      </w:pPr>
    </w:p>
    <w:p>
      <w:pPr>
        <w:jc w:val="both"/>
        <w:ind w:left="640" w:hanging="321"/>
        <w:spacing w:after="0" w:line="264"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U.S. government or a defense prime contractor customer could require us to relinquish data rights to a product in connection with performing work on a defense contract, which could lead to a loss of valuable technology and intellectual property in order to participate in a government program.</w:t>
      </w:r>
    </w:p>
    <w:p>
      <w:pPr>
        <w:spacing w:after="0" w:line="46" w:lineRule="exact"/>
        <w:rPr>
          <w:rFonts w:ascii="Arial" w:cs="Arial" w:eastAsia="Arial" w:hAnsi="Arial"/>
          <w:sz w:val="18"/>
          <w:szCs w:val="18"/>
          <w:color w:val="auto"/>
        </w:rPr>
      </w:pPr>
    </w:p>
    <w:p>
      <w:pPr>
        <w:jc w:val="both"/>
        <w:ind w:left="640" w:hanging="321"/>
        <w:spacing w:after="0" w:line="272"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subject to various U.S. federal export-control statutes and regulations which affect our business with, among others, international defense customers. In certain cases the export of our products and technical data to foreign persons, and the provision of technical services to foreign persons related to such products and technical data, may require licenses from the U.S. Department of Commerce or the U.S. Department of State. The time required to obtain these licenses, and the restrictions that may be contained in these licenses, may put us at a competitive disadvantage with respect to competing with international suppliers who are not subject to U.S. federal export control statutes and regulations. In addition, violations of these statutes and regulations can result in civil and, under certain circumstances, criminal liability as well as administrative penalties which could have a material adverse effect on our business and operating results.</w:t>
      </w:r>
    </w:p>
    <w:p>
      <w:pPr>
        <w:spacing w:after="0" w:line="42" w:lineRule="exact"/>
        <w:rPr>
          <w:rFonts w:ascii="Arial" w:cs="Arial" w:eastAsia="Arial" w:hAnsi="Arial"/>
          <w:sz w:val="17"/>
          <w:szCs w:val="17"/>
          <w:color w:val="auto"/>
        </w:rPr>
      </w:pPr>
    </w:p>
    <w:p>
      <w:pPr>
        <w:jc w:val="both"/>
        <w:ind w:left="640" w:hanging="321"/>
        <w:spacing w:after="0" w:line="302" w:lineRule="auto"/>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anticipate that sales to our U.S. prime defense contractor customers as part of foreign military sales (“FMS”) programs will be an increasing part of our business going forward. These FMS sales combine several different types of risks and uncertainties highlighted above, including risks related to government contracts, risks related to defense contracts, timing and budgeting of foreign governments, and approval from the U.S. and foreign governments related to the programs, all of which may be impacted by macroeconomic and geopolitical factors outside of our control.</w:t>
      </w:r>
    </w:p>
    <w:p>
      <w:pPr>
        <w:spacing w:after="0" w:line="19" w:lineRule="exact"/>
        <w:rPr>
          <w:rFonts w:ascii="Arial" w:cs="Arial" w:eastAsia="Arial" w:hAnsi="Arial"/>
          <w:sz w:val="16"/>
          <w:szCs w:val="16"/>
          <w:color w:val="auto"/>
        </w:rPr>
      </w:pPr>
    </w:p>
    <w:p>
      <w:pPr>
        <w:jc w:val="both"/>
        <w:ind w:left="640" w:hanging="321"/>
        <w:spacing w:after="0" w:line="25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of our employees with appropriate security clearance may require access to classified information in connection with the performance of a U.S. government contract. We must comply with security requirements pursuant to the National Industrial Security Program Operating Manual, or NISPOM, and other U.S. government security protocols when accessing sensitive information. Failure to comply with the NISPOM or other security requirements may subject us to civil or criminal penalties, loss of access to sensitive information, loss of a U.S. government contract, or potentially debarment as a government contractor.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one or more of our largest customers, programs, or applications could adversely affect our results of operations.</w:t>
      </w:r>
    </w:p>
    <w:p>
      <w:pPr>
        <w:spacing w:after="0" w:line="175"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We are dependent on a small number of customers for a large portion of our revenues. A significant decrease in the sales to or loss of any of our major customers would have a material adverse effect on our business and results of operations. In fiscal 2013, Lockheed Martin Corporation accounted for 17% of our total net revenues, Raytheon Company accounted for 10% of our total net revenues, and Northrop Grumman Corporation accounted for 10% of our total net revenues. In fiscal 2012, Raytheon Company accounted for 22% of our total net revenues, Northrop Grumman Corporation accounted for 17% of our total net revenues and Lockheed Martin Corporation accounted for 15% of our total net revenues. In fiscal 2011, Northrop Grumman Corporation accounted for 21% of our total net revenues, Raytheon Company accounted for 17% of our total net revenues and Lockheed Martin Corporation accounted for 13% of our total net revenues. The defense market is highly acquisitive, which could lead to further concentration in our largest customers. Customers in the defense market generally purchase our products in connection with government programs that have a limited duration, leading to fluctuating sales to any particular customer in this market from year to year. In addition, our revenues are largely dependent upon the ability of customers to develop and sell products that incorporate our products. No assurance can be given that our customers will not experience financial, technical or other difficulties that could adversely affect their operations and, in turn, our results of operations. Additionally, on a limited number of programs the customer has co-manufacturing rights which could lead to a shift of production on such a program away from us which in turn could lead to lower revenues.</w:t>
      </w:r>
    </w:p>
    <w:p>
      <w:pPr>
        <w:spacing w:after="0" w:line="11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are dependent on sales for radar applications for a large portion of our revenues. Sales related to radar applications accounted for 35%, 55%, and 53% of our total net revenues for fiscal 2013, 2012, and 2011, respectively. While our radar sales relate to multiple different platforms and defense programs, our revenues are largely dependent upon our customers incorporating our products into radar applications. For the year ended June 30, 2013, no single program comprised 10% or more of the Company’s revenue. In fiscal 2012, the Aegis program accounted for 11% of our total net revenues. Loss of a significant radar program could adversely affect our results of operations. For the year ended June 30, 2011, no single program comprised 10% or more of the Company’s revenue.</w:t>
      </w:r>
    </w:p>
    <w:p>
      <w:pPr>
        <w:spacing w:after="0" w:line="13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Going forward, we believe the AMDR program, if it is awarded to Lockheed Martin and the SEWIP program could be a large portion of our future revenues in the coming years, and the loss or cancellation of these programs could adversely affect our future results. In addition, as we shift our business mix toward more services-led engagements with legacy product revenues becoming a lesser amount of our total revenues, we could experience downward pressure on margins and reduced profitability. Further, new programs may yield lower margins than legacy programs, which could result in an overall reduction in gross margins.</w:t>
      </w:r>
    </w:p>
    <w:p>
      <w:pPr>
        <w:spacing w:after="0" w:line="2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unable to respond adequately to our competition or to changing technology, we may lose existing customers and fail to win future business opportunities.</w:t>
      </w:r>
    </w:p>
    <w:p>
      <w:pPr>
        <w:spacing w:after="0" w:line="112"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The markets for our products are highly competitive and are characterized by rapidly changing technology, frequent product performance improvements and evolving industry standards. Competitors may be able to offer more attractive pricing or develop products that could offer performance features that are superior to our products, resulting in reduced demand for our products. Customers may also decide to reduce costs and accept the least costly technically acceptable alternative to our products or services. Due to the rapidly changing nature of technology, we may not become aware in advance of the emergence of new competitors into our markets. The emergence of new competitors into markets targeted by us could result in the loss of existing customers and may have a negative impact on our ability to win future business opportunities. In addition to adapting to rapidly changing technology, we must also develop a reputation as a best-of-breed technology provider. Competitors may be perceived in the market as being providers of open-source architectures versus Mercury as a closed-architecture company. Perceptions of Mercury as a high-cost provider, or as having stale technology could cause us to lose existing customers or fail to win new business. With the reduction in force in our engineering group during fiscal 2013 as part of our cost containment efforts and with reduced levels of research and development spending in fiscal 2014 compared with prior years, we have fewer engineering resources to deliver advanced, subsystem level products to satisfy our customers' demanding expectations.</w:t>
      </w:r>
    </w:p>
    <w:p>
      <w:pPr>
        <w:spacing w:after="0" w:line="1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With continued microprocessor evolution, low-end systems could become adequate to meet the requirements of an increased number of the lesser-demanding applications within our target markets. Workstation or blade center computer manufacturers and other low-end single-board computer, or new competitors, may attempt to penetrate the high-performance market for defense electronics systems, which could have a material adverse effect on our business. In addition, our customers provide products to markets that are subject to technological cycles. Any change in the demand for our products due to technological cycles in our customers’ end markets could result in a decrease in our revenues.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Competition from existing or new companies could cause us to experience downward pressure on prices, fewer customer orders, reduced margins, the inability to take advantage of new business opportunities, and the loss of market share.</w:t>
      </w:r>
    </w:p>
    <w:p>
      <w:pPr>
        <w:spacing w:after="0" w:line="112"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compete in highly competitive industries, and our OEM customers generally extend the competitive pressures they face throughout their respective supply chains. Additionally, our markets are facing increasing industry consolidation, resulting in larger competitors who have more market share to put more downward pressure on prices and offer a more robust portfolio of products and services. We are subject to competition based upon product design, performance, pricing, quality and services. Our product performance, embedded systems’ engineering expertise, and product quality have been important factors in our growth. While we try to maintain competitive pricing on those products that are directly comparable to products manufactured by others, in many instances our products will conform to more exacting specifications and carry a higher price than analogous products. Many of our OEM customers and potential customers have the capacity to design and internally manufacture products that are similar to our products. We face competition from research and product development groups and the manufacturing operations of current and potential customers, who continually evaluate the benefits of internal research, product development, and manufacturing versus outsourcing. This competition could result in fewer customer orders and a loss of market share.</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sales in the defense market could be adversely affected by the emergence of commodity-type products as acceptable substitutes for certain of our products and by uncertainty created by emerging changes in standards that may cause customers to delay purchases or seek alternative solutions.</w:t>
      </w:r>
    </w:p>
    <w:p>
      <w:pPr>
        <w:spacing w:after="0" w:line="12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Our products for the defense market are designed for operating under physical constraints such as limited space, weight, and electrical power. Furthermore, these products are often designed to be “rugged,” that is, to withstand enhanced environmental stress such as extended temperature range, shock, vibration, and exposure to sand or salt spray. Historically these requirements have often precluded the use of less expensive, readily available commodity-type systems typically found in more benign non-military settings. Factors that may increase the acceptability of commodity-type products in some defense platforms that we serve include improvements in the physical properties and durability of such alternative products, combined with the relaxation of physical and ruggedness requirements by the military due to either a reevaluation of those requirements or the installation of products in a more highly environmentally isolated setting. These developments could negatively impact our revenues and have a material adverse effect on our business and operating results.</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fail to respond to commercial industry cycles in terms of our cost structure, manufacturing capacity and/or personnel need, our business could be seriously harmed.</w:t>
      </w:r>
    </w:p>
    <w:p>
      <w:pPr>
        <w:spacing w:after="0" w:line="112"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The timing, length and severity of the up-and-down cycles in the telecommunications and other commercial industries are difficult to predict. This cyclical nature of the industries in which we operate affects our ability to accurately predict future revenue, and in some cases, future expense levels. In the current environment, our ability to accurately predict our future operating results is particularly low. During down cycles in our industry, the financial results of our customers may be negatively impacted, which could result not only in a decrease in orders but also a weakening of their financial condition that could impair our ability to recognize revenue or to collect on outstanding receivables. When cyclical fluctuations result in lower than expected revenue levels, operating results may be adversely affected and cost reduction measures may be necessary in order for us to remain competitive and financially sound. During periods of declining revenues, such as in the current environment, we must be in a position to adjust our cost and expense structure to reflect prevailing market conditions and to continue to motivate and retain our key employees. If we fail to respond, then our business could be seriously harmed. In addition, during periods of rapid growth, we must be able to increase manufacturing capacity and personnel to meet customer demand. We can provide no assurance that these objectives can be met in a timely manner in response to industry cycles. Each of these factors could adversely impact our operating results and financial condition.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of our growth strategy may not be successful, which could affect our ability to increase revenues.</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growth strategy includes developing new products, adding new customers within our existing markets, and entering new markets, as well as identifying and integrating acquisitions and achieving revenue and cost synergies and economies of scale. Our ability to compete in new markets will depend upon a number of factors including, among others:</w:t>
      </w:r>
    </w:p>
    <w:p>
      <w:pPr>
        <w:spacing w:after="0" w:line="46" w:lineRule="exact"/>
        <w:rPr>
          <w:sz w:val="20"/>
          <w:szCs w:val="20"/>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create demand for products in new markets;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manage growth effectively;</w:t>
      </w:r>
    </w:p>
    <w:p>
      <w:pPr>
        <w:spacing w:after="0" w:line="90"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respond to changes in our customers’ businesses by updating existing products and introducing, in a timely fashion, new products which meet the needs of our customers;</w:t>
      </w:r>
    </w:p>
    <w:p>
      <w:pPr>
        <w:spacing w:after="0" w:line="35"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develop a reputation as a best-of-breed technology provider;</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quality of our new products;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respond rapidly to technological change;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integrate any acquisitions that we make and achieve revenue and cost synergies and economies of scale.</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failure to do any of the foregoing could have a material adverse effect on our business, financial condition and results of operations. In addition, we may face competition in these new markets from various companies that may have substantially greater research and development resources, marketing and financial resources, manufacturing capability and customer support organizations.</w:t>
      </w:r>
    </w:p>
    <w:p>
      <w:pPr>
        <w:spacing w:after="0" w:line="12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Growing our business, in particular through providing services and products such as sophisticated application ready subsystems for major defense programs like AMDR, if it is awarded to Lockheed Martin, SEWIP and Aegis, could strain our operational capacity and working capital demands if not properly anticipated and managed. Pursuing such growth could result in our operational and infrastructure resources being spread too thin, which could negatively impact our ability to deliver quality product on schedule and on budget. Providing quality services for systems level products is a key driver of our growth strategy and the failure to properly scale our capabilities to support our customers at a systems level could result lost opportunities and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acquisitions or divestitures may adversely affect our financial condition.</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part of our strategy for growth, we may continue to explore acquisitions, divestitures, or strategic alliances, which may not be completed or may not be ultimately beneficial to us.</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Acquisitions or divestitures may pose risks to our operations, including:</w:t>
      </w:r>
    </w:p>
    <w:p>
      <w:pPr>
        <w:spacing w:after="0" w:line="90" w:lineRule="exact"/>
        <w:rPr>
          <w:sz w:val="20"/>
          <w:szCs w:val="20"/>
          <w:color w:val="auto"/>
        </w:rPr>
      </w:pPr>
    </w:p>
    <w:p>
      <w:pPr>
        <w:ind w:left="640" w:hanging="321"/>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problems and increased costs in connection with the integration or divestiture of the personnel, operations, technologies, or products of the acquired or divested businesses;</w:t>
      </w:r>
    </w:p>
    <w:p>
      <w:pPr>
        <w:spacing w:after="0" w:line="35"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costs;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achieve anticipated increases in revenues and profitability;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make planned divestitures of businesses on favorable terms in a timely manner or at all;</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effects on business relationships with suppliers and customers and those of the acquired company;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acquired assets becoming impaired as a result of technical advancements or worse-than-expected performance by the acquired company;</w:t>
      </w:r>
    </w:p>
    <w:p>
      <w:pPr>
        <w:spacing w:after="0" w:line="101" w:lineRule="exact"/>
        <w:rPr>
          <w:rFonts w:ascii="Arial" w:cs="Arial" w:eastAsia="Arial" w:hAnsi="Arial"/>
          <w:sz w:val="17"/>
          <w:szCs w:val="17"/>
          <w:color w:val="auto"/>
        </w:rPr>
      </w:pPr>
    </w:p>
    <w:p>
      <w:pPr>
        <w:ind w:left="640" w:hanging="321"/>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rationalize manufacturing capacity, locations, and operating models to achieve anticipated economies of scale, or disruptions to manufacturing and product design operations during the combination of facilities;</w:t>
      </w:r>
    </w:p>
    <w:p>
      <w:pPr>
        <w:spacing w:after="0" w:line="35"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volatility associated with accounting for earn-outs in a given transaction;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entering markets in which we have no, or limited, prior experience;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addition, in connection with any acquisitions or investments we could:</w:t>
      </w:r>
    </w:p>
    <w:p>
      <w:pPr>
        <w:spacing w:after="0" w:line="90" w:lineRule="exact"/>
        <w:rPr>
          <w:sz w:val="20"/>
          <w:szCs w:val="20"/>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 stock that would dilute our existing shareholders’ ownership percentages;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debt and assume liabilities;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financing on unfavorable terms, or not be able to obtain financing on any terms at all;</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amortization expenses related to acquired intangible assets or incur large and immediate write-offs;</w:t>
      </w:r>
    </w:p>
    <w:p>
      <w:pPr>
        <w:spacing w:after="0" w:line="90"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large expenditures related to office closures of the acquired companies, including costs relating to the termination of employees and facility and leasehold improvement charges resulting from our having to vacate the acquired companies’ premises; and</w:t>
      </w:r>
    </w:p>
    <w:p>
      <w:pPr>
        <w:spacing w:after="0" w:line="35"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cash that would otherwise be available to fund operations or for other purposes.</w:t>
      </w:r>
    </w:p>
    <w:p>
      <w:pPr>
        <w:spacing w:after="0" w:line="17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failure to successfully integrate any acquisitions or to make planned divestitures in an efficient or timely manner may negatively impact our financial condition and operating results, or we may not be able to fully realize anticipated savings.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unable to obtain critical components from suppliers, which could disrupt or delay our ability to deliver products to our customers.</w:t>
      </w:r>
    </w:p>
    <w:p>
      <w:pPr>
        <w:spacing w:after="0" w:line="198"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Several components used in our products are currently obtained from sole-source suppliers. We are dependent on key vendors like LSI Logic Corporation, Xilinx, Inc., and IBM Corporation for custom-designed application-specific integrated circuits (“ASICs”) and field programmable gate arrays (“FPGAs”), Freescale Semiconductor, Inc. and IBM Corporation for PowerPC microprocessors, Intel Corporation for our next generation processors, IBM Corporation for a specific SRAM, Curtiss Wright Corporation and Motorola, Inc. for chassis and chassis components and Benchmark Electronics, Inc. for board assembly, test and integration. The semiconductor industry is experiencing a significant year over year increase in demand amid an uncertain macro economy which is limiting any investment in additional capacity. We believe this dynamic will result in increased lead-time for most classes of semiconductors and passive components and will continue to put pressure on component pricing where supply becomes constrained. Generally, suppliers may terminate their contracts with us without cause upon 30 days’ notice and may cease offering their products upon 180 days’ notice. If any of our sole-source suppliers limits or reduces the sale of these components, we may be unable to fulfill customer orders in a timely manner or at all. In addition, if these or other component suppliers, some of which are small companies, experienced financial difficulties or other problems that prevented them from supplying us with the necessary components, we could experience a loss of revenues due to our inability to fulfill orders. These sole-source and other suppliers are each subject to quality and performance issues, materials shortages, excess demand, reduction in capacity and other factors that may disrupt the flow of goods to us or to our customers, which would adversely affect our business and customer relationships. We have no guaranteed supply arrangements with our suppliers and there can be no assurance that these suppliers will continue to meet our requirements. If supply arrangements are interrupted, we may not be able to find another supplier on a timely or satisfactory basis. We may incur significant set-up costs and delays in manufacturing should it become necessary to replace any key vendors due to work stoppages, shipping delays, financial difficulties, natural or manmade disasters or other factors.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effectively manage our relationships with contract manufacturers.</w:t>
      </w:r>
    </w:p>
    <w:p>
      <w:pPr>
        <w:spacing w:after="0" w:line="17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may not be able to effectively manage our relationship with contract manufacturers, and the contract manufacturers may not meet future requirements for timely delivery. We rely on contract manufacturers to build hardware sub-assemblies for our products in accordance with our specifications. During the normal course of business, we may provide demand forecasts to contract manufacturers up to five months prior to scheduled delivery of our products to customers. If we overestimate requirements, the contract manufacturers may assess cancellation penalties or we may be left with excess inventory, which may negatively impact our earnings. If we underestimate requirements, the contract manufacturers may have inadequate inventory, which could interrupt manufacturing of our products and result in delays in shipment to customers and revenue recognition. Contract manufacturers also build products for other companies, and they may not have sufficient quantities of inventory available or sufficient internal resources to fill our orders on a timely basis or at all.</w:t>
      </w:r>
    </w:p>
    <w:p>
      <w:pPr>
        <w:spacing w:after="0" w:line="11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addition, there have been a number of major acquisitions within the contract manufacturing industry in recent periods. While there has been no significant impact on our contract manufacturers to date, future acquisitions could potentially have an adverse effect on our working relationships with contract manufacturers. Moreover, we currently rely primarily on one contract manufacturer, Benchmark Electronics, Inc. The failure of this contract manufacturer to fill our orders on a timely basis or in accordance with our customers’ specifications could result in a loss of revenues and damage to our reputation. We may not be able to replace this contract manufacturer in a timely manner or without significantly increasing our costs if such contract manufacturer were to experience financial difficulties or other problems that prevented it from fulfilling our order requirements.</w:t>
      </w:r>
    </w:p>
    <w:p>
      <w:pPr>
        <w:spacing w:after="0" w:line="12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With the expansion of our microwave and RF product lines in recent years, primarily related to the acquisitions of Micronetics, Inc., KOR Electronics, and LNX Corporation, the mix of products that we manufacture in-house has increased. If we are unable to develop a co-manufacturing relationship with a contract manufacturer to scale production capacity for our microwave and RF products, our ability to reduce production costs and improve product quality may be limited. With the building of our Advanced Microelectronics Center in Hudson, NH during fiscal 2014, we are becoming more vertically integrated in our microwave and RF product lines. This vertical integration could lead to higher capital intensity, labor utilization rate volatility which could affect our profitability, and higher fixed costs. Also, the changes to business processes and IT systems required to combine two locations into a single site like our new Advanced Microelectronics Center may interrupt our operations for a period of time resulting in higher costs, lower revenues and missed opportunities for design wins.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risks associated with international operations and markets.</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market and sell products in international markets, and have established offices and subsidiaries in Europe and Japan. Revenues from international operations accounted for 6% of our total net revenues in fiscal 2013 and 4% of our total net revenues in fiscal 2012 and 2011. We also ship directly from our U.S. operations to international customers. There are inherent risks in transacting business internationally, including: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applicable laws and regulatory requirements;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export and import restrictions;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export controls relating to technology;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tariffs and other trade barriers;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less favorable intellectual property laws;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problems in collecting accounts receivable;</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economic conditions in foreign markets;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instability;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expatriation controls;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There can be no assurance that one or more of these factors will not have a material adverse effect on our future international activities and, consequently, on our business and results of operations.</w:t>
      </w:r>
    </w:p>
    <w:p>
      <w:pPr>
        <w:spacing w:after="0" w:line="11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addition, we must comply with the Foreign Corrupt Practices Act, or the FCPA. The FCPA generally prohibits U.S. companies and their intermediaries from making corrupt payments to foreign officials for the purpose of obtaining or keeping business or otherwise obtaining favorable treatment, and requires companies to maintain adequate record-keeping and internal accounting practices to accurately reflect the transactions of the company. Under the FCPA, U.S. companies may be held liable for actions taken by strategic or local partners or representatives. If we or our intermediaries fail to comply with the requirements of the FCPA, governmental authorities in the United States could seek to impose civil and criminal penalties, which could have a material adverse effect on our business, results of operations, financial conditions and cash flows.</w:t>
      </w:r>
    </w:p>
    <w:p>
      <w:pPr>
        <w:spacing w:after="0" w:line="20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be exposed to unfavorable currency exchange rate fluctuations, which may lead to lower operating margins, or may cause us to raise prices which could result in reduced revenues.</w:t>
      </w:r>
    </w:p>
    <w:p>
      <w:pPr>
        <w:spacing w:after="0" w:line="112"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Currency exchange rate fluctuations could have an adverse effect on our net revenues and results of operations. Unfavorable currency fluctuations could require us to increase prices to foreign customers, which could result in lower net revenues from such customers. Alternatively, if we do not adjust the prices for our products in response to unfavorable currency fluctuations, our results of operations could be adversely affected. In addition, most sales made by our foreign subsidiaries are denominated in the currency of the country in which these products are sold, and the currency they receive in payment for such sales could be less valuable at the time of receipt as a result of exchange rate fluctuations. We do not currently hedge our foreign currency exchange rate exposure.</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unable to respond to technological developments and changing customer needs on a timely and cost-effective basis, our results of operations may be adversely affected.</w:t>
      </w:r>
    </w:p>
    <w:p>
      <w:pPr>
        <w:spacing w:after="0" w:line="112"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Our future success will depend in part on our ability to enhance current products and to develop new products on a timely and cost-effective basis in order to respond to technological developments and changing customer needs. Defense customers, in particular, demand frequent technological improvements as a means of gaining military advantage. Military planners have historically funded significantly more design projects than actual deployments of new equipment, and those systems that are deployed tend to contain the components of the subcontractors selected to participate in the design process. In order to participate in the design of new defense electronics systems, we must demonstrate the ability to deliver superior technological performance on a timely and cost-effective basis. There can be no assurance that we will secure an adequate number of defense design wins in the future, that the equipment in which our products are intended to function will eventually be deployed in the field, or that our products will be included in such equipment if it eventually is deployed.</w:t>
      </w:r>
    </w:p>
    <w:p>
      <w:pPr>
        <w:spacing w:after="0" w:line="11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Customers in our commercial markets also seek technological improvements through product enhancements and new generations of products. OEMs historically have selected certain suppliers whose products have been included in the OEMs’ machines for a significant portion of the products’ life cycles. We may not be selected to participate in the future design of any commercial equipment, or if selected, we may not generate any revenues for such design work.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design-in process is typically lengthy and expensive, and there can be no assurance that we will be able to continue to meet the product specifications of OEM customers in a timely and adequate manner. In addition,</w:t>
      </w:r>
    </w:p>
    <w:p>
      <w:pPr>
        <w:spacing w:after="0" w:line="11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any failure to anticipate or respond adequately to changes in technology, customer preferences and future order demands, or any significant delay in product developments, product introductions or order volume, could negatively impact our financial condition and results of operations, including the risk of inventory obsolescence. Because of the complexity of our products, we have experienced delays from time to time in completing products on a timely basis. If we are unable to design, develop or introduce competitive new products on a timely basis, our future operating results may be adversely affected.</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 are complex, and undetected defects may increase our costs, harm our reputation with customers or lead to costly litigation.</w:t>
      </w:r>
    </w:p>
    <w:p>
      <w:pPr>
        <w:spacing w:after="0" w:line="187"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Our products are extremely complex and must operate successfully with complex products of other vendors. Our products may contain undetected errors when first introduced or as we introduce product upgrades. The pressures we face to be the first to market new products or functionality and the lapsed time before our products are integrated into our customer's systems increases the possibility that we will offer products in which we or our customers later discover problems. We have experienced new product and product upgrade errors in the past and expect similar problems in the future. These problems may cause us to incur significant costs to support our service contracts and other costs and divert the attention of personnel from our product development efforts. Undetected errors may adversely affect our product’s ease of use and may create customer satisfaction issues. If we are unable to repair these problems in a timely manner, we may experience a loss of or delay in revenue and significant damage to our reputation and business prospects. Many of our customers rely upon our products for mission-critical applications. Because of this reliance, errors, defects or other performance problems in our products could result in significant financial and other damage to our customers. Our customers could attempt to recover those losses by pursuing products liability claims against us which, even if unsuccessful, would likely be time-consuming and costly to defend and could adversely affect our reputation.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unsuccessful in protecting our intellectual property rights which could result in the loss of a competitive advantage.</w:t>
      </w:r>
    </w:p>
    <w:p>
      <w:pPr>
        <w:spacing w:after="0" w:line="17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ability to compete effectively against other companies in our industry depends, in part, on our ability to protect our current and future proprietary technology under patent, copyright, trademark, trade secret and unfair competition laws. We cannot assure that our means of protecting our proprietary rights in the United States or abroad will be adequate, or that others will not develop technologies similar or superior to our technology or design around our proprietary rights. In addition, we may incur substantial costs in attempting to protect our proprietary rights.</w:t>
      </w:r>
    </w:p>
    <w:p>
      <w:pPr>
        <w:spacing w:after="0" w:line="11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Also, despite the steps taken by us to protect our proprietary rights, it may be possible for unauthorized third parties to copy or reverse-engineer aspects of our products, develop similar technology independently or otherwise obtain and use information that we regard as proprietary and we may be unable to successfully identify or prosecute unauthorized uses of our technology. Furthermore, with respect to our issued patents and patent applications, we cannot assure you that any patents from any pending patent applications (or from any future patent applications) will be issued, that the scope of any patent protection will exclude competitors or provide competitive advantages to us, that any of our patents will be held valid if subsequently challenged or that others will not claim rights in or ownership of the patents (and patent applications) and other proprietary rights held by us.</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we become subject to intellectual property infringement claims, we could incur significant expenses and could be prevented from selling specific products.</w:t>
      </w:r>
    </w:p>
    <w:p>
      <w:pPr>
        <w:spacing w:after="0" w:line="11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may become subject to claims that we infringe the intellectual property rights of others in the future. We cannot assure that, if made, these claims will not be successful. Any claim of infringement could cause us to incur substantial costs defending against the claim even if the claim is invalid, and could distract management from other business. Any judgment against us could require substantial payment in damages and could also include an injunction or other court order that could prevent us from offering certain products.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need for continued investment in research and development may increase expenses and reduce our profitability.</w:t>
      </w:r>
    </w:p>
    <w:p>
      <w:pPr>
        <w:spacing w:after="0" w:line="17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Our industry is characterized by the need for continued investment in research and development. If we fail to invest sufficiently in research and development, our products could become less attractive to potential customers and our business and financial condition could be materially and adversely affected. As a result of the need to maintain or increase spending levels in this area and the difficulty in reducing costs associated with research and development, our operating results could be materially harmed if our research and development efforts fail to result in new products or if revenues fall below expectations. In addition, as a result of our commitment to invest in research and development, spending levels of research and development expenses as a percentage of revenues may fluctuate in the future. Further, with the reduction in force in our engineering group during fiscal 2013 as part 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cost containment efforts and with reduced levels of research and development spending in fiscal 2014 compared with prior years, we have fewer engineering resources to deliver advanced, subsystem level products to satisfy our customers' demanding expectations.</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results of operations are subject to fluctuation from period to period and may not be an accurate indication of future performance.</w:t>
      </w:r>
    </w:p>
    <w:p>
      <w:pPr>
        <w:spacing w:after="0" w:line="187"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have experienced fluctuations in operating results in large part due to the sale of products and services in relatively large dollar amounts to a relatively small number of customers. Customers specify delivery date requirements that coincide with their need for our products and services. Because these customers may use our products and services in connection with a variety of defense programs or other projects with different sizes and durations, a customer’s orders for one quarter generally do not indicate a trend for future orders by that customer. As such, we have not been able in the past to consistently predict when our customers will place orders and request shipments so that we cannot always accurately plan our manufacturing, inventory, and working capital requirements. As a result, if orders and shipments differ from what we predict, we may incur additional expenses and build excess inventory, which may require additional reserves and allowances and reduce our working capital and operational flexibility. Any significant change in our customers’ purchasing patterns could have a material adverse effect on our operating results and reported earnings per share for a particular quarter. Thus, results of operations in any period should not be considered indicative of the results to be expected for any future period.</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quarterly results may be subject to fluctuations resulting from a number of other factors, including:</w:t>
      </w:r>
    </w:p>
    <w:p>
      <w:pPr>
        <w:spacing w:after="0" w:line="90" w:lineRule="exact"/>
        <w:rPr>
          <w:sz w:val="20"/>
          <w:szCs w:val="20"/>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completion of internal product development projects;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shipping hardware and software;</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acceptance testing by customers;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change in the mix of products sold to our served markets;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production delays due to quality problems with outsourced components;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scale quick reaction capability products due to low product volume;</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shortages and costs of components;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product line transitions;</w:t>
      </w:r>
    </w:p>
    <w:p>
      <w:pPr>
        <w:spacing w:after="0" w:line="90" w:lineRule="exact"/>
        <w:rPr>
          <w:rFonts w:ascii="Arial" w:cs="Arial" w:eastAsia="Arial" w:hAnsi="Arial"/>
          <w:sz w:val="18"/>
          <w:szCs w:val="18"/>
          <w:color w:val="auto"/>
        </w:rPr>
      </w:pPr>
    </w:p>
    <w:p>
      <w:pPr>
        <w:ind w:left="640" w:right="260" w:hanging="321"/>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declines in quarterly revenues from previous generations of products following announcement of replacement products containing more advanced technology;</w:t>
      </w:r>
    </w:p>
    <w:p>
      <w:pPr>
        <w:spacing w:after="0" w:line="35"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asset impairment, including goodwill and intangibles, or restructuring charges;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estimates of completion on fixed price service engagements.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from time to time, we have entered into contracts, referred to as development contracts, to engineer a specific solution based on modifications to standard products. Gross margins from development contract revenues are typically lower than gross margins from standard product revenues. We intend to continue to enter into development contracts and anticipate that the gross margins associated with development contract revenues will continue to be lower than gross margins from standard product sales.</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Another factor contributing to fluctuations in our quarterly results is the fixed nature of expenditures on personnel, facilities and marketing programs. Expense levels for these programs are based, in significant part, on expectations of future revenues. If actual quarterly revenues are below management’s expectations, our results of operations will likely be adversely affected.</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Further, 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 and changes in estimates in subsequent periods could cause our results of operations to fluctuate.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regulations could materially adversely affect us.</w:t>
      </w:r>
    </w:p>
    <w:p>
      <w:pPr>
        <w:spacing w:after="0" w:line="17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business, results of operations, or financial condition could be materially adversely affected if laws, regulations, or standards relating to us or our products are newly implemented or changed. In addition, our compliance with existing regulations may have a material adverse impact on us. For example, effective in 2013, we must comply with the new conflict minerals regulations mandated by the Dodd Frank legislation. Compliance with the conflict minerals regulations may increase our operating costs as we implement new monitoring systems and the results of our conflict minerals due diligence review may harm our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reputation with our customers and shareholders. Under applicable federal securities laws, we are required to evaluate and determine the effectiveness of our internal control structure and procedures for financial reporting. Should we or our independent registered public accounting firm determine that we have material weaknesses in our internal controls, our results of operations or financial condition may be materially adversely affected or our stock price may decline.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generally accepted accounting principles may adversely affect us.</w:t>
      </w:r>
    </w:p>
    <w:p>
      <w:pPr>
        <w:spacing w:after="0" w:line="17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From time to time, the Financial Accounting Standards Board, or FASB, promulgates new accounting principles that could have a material adverse impact on our results of operations or financial condition.</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the significant experience and specialized expertise of our senior management and engineering staff and must retain and attract qualified engineers and other highly skilled personnel in order to grow our business successfully.</w:t>
      </w:r>
    </w:p>
    <w:p>
      <w:pPr>
        <w:spacing w:after="0" w:line="11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performance is substantially dependent on the continued services and performance of our senior management and our highly qualified team of engineers, many of whom have numerous years of experience, specialized expertise in our business, and security clearances required for certain defense projects. If we are not successful in hiring and retaining highly qualified engineers, we may not be able to extend or maintain our engineering expertise, and our future product development efforts could be adversely affected. Competition for hiring these employees is intense, especially with regard to engineers with specialized skills and security clearances required for our business, and we may be unable to hire and retain enough engineers to implement our growth strategy.</w:t>
      </w:r>
    </w:p>
    <w:p>
      <w:pPr>
        <w:spacing w:after="0" w:line="13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Our future success also depends on our ability to identify, attract, hire, train, retain and motivate highly skilled managerial, operations, sales, marketing and customer service personnel. If we fail to attract, integrate and retain the necessary personnel, our ability to maintain and grow our business could suffer significantly. Further, stock price volatility and improvements in the economy could impact our ability to retain key personnel.</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we experience a disaster or other business continuity problem, we may not be able to recover successfully, which could cause material financial loss, loss of human capital, regulatory actions, reputational harm, or legal liability.</w:t>
      </w:r>
    </w:p>
    <w:p>
      <w:pPr>
        <w:spacing w:after="0" w:line="11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If we experience a local or regional disaster or other business continuity problem, such as an earthquake, terrorist attack, pandemic or other natural or man-made disaster, our continued success will depend, in part, on the availability of our personnel, our office facilities, and the proper functioning of our computer, telecommunication and other related systems and operations. As we attempt to grow our operations, the potential for particular types of natural or man-made disasters, political, economic or infrastructure instabilities, or other country- or region-specific business continuity risks increases.</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are unable to continue to obtain U.S. federal government authorization regarding the export of our products, or if current or future export laws limit or otherwise restrict our business, we could be prohibited from shipping our products to certain countries, which would harm our ability to generate revenue.</w:t>
      </w:r>
    </w:p>
    <w:p>
      <w:pPr>
        <w:spacing w:after="0" w:line="12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We must comply with U.S. laws regulating the export of our products and technology. In addition, we are required to obtain a license from the U.S. federal government to export certain of our products and technical data as well as to provide technical services to foreign persons related to such products and technical data. We cannot be sure of our ability to obtain any licenses required to export our products or to receive authorization from the U.S. federal government for international sales or domestic sales to foreign persons including transfers of technical data or the provision of technical services. Moreover, the export regimes and the governing policies applicable to our business are subject to change. We cannot assure you of the extent that such export authorizations will be available to us, if at all, in the future. If we cannot obtain required government approvals under applicable regulations in a timely manner or at all, we would be delayed or prevented from selling our products in international jurisdictions, which could adversely affect our business and financial results.</w:t>
      </w:r>
    </w:p>
    <w:p>
      <w:pPr>
        <w:spacing w:after="0" w:line="21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we suffer any data breaches involving the designs, schematics or source code for our products or other sensitive information, our business and financial results could be adversely affected.</w:t>
      </w:r>
    </w:p>
    <w:p>
      <w:pPr>
        <w:spacing w:after="0" w:line="112"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securely store our designs, schematics and source code for our products as they are created. A breach, whether physical, electronic or otherwise, of the systems on which this sensitive data is stored could lead to damage or piracy of our products. If we are subject to data security breaches from external sources or from an insider threat, we may have a loss in sales or increased costs arising from the restoration or implementation of additional security measures, either of which could adversely affect our business and financial results. In addition, a security breach that involved classified information could subject us to civil or criminal penalties, loss of a government contract, loss of access to classified information, or debarment as a government contractor.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income tax provision and other tax liabilities may be insufficient if taxing authorities are successful in asserting tax positions that are contrary to our position. Increases in tax rates could impact our financial performance.</w:t>
      </w:r>
    </w:p>
    <w:p>
      <w:pPr>
        <w:spacing w:after="0" w:line="11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From time to time, we are audited by various federal, state and local authorities regarding income tax matters. Significant judgment is required to determine our provision for income taxes and our liabilities for federal, state, local and other taxes. Although we believe our approach to determining the appropriate tax treatment is supportable and in accordance with relevant authoritative guidance it is possible that the final tax authority will take a tax position that is materially different than that which is reflected in our income tax provision. Such differences could have an adverse effect on our income tax provision or benefit, in the reporting period in which such determination is made and, consequently, on our results of operations, financial position and/or cash flows for such period. Further, future increases in tax rates may adversely affect our financial results.</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Provisions in our organizational documents and Massachusetts law and other actions we have taken could make it more difficult for a third party to acquire us.</w:t>
      </w:r>
    </w:p>
    <w:p>
      <w:pPr>
        <w:spacing w:after="0" w:line="11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Provisions of our charter and by-laws could have the effect of discouraging a third party from making a proposal to acquire our company and could prevent certain changes in control, even if some shareholders might consider the proposal to be in their best interest. These provisions include a classified board of directors, advance notice to our board of directors of shareholder proposals and director nominations, and limitations on the ability of shareholders to remove directors and to call shareholder meetings. In addition, we may issue shares of any class or series of preferred stock in the future without shareholder approval upon such terms as our board of directors may determine. The rights of holders of common stock will be subject to, and may be adversely affected by, the rights of the holders of any such class or series of preferred stock that may be issued.</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also are subject to the Massachusetts General Laws which, subject to certain exceptions, prohibit a Massachusetts corporation from engaging in a broad range of business combinations with any “interested shareholder” for a period of three years following the date that such shareholder becomes an interested shareholder. These provisions could discourage a third party from pursuing an acquisition of our company at a price considered attractive by many shareholders.</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adopted a Shareholder Rights Plan that could make it more difficult for a third party to acquire, or could discourage a third party from acquiring, our company or a large block of our common stock. A third party that acquires 15% or more of our common stock (an “acquiring person”) could suffer substantial dilution of its ownership interest under the terms of the Shareholder Rights Plan through the issuance of common stock or common stock equivalents to all shareholders other than the acquiring person.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profits may decrease and/or we may incur significant unanticipated costs if we do not accurately estimate the costs of fixed-price engagements.</w:t>
      </w:r>
    </w:p>
    <w:p>
      <w:pPr>
        <w:spacing w:after="0" w:line="19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 significant number of our system integration projects are based on fixed-price contracts, rather than contracts in which payment to us is determined on a time and materials or other basis. Our failure to estimate accurately the resources and schedule required for a project, or our failure to complete our contractual obligations in a manner consistent with the project plan upon which our fixed-price contract was based, could adversely affect our overall profitability and could have a material adverse effect on our business, financial condition and results of operations. We are consistently entering into contracts for large projects that magnify this risk. We have been required to commit unanticipated additional resources to complete projects in the past, which has occasionally resulted in losses on those contracts. We will likely experience similar situations in the future. In addition, we may fix the price for some projects at an early stage of the project engagement, which could result in a fixed price that is too low. Therefore, any changes from our original estimates could adversely affect our business, financial condition and results of operations.</w:t>
      </w:r>
    </w:p>
    <w:p>
      <w:pPr>
        <w:spacing w:after="0" w:line="20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trading price of our common stock may continue to be volatile, which may adversely affect our business, and investors in our common stock may experience substantial losses.</w:t>
      </w:r>
    </w:p>
    <w:p>
      <w:pPr>
        <w:spacing w:after="0" w:line="112"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Our stock price, like that of other technology companies, has been volatile. The stock market in general and technology companies in particular may continue to experience volatility. The stock prices for companies in the defense technology industry may continue to remain volatile given the uncertainty and timing of funding for defense programs. This volatility may or may not be related to our operating performance. Our operating results, from time to time, may be below the expectations of public market analysts and investors, which could have a material adverse effect on the market price of our common stock. Our low stock trading volume and microcap status could hamper existing and new shareholders from gaining a meaningful position in our stock. In addition, the limited availability of credit in the financial markets and the continued threat of terrorism in the United States and abroad and the resulting military action and heightened security measures undertaken in response to threats may cause continued volatility in securities markets. When the market price of a stock has been volatile, holders of that stock will sometimes issue securities class action litigation against the company that issued the stock. If any shareholders were to issue a lawsuit, we could incur substantial costs defending the lawsuit. Also, the lawsuit could divert the time and attention of management.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We have never paid dividends on our capital stock and we do not anticipate paying any dividends in the foreseeable future. Consequently, any gains from an investment in our common stock will likely depend on whether the price of our common stock increases.</w:t>
      </w:r>
    </w:p>
    <w:p>
      <w:pPr>
        <w:spacing w:after="0" w:line="8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have not declared or paid cash dividends on any of our classes of capital stock to date and we currently intend to retain our future earnings, if any, to fund the development and growth of our business. As a result, capital appreciation, if any, of our common stock will be your sole source of gain for the foreseeable future. Furthermore, we may in the future become subject to contractual restrictions on, or prohibitions against, the payment of dividends. Consequently, in the foreseeable future, you will likely only experience a gain from your investment in our common stock if the price of our common stock increases. There is no guarantee that our common stock will appreciate in value or even maintain the price at which you purchased your shares, and you may not realize a return on your investment in our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internal controls over financial reporting are not considered effective, our business and stock price could be adversely affected.</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management’s assessment of our internal controls over financial reporting.</w:t>
      </w:r>
    </w:p>
    <w:p>
      <w:pPr>
        <w:spacing w:after="0" w:line="133"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Our management, including our chief executive officer and principal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ineffective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consider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equity research analysts do not publish research or reports about our business or if they issue unfavorable commentary or downgrade our common stock, the price of our common stock could decline.</w:t>
      </w:r>
    </w:p>
    <w:p>
      <w:pPr>
        <w:spacing w:after="0" w:line="11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analysts downgrade our common stock or if analysts issue other unfavorable commentary or cease publishing reports about us or our business.</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need additional capital and may not be able to raise funds on acceptable terms, if at all. In addition, any funding through the sale of additional common stock or other equity securities could result in additional dilution to our stockholders and any funding through indebtedness could restrict our operations.</w:t>
      </w:r>
    </w:p>
    <w:p>
      <w:pPr>
        <w:spacing w:after="0" w:line="12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may require additional cash resources to finance our continued growth or other future developments, including any investments or acquisitions we may decide to pursue. The amount and timing of such additional financing needs will vary principally depending on the timing of new product and service launches, investments and/or acquisitions, and the amount of cash flow from our operations. If our resources are insufficient to satisfy our cash requirements, we may seek to sell additional equity or debt securities or obtain a credit facility. The sale of additional equity securities or securities convertible into our ordinary shares could result in additional dilution to our stockholders. The incurrence of indebtedness would result in increased debt service obligations and could result in operating and financing covenants that would restrict our operations.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ability to obtain additional capital on acceptable terms is subject to a variety of uncertainties, including:</w:t>
      </w:r>
    </w:p>
    <w:p>
      <w:pPr>
        <w:spacing w:after="0" w:line="90" w:lineRule="exact"/>
        <w:rPr>
          <w:sz w:val="20"/>
          <w:szCs w:val="20"/>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investors’ perception of, and demand for, securities of defense technology companies;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conditions of the United States and other capital markets in which we may seek to raise funds; 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future results of operations, financial condition and cash flows.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cannot assure that financing will be available in amounts or on terms acceptable to us, if at all. If we fail to raise additional funds, we may need to sell debt or additional equity securities or to reduce our growth to a level that can be supported by our cash flow. Without additional capital, we may not be able to:</w:t>
      </w:r>
    </w:p>
    <w:p>
      <w:pPr>
        <w:spacing w:after="0" w:line="46" w:lineRule="exact"/>
        <w:rPr>
          <w:sz w:val="20"/>
          <w:szCs w:val="20"/>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further develop or enhance our customer base;</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 necessary technologies, products or businesses;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operations in the United States and elsewhere;</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train and retain employees;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our software solutions, services and products; or</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capital requirements.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significant properties as of June 30, 2013:</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Location</w:t>
            </w:r>
          </w:p>
        </w:tc>
        <w:tc>
          <w:tcPr>
            <w:tcW w:w="2000" w:type="dxa"/>
            <w:vAlign w:val="bottom"/>
          </w:tcPr>
          <w:p>
            <w:pPr>
              <w:spacing w:after="0"/>
              <w:rPr>
                <w:sz w:val="14"/>
                <w:szCs w:val="14"/>
                <w:color w:val="auto"/>
              </w:rPr>
            </w:pPr>
          </w:p>
        </w:tc>
        <w:tc>
          <w:tcPr>
            <w:tcW w:w="2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Segment(s) served</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Size in</w:t>
            </w:r>
          </w:p>
        </w:tc>
        <w:tc>
          <w:tcPr>
            <w:tcW w:w="1340" w:type="dxa"/>
            <w:vAlign w:val="bottom"/>
          </w:tcPr>
          <w:p>
            <w:pPr>
              <w:spacing w:after="0"/>
              <w:rPr>
                <w:sz w:val="14"/>
                <w:szCs w:val="14"/>
                <w:color w:val="auto"/>
              </w:rPr>
            </w:pPr>
          </w:p>
        </w:tc>
        <w:tc>
          <w:tcPr>
            <w:tcW w:w="2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129"/>
        </w:trPr>
        <w:tc>
          <w:tcPr>
            <w:tcW w:w="2520" w:type="dxa"/>
            <w:vAlign w:val="bottom"/>
            <w:gridSpan w:val="3"/>
            <w:vMerge w:val="continue"/>
          </w:tcPr>
          <w:p>
            <w:pPr>
              <w:spacing w:after="0"/>
              <w:rPr>
                <w:sz w:val="11"/>
                <w:szCs w:val="11"/>
                <w:color w:val="auto"/>
              </w:rPr>
            </w:pPr>
          </w:p>
        </w:tc>
        <w:tc>
          <w:tcPr>
            <w:tcW w:w="2000" w:type="dxa"/>
            <w:vAlign w:val="bottom"/>
          </w:tcPr>
          <w:p>
            <w:pPr>
              <w:spacing w:after="0"/>
              <w:rPr>
                <w:sz w:val="11"/>
                <w:szCs w:val="11"/>
                <w:color w:val="auto"/>
              </w:rPr>
            </w:pPr>
          </w:p>
        </w:tc>
        <w:tc>
          <w:tcPr>
            <w:tcW w:w="210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w w:val="75"/>
              </w:rPr>
              <w:t>Sq. Feet</w:t>
            </w:r>
          </w:p>
        </w:tc>
        <w:tc>
          <w:tcPr>
            <w:tcW w:w="6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340" w:type="dxa"/>
            <w:vAlign w:val="bottom"/>
          </w:tcPr>
          <w:p>
            <w:pPr>
              <w:spacing w:after="0"/>
              <w:rPr>
                <w:sz w:val="11"/>
                <w:szCs w:val="11"/>
                <w:color w:val="auto"/>
              </w:rPr>
            </w:pPr>
          </w:p>
        </w:tc>
        <w:tc>
          <w:tcPr>
            <w:tcW w:w="2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Chelmsford, MA</w:t>
            </w:r>
          </w:p>
        </w:tc>
        <w:tc>
          <w:tcPr>
            <w:tcW w:w="4100" w:type="dxa"/>
            <w:vAlign w:val="bottom"/>
            <w:tcBorders>
              <w:bottom w:val="single" w:sz="8" w:color="CCEEFF"/>
            </w:tcBorders>
            <w:gridSpan w:val="4"/>
            <w:shd w:val="clear" w:color="auto" w:fill="CCEEFF"/>
          </w:tcPr>
          <w:p>
            <w:pPr>
              <w:ind w:left="1160"/>
              <w:spacing w:after="0"/>
              <w:rPr>
                <w:sz w:val="20"/>
                <w:szCs w:val="20"/>
                <w:color w:val="auto"/>
              </w:rPr>
            </w:pPr>
            <w:r>
              <w:rPr>
                <w:rFonts w:ascii="Arial" w:cs="Arial" w:eastAsia="Arial" w:hAnsi="Arial"/>
                <w:sz w:val="18"/>
                <w:szCs w:val="18"/>
                <w:color w:val="auto"/>
              </w:rPr>
              <w:t>All (Corporate HQ)</w:t>
            </w:r>
          </w:p>
        </w:tc>
        <w:tc>
          <w:tcPr>
            <w:tcW w:w="11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185,327</w:t>
            </w:r>
          </w:p>
        </w:tc>
        <w:tc>
          <w:tcPr>
            <w:tcW w:w="12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Leased, expiring 2017, 2 buildings</w:t>
            </w:r>
          </w:p>
        </w:tc>
        <w:tc>
          <w:tcPr>
            <w:tcW w:w="0" w:type="dxa"/>
            <w:vAlign w:val="bottom"/>
          </w:tcPr>
          <w:p>
            <w:pPr>
              <w:spacing w:after="0"/>
              <w:rPr>
                <w:sz w:val="1"/>
                <w:szCs w:val="1"/>
                <w:color w:val="auto"/>
              </w:rPr>
            </w:pPr>
          </w:p>
        </w:tc>
      </w:tr>
      <w:tr>
        <w:trPr>
          <w:trHeight w:val="243"/>
        </w:trPr>
        <w:tc>
          <w:tcPr>
            <w:tcW w:w="2520" w:type="dxa"/>
            <w:vAlign w:val="bottom"/>
            <w:gridSpan w:val="3"/>
          </w:tcPr>
          <w:p>
            <w:pPr>
              <w:ind w:left="40"/>
              <w:spacing w:after="0"/>
              <w:rPr>
                <w:sz w:val="20"/>
                <w:szCs w:val="20"/>
                <w:color w:val="auto"/>
              </w:rPr>
            </w:pPr>
            <w:r>
              <w:rPr>
                <w:rFonts w:ascii="Arial" w:cs="Arial" w:eastAsia="Arial" w:hAnsi="Arial"/>
                <w:sz w:val="18"/>
                <w:szCs w:val="18"/>
                <w:color w:val="auto"/>
              </w:rPr>
              <w:t>Hudson, NH</w:t>
            </w:r>
          </w:p>
        </w:tc>
        <w:tc>
          <w:tcPr>
            <w:tcW w:w="4100" w:type="dxa"/>
            <w:vAlign w:val="bottom"/>
            <w:gridSpan w:val="4"/>
          </w:tcPr>
          <w:p>
            <w:pPr>
              <w:ind w:left="1160"/>
              <w:spacing w:after="0"/>
              <w:rPr>
                <w:sz w:val="20"/>
                <w:szCs w:val="20"/>
                <w:color w:val="auto"/>
              </w:rPr>
            </w:pPr>
            <w:r>
              <w:rPr>
                <w:rFonts w:ascii="Arial" w:cs="Arial" w:eastAsia="Arial" w:hAnsi="Arial"/>
                <w:sz w:val="18"/>
                <w:szCs w:val="18"/>
                <w:color w:val="auto"/>
              </w:rPr>
              <w:t>MCE reportable segment</w:t>
            </w:r>
          </w:p>
        </w:tc>
        <w:tc>
          <w:tcPr>
            <w:tcW w:w="1120" w:type="dxa"/>
            <w:vAlign w:val="bottom"/>
            <w:gridSpan w:val="5"/>
          </w:tcPr>
          <w:p>
            <w:pPr>
              <w:jc w:val="right"/>
              <w:ind w:right="100"/>
              <w:spacing w:after="0"/>
              <w:rPr>
                <w:sz w:val="20"/>
                <w:szCs w:val="20"/>
                <w:color w:val="auto"/>
              </w:rPr>
            </w:pPr>
            <w:r>
              <w:rPr>
                <w:rFonts w:ascii="Arial" w:cs="Arial" w:eastAsia="Arial" w:hAnsi="Arial"/>
                <w:sz w:val="18"/>
                <w:szCs w:val="18"/>
                <w:color w:val="auto"/>
              </w:rPr>
              <w:t>71,795</w:t>
            </w:r>
          </w:p>
        </w:tc>
        <w:tc>
          <w:tcPr>
            <w:tcW w:w="120" w:type="dxa"/>
            <w:vAlign w:val="bottom"/>
          </w:tcPr>
          <w:p>
            <w:pPr>
              <w:spacing w:after="0"/>
              <w:rPr>
                <w:sz w:val="21"/>
                <w:szCs w:val="21"/>
                <w:color w:val="auto"/>
              </w:rPr>
            </w:pPr>
          </w:p>
        </w:tc>
        <w:tc>
          <w:tcPr>
            <w:tcW w:w="3500" w:type="dxa"/>
            <w:vAlign w:val="bottom"/>
            <w:gridSpan w:val="3"/>
          </w:tcPr>
          <w:p>
            <w:pPr>
              <w:ind w:left="20"/>
              <w:spacing w:after="0"/>
              <w:rPr>
                <w:sz w:val="20"/>
                <w:szCs w:val="20"/>
                <w:color w:val="auto"/>
              </w:rPr>
            </w:pPr>
            <w:r>
              <w:rPr>
                <w:rFonts w:ascii="Arial" w:cs="Arial" w:eastAsia="Arial" w:hAnsi="Arial"/>
                <w:sz w:val="18"/>
                <w:szCs w:val="18"/>
                <w:color w:val="auto"/>
              </w:rPr>
              <w:t>Leased, expiring 2023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Cypress, CA</w:t>
            </w:r>
          </w:p>
        </w:tc>
        <w:tc>
          <w:tcPr>
            <w:tcW w:w="4100" w:type="dxa"/>
            <w:vAlign w:val="bottom"/>
            <w:tcBorders>
              <w:bottom w:val="single" w:sz="8" w:color="CCEEFF"/>
            </w:tcBorders>
            <w:gridSpan w:val="4"/>
            <w:shd w:val="clear" w:color="auto" w:fill="CCEEFF"/>
          </w:tcPr>
          <w:p>
            <w:pPr>
              <w:ind w:left="1160"/>
              <w:spacing w:after="0"/>
              <w:rPr>
                <w:sz w:val="20"/>
                <w:szCs w:val="20"/>
                <w:color w:val="auto"/>
              </w:rPr>
            </w:pPr>
            <w:r>
              <w:rPr>
                <w:rFonts w:ascii="Arial" w:cs="Arial" w:eastAsia="Arial" w:hAnsi="Arial"/>
                <w:sz w:val="18"/>
                <w:szCs w:val="18"/>
                <w:color w:val="auto"/>
              </w:rPr>
              <w:t>MDIS reportable segment</w:t>
            </w:r>
          </w:p>
        </w:tc>
        <w:tc>
          <w:tcPr>
            <w:tcW w:w="11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42,770</w:t>
            </w:r>
          </w:p>
        </w:tc>
        <w:tc>
          <w:tcPr>
            <w:tcW w:w="12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Leased, expiring 2014</w:t>
            </w:r>
          </w:p>
        </w:tc>
        <w:tc>
          <w:tcPr>
            <w:tcW w:w="0" w:type="dxa"/>
            <w:vAlign w:val="bottom"/>
          </w:tcPr>
          <w:p>
            <w:pPr>
              <w:spacing w:after="0"/>
              <w:rPr>
                <w:sz w:val="1"/>
                <w:szCs w:val="1"/>
                <w:color w:val="auto"/>
              </w:rPr>
            </w:pPr>
          </w:p>
        </w:tc>
      </w:tr>
      <w:tr>
        <w:trPr>
          <w:trHeight w:val="243"/>
        </w:trPr>
        <w:tc>
          <w:tcPr>
            <w:tcW w:w="2520" w:type="dxa"/>
            <w:vAlign w:val="bottom"/>
            <w:gridSpan w:val="3"/>
          </w:tcPr>
          <w:p>
            <w:pPr>
              <w:ind w:left="40"/>
              <w:spacing w:after="0"/>
              <w:rPr>
                <w:sz w:val="20"/>
                <w:szCs w:val="20"/>
                <w:color w:val="auto"/>
              </w:rPr>
            </w:pPr>
            <w:r>
              <w:rPr>
                <w:rFonts w:ascii="Arial" w:cs="Arial" w:eastAsia="Arial" w:hAnsi="Arial"/>
                <w:sz w:val="18"/>
                <w:szCs w:val="18"/>
                <w:color w:val="auto"/>
              </w:rPr>
              <w:t>Hudson, NH</w:t>
            </w:r>
          </w:p>
        </w:tc>
        <w:tc>
          <w:tcPr>
            <w:tcW w:w="4100" w:type="dxa"/>
            <w:vAlign w:val="bottom"/>
            <w:gridSpan w:val="4"/>
          </w:tcPr>
          <w:p>
            <w:pPr>
              <w:ind w:left="1160"/>
              <w:spacing w:after="0"/>
              <w:rPr>
                <w:sz w:val="20"/>
                <w:szCs w:val="20"/>
                <w:color w:val="auto"/>
              </w:rPr>
            </w:pPr>
            <w:r>
              <w:rPr>
                <w:rFonts w:ascii="Arial" w:cs="Arial" w:eastAsia="Arial" w:hAnsi="Arial"/>
                <w:sz w:val="18"/>
                <w:szCs w:val="18"/>
                <w:color w:val="auto"/>
              </w:rPr>
              <w:t>MCE reportable segment</w:t>
            </w:r>
          </w:p>
        </w:tc>
        <w:tc>
          <w:tcPr>
            <w:tcW w:w="1120" w:type="dxa"/>
            <w:vAlign w:val="bottom"/>
            <w:gridSpan w:val="5"/>
          </w:tcPr>
          <w:p>
            <w:pPr>
              <w:jc w:val="right"/>
              <w:ind w:right="100"/>
              <w:spacing w:after="0"/>
              <w:rPr>
                <w:sz w:val="20"/>
                <w:szCs w:val="20"/>
                <w:color w:val="auto"/>
              </w:rPr>
            </w:pPr>
            <w:r>
              <w:rPr>
                <w:rFonts w:ascii="Arial" w:cs="Arial" w:eastAsia="Arial" w:hAnsi="Arial"/>
                <w:sz w:val="18"/>
                <w:szCs w:val="18"/>
                <w:color w:val="auto"/>
              </w:rPr>
              <w:t>32,000</w:t>
            </w:r>
          </w:p>
        </w:tc>
        <w:tc>
          <w:tcPr>
            <w:tcW w:w="120" w:type="dxa"/>
            <w:vAlign w:val="bottom"/>
          </w:tcPr>
          <w:p>
            <w:pPr>
              <w:spacing w:after="0"/>
              <w:rPr>
                <w:sz w:val="21"/>
                <w:szCs w:val="21"/>
                <w:color w:val="auto"/>
              </w:rPr>
            </w:pPr>
          </w:p>
        </w:tc>
        <w:tc>
          <w:tcPr>
            <w:tcW w:w="3500" w:type="dxa"/>
            <w:vAlign w:val="bottom"/>
            <w:gridSpan w:val="3"/>
          </w:tcPr>
          <w:p>
            <w:pPr>
              <w:ind w:left="20"/>
              <w:spacing w:after="0"/>
              <w:rPr>
                <w:sz w:val="20"/>
                <w:szCs w:val="20"/>
                <w:color w:val="auto"/>
              </w:rPr>
            </w:pPr>
            <w:r>
              <w:rPr>
                <w:rFonts w:ascii="Arial" w:cs="Arial" w:eastAsia="Arial" w:hAnsi="Arial"/>
                <w:sz w:val="18"/>
                <w:szCs w:val="18"/>
                <w:color w:val="auto"/>
              </w:rPr>
              <w:t>Leased, expiring 2014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Huntsville, AL</w:t>
            </w:r>
          </w:p>
        </w:tc>
        <w:tc>
          <w:tcPr>
            <w:tcW w:w="4100" w:type="dxa"/>
            <w:vAlign w:val="bottom"/>
            <w:tcBorders>
              <w:bottom w:val="single" w:sz="8" w:color="CCEEFF"/>
            </w:tcBorders>
            <w:gridSpan w:val="4"/>
            <w:shd w:val="clear" w:color="auto" w:fill="CCEEFF"/>
          </w:tcPr>
          <w:p>
            <w:pPr>
              <w:ind w:left="1160"/>
              <w:spacing w:after="0"/>
              <w:rPr>
                <w:sz w:val="20"/>
                <w:szCs w:val="20"/>
                <w:color w:val="auto"/>
              </w:rPr>
            </w:pPr>
            <w:r>
              <w:rPr>
                <w:rFonts w:ascii="Arial" w:cs="Arial" w:eastAsia="Arial" w:hAnsi="Arial"/>
                <w:sz w:val="18"/>
                <w:szCs w:val="18"/>
                <w:color w:val="auto"/>
              </w:rPr>
              <w:t>MCE reportable segment</w:t>
            </w:r>
          </w:p>
        </w:tc>
        <w:tc>
          <w:tcPr>
            <w:tcW w:w="11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25,137</w:t>
            </w:r>
          </w:p>
        </w:tc>
        <w:tc>
          <w:tcPr>
            <w:tcW w:w="12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Leased, expiring 2014</w:t>
            </w:r>
          </w:p>
        </w:tc>
        <w:tc>
          <w:tcPr>
            <w:tcW w:w="0" w:type="dxa"/>
            <w:vAlign w:val="bottom"/>
          </w:tcPr>
          <w:p>
            <w:pPr>
              <w:spacing w:after="0"/>
              <w:rPr>
                <w:sz w:val="1"/>
                <w:szCs w:val="1"/>
                <w:color w:val="auto"/>
              </w:rPr>
            </w:pPr>
          </w:p>
        </w:tc>
      </w:tr>
      <w:tr>
        <w:trPr>
          <w:trHeight w:val="243"/>
        </w:trPr>
        <w:tc>
          <w:tcPr>
            <w:tcW w:w="2520" w:type="dxa"/>
            <w:vAlign w:val="bottom"/>
            <w:gridSpan w:val="3"/>
          </w:tcPr>
          <w:p>
            <w:pPr>
              <w:ind w:left="40"/>
              <w:spacing w:after="0"/>
              <w:rPr>
                <w:sz w:val="20"/>
                <w:szCs w:val="20"/>
                <w:color w:val="auto"/>
              </w:rPr>
            </w:pPr>
            <w:r>
              <w:rPr>
                <w:rFonts w:ascii="Arial" w:cs="Arial" w:eastAsia="Arial" w:hAnsi="Arial"/>
                <w:sz w:val="18"/>
                <w:szCs w:val="18"/>
                <w:color w:val="auto"/>
              </w:rPr>
              <w:t>West Caldwell, NJ</w:t>
            </w:r>
          </w:p>
        </w:tc>
        <w:tc>
          <w:tcPr>
            <w:tcW w:w="4100" w:type="dxa"/>
            <w:vAlign w:val="bottom"/>
            <w:gridSpan w:val="4"/>
          </w:tcPr>
          <w:p>
            <w:pPr>
              <w:ind w:left="1160"/>
              <w:spacing w:after="0"/>
              <w:rPr>
                <w:sz w:val="20"/>
                <w:szCs w:val="20"/>
                <w:color w:val="auto"/>
              </w:rPr>
            </w:pPr>
            <w:r>
              <w:rPr>
                <w:rFonts w:ascii="Arial" w:cs="Arial" w:eastAsia="Arial" w:hAnsi="Arial"/>
                <w:sz w:val="18"/>
                <w:szCs w:val="18"/>
                <w:color w:val="auto"/>
              </w:rPr>
              <w:t>MCE reportable segment</w:t>
            </w:r>
          </w:p>
        </w:tc>
        <w:tc>
          <w:tcPr>
            <w:tcW w:w="1120" w:type="dxa"/>
            <w:vAlign w:val="bottom"/>
            <w:gridSpan w:val="5"/>
          </w:tcPr>
          <w:p>
            <w:pPr>
              <w:jc w:val="right"/>
              <w:ind w:right="100"/>
              <w:spacing w:after="0"/>
              <w:rPr>
                <w:sz w:val="20"/>
                <w:szCs w:val="20"/>
                <w:color w:val="auto"/>
              </w:rPr>
            </w:pPr>
            <w:r>
              <w:rPr>
                <w:rFonts w:ascii="Arial" w:cs="Arial" w:eastAsia="Arial" w:hAnsi="Arial"/>
                <w:sz w:val="18"/>
                <w:szCs w:val="18"/>
                <w:color w:val="auto"/>
              </w:rPr>
              <w:t>23,000</w:t>
            </w:r>
          </w:p>
        </w:tc>
        <w:tc>
          <w:tcPr>
            <w:tcW w:w="120" w:type="dxa"/>
            <w:vAlign w:val="bottom"/>
          </w:tcPr>
          <w:p>
            <w:pPr>
              <w:spacing w:after="0"/>
              <w:rPr>
                <w:sz w:val="21"/>
                <w:szCs w:val="21"/>
                <w:color w:val="auto"/>
              </w:rPr>
            </w:pPr>
          </w:p>
        </w:tc>
        <w:tc>
          <w:tcPr>
            <w:tcW w:w="3500" w:type="dxa"/>
            <w:vAlign w:val="bottom"/>
            <w:gridSpan w:val="3"/>
          </w:tcPr>
          <w:p>
            <w:pPr>
              <w:ind w:left="20"/>
              <w:spacing w:after="0"/>
              <w:rPr>
                <w:sz w:val="20"/>
                <w:szCs w:val="20"/>
                <w:color w:val="auto"/>
              </w:rPr>
            </w:pPr>
            <w:r>
              <w:rPr>
                <w:rFonts w:ascii="Arial" w:cs="Arial" w:eastAsia="Arial" w:hAnsi="Arial"/>
                <w:sz w:val="18"/>
                <w:szCs w:val="18"/>
                <w:color w:val="auto"/>
              </w:rPr>
              <w:t>Leased, expiring 2013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Ewing, NJ</w:t>
            </w:r>
          </w:p>
        </w:tc>
        <w:tc>
          <w:tcPr>
            <w:tcW w:w="4100" w:type="dxa"/>
            <w:vAlign w:val="bottom"/>
            <w:tcBorders>
              <w:bottom w:val="single" w:sz="8" w:color="CCEEFF"/>
            </w:tcBorders>
            <w:gridSpan w:val="4"/>
            <w:shd w:val="clear" w:color="auto" w:fill="CCEEFF"/>
          </w:tcPr>
          <w:p>
            <w:pPr>
              <w:ind w:left="1160"/>
              <w:spacing w:after="0"/>
              <w:rPr>
                <w:sz w:val="20"/>
                <w:szCs w:val="20"/>
                <w:color w:val="auto"/>
              </w:rPr>
            </w:pPr>
            <w:r>
              <w:rPr>
                <w:rFonts w:ascii="Arial" w:cs="Arial" w:eastAsia="Arial" w:hAnsi="Arial"/>
                <w:sz w:val="18"/>
                <w:szCs w:val="18"/>
                <w:color w:val="auto"/>
              </w:rPr>
              <w:t>MCE reportable segment</w:t>
            </w:r>
          </w:p>
        </w:tc>
        <w:tc>
          <w:tcPr>
            <w:tcW w:w="11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21,000</w:t>
            </w:r>
          </w:p>
        </w:tc>
        <w:tc>
          <w:tcPr>
            <w:tcW w:w="12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Leased, expiring 2014</w:t>
            </w:r>
          </w:p>
        </w:tc>
        <w:tc>
          <w:tcPr>
            <w:tcW w:w="0" w:type="dxa"/>
            <w:vAlign w:val="bottom"/>
          </w:tcPr>
          <w:p>
            <w:pPr>
              <w:spacing w:after="0"/>
              <w:rPr>
                <w:sz w:val="1"/>
                <w:szCs w:val="1"/>
                <w:color w:val="auto"/>
              </w:rPr>
            </w:pPr>
          </w:p>
        </w:tc>
      </w:tr>
      <w:tr>
        <w:trPr>
          <w:trHeight w:val="243"/>
        </w:trPr>
        <w:tc>
          <w:tcPr>
            <w:tcW w:w="2520" w:type="dxa"/>
            <w:vAlign w:val="bottom"/>
            <w:gridSpan w:val="3"/>
          </w:tcPr>
          <w:p>
            <w:pPr>
              <w:ind w:left="40"/>
              <w:spacing w:after="0"/>
              <w:rPr>
                <w:sz w:val="20"/>
                <w:szCs w:val="20"/>
                <w:color w:val="auto"/>
              </w:rPr>
            </w:pPr>
            <w:r>
              <w:rPr>
                <w:rFonts w:ascii="Arial" w:cs="Arial" w:eastAsia="Arial" w:hAnsi="Arial"/>
                <w:sz w:val="18"/>
                <w:szCs w:val="18"/>
                <w:color w:val="auto"/>
              </w:rPr>
              <w:t>Manteca, CA</w:t>
            </w:r>
          </w:p>
        </w:tc>
        <w:tc>
          <w:tcPr>
            <w:tcW w:w="4100" w:type="dxa"/>
            <w:vAlign w:val="bottom"/>
            <w:gridSpan w:val="4"/>
          </w:tcPr>
          <w:p>
            <w:pPr>
              <w:ind w:left="1160"/>
              <w:spacing w:after="0"/>
              <w:rPr>
                <w:sz w:val="20"/>
                <w:szCs w:val="20"/>
                <w:color w:val="auto"/>
              </w:rPr>
            </w:pPr>
            <w:r>
              <w:rPr>
                <w:rFonts w:ascii="Arial" w:cs="Arial" w:eastAsia="Arial" w:hAnsi="Arial"/>
                <w:sz w:val="18"/>
                <w:szCs w:val="18"/>
                <w:color w:val="auto"/>
              </w:rPr>
              <w:t>MCE reportable segment</w:t>
            </w:r>
          </w:p>
        </w:tc>
        <w:tc>
          <w:tcPr>
            <w:tcW w:w="1120" w:type="dxa"/>
            <w:vAlign w:val="bottom"/>
            <w:gridSpan w:val="5"/>
          </w:tcPr>
          <w:p>
            <w:pPr>
              <w:jc w:val="right"/>
              <w:ind w:right="100"/>
              <w:spacing w:after="0"/>
              <w:rPr>
                <w:sz w:val="20"/>
                <w:szCs w:val="20"/>
                <w:color w:val="auto"/>
              </w:rPr>
            </w:pPr>
            <w:r>
              <w:rPr>
                <w:rFonts w:ascii="Arial" w:cs="Arial" w:eastAsia="Arial" w:hAnsi="Arial"/>
                <w:sz w:val="18"/>
                <w:szCs w:val="18"/>
                <w:color w:val="auto"/>
              </w:rPr>
              <w:t>20,750</w:t>
            </w:r>
          </w:p>
        </w:tc>
        <w:tc>
          <w:tcPr>
            <w:tcW w:w="120" w:type="dxa"/>
            <w:vAlign w:val="bottom"/>
          </w:tcPr>
          <w:p>
            <w:pPr>
              <w:spacing w:after="0"/>
              <w:rPr>
                <w:sz w:val="21"/>
                <w:szCs w:val="21"/>
                <w:color w:val="auto"/>
              </w:rPr>
            </w:pPr>
          </w:p>
        </w:tc>
        <w:tc>
          <w:tcPr>
            <w:tcW w:w="3500" w:type="dxa"/>
            <w:vAlign w:val="bottom"/>
            <w:gridSpan w:val="3"/>
          </w:tcPr>
          <w:p>
            <w:pPr>
              <w:ind w:left="20"/>
              <w:spacing w:after="0"/>
              <w:rPr>
                <w:sz w:val="20"/>
                <w:szCs w:val="20"/>
                <w:color w:val="auto"/>
              </w:rPr>
            </w:pPr>
            <w:r>
              <w:rPr>
                <w:rFonts w:ascii="Arial" w:cs="Arial" w:eastAsia="Arial" w:hAnsi="Arial"/>
                <w:sz w:val="18"/>
                <w:szCs w:val="18"/>
                <w:color w:val="auto"/>
              </w:rPr>
              <w:t>Leased, expiring 2013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Aurora, CO</w:t>
            </w:r>
          </w:p>
        </w:tc>
        <w:tc>
          <w:tcPr>
            <w:tcW w:w="4100" w:type="dxa"/>
            <w:vAlign w:val="bottom"/>
            <w:tcBorders>
              <w:bottom w:val="single" w:sz="8" w:color="CCEEFF"/>
            </w:tcBorders>
            <w:gridSpan w:val="4"/>
            <w:shd w:val="clear" w:color="auto" w:fill="CCEEFF"/>
          </w:tcPr>
          <w:p>
            <w:pPr>
              <w:ind w:left="1160"/>
              <w:spacing w:after="0"/>
              <w:rPr>
                <w:sz w:val="20"/>
                <w:szCs w:val="20"/>
                <w:color w:val="auto"/>
              </w:rPr>
            </w:pPr>
            <w:r>
              <w:rPr>
                <w:rFonts w:ascii="Arial" w:cs="Arial" w:eastAsia="Arial" w:hAnsi="Arial"/>
                <w:sz w:val="18"/>
                <w:szCs w:val="18"/>
                <w:color w:val="auto"/>
              </w:rPr>
              <w:t>MDIS reportable segment</w:t>
            </w:r>
          </w:p>
        </w:tc>
        <w:tc>
          <w:tcPr>
            <w:tcW w:w="11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16,775</w:t>
            </w:r>
          </w:p>
        </w:tc>
        <w:tc>
          <w:tcPr>
            <w:tcW w:w="12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Leased, expiring 2017</w:t>
            </w:r>
          </w:p>
        </w:tc>
        <w:tc>
          <w:tcPr>
            <w:tcW w:w="0" w:type="dxa"/>
            <w:vAlign w:val="bottom"/>
          </w:tcPr>
          <w:p>
            <w:pPr>
              <w:spacing w:after="0"/>
              <w:rPr>
                <w:sz w:val="1"/>
                <w:szCs w:val="1"/>
                <w:color w:val="auto"/>
              </w:rPr>
            </w:pPr>
          </w:p>
        </w:tc>
      </w:tr>
      <w:tr>
        <w:trPr>
          <w:trHeight w:val="243"/>
        </w:trPr>
        <w:tc>
          <w:tcPr>
            <w:tcW w:w="2520" w:type="dxa"/>
            <w:vAlign w:val="bottom"/>
            <w:gridSpan w:val="3"/>
          </w:tcPr>
          <w:p>
            <w:pPr>
              <w:ind w:left="40"/>
              <w:spacing w:after="0"/>
              <w:rPr>
                <w:sz w:val="20"/>
                <w:szCs w:val="20"/>
                <w:color w:val="auto"/>
              </w:rPr>
            </w:pPr>
            <w:r>
              <w:rPr>
                <w:rFonts w:ascii="Arial" w:cs="Arial" w:eastAsia="Arial" w:hAnsi="Arial"/>
                <w:sz w:val="18"/>
                <w:szCs w:val="18"/>
                <w:color w:val="auto"/>
              </w:rPr>
              <w:t>Salem, NH</w:t>
            </w:r>
          </w:p>
        </w:tc>
        <w:tc>
          <w:tcPr>
            <w:tcW w:w="4100" w:type="dxa"/>
            <w:vAlign w:val="bottom"/>
            <w:gridSpan w:val="4"/>
          </w:tcPr>
          <w:p>
            <w:pPr>
              <w:ind w:left="1160"/>
              <w:spacing w:after="0"/>
              <w:rPr>
                <w:sz w:val="20"/>
                <w:szCs w:val="20"/>
                <w:color w:val="auto"/>
              </w:rPr>
            </w:pPr>
            <w:r>
              <w:rPr>
                <w:rFonts w:ascii="Arial" w:cs="Arial" w:eastAsia="Arial" w:hAnsi="Arial"/>
                <w:sz w:val="18"/>
                <w:szCs w:val="18"/>
                <w:color w:val="auto"/>
              </w:rPr>
              <w:t>MCE reportable segment</w:t>
            </w:r>
          </w:p>
        </w:tc>
        <w:tc>
          <w:tcPr>
            <w:tcW w:w="1120" w:type="dxa"/>
            <w:vAlign w:val="bottom"/>
            <w:gridSpan w:val="5"/>
          </w:tcPr>
          <w:p>
            <w:pPr>
              <w:jc w:val="right"/>
              <w:ind w:right="100"/>
              <w:spacing w:after="0"/>
              <w:rPr>
                <w:sz w:val="20"/>
                <w:szCs w:val="20"/>
                <w:color w:val="auto"/>
              </w:rPr>
            </w:pPr>
            <w:r>
              <w:rPr>
                <w:rFonts w:ascii="Arial" w:cs="Arial" w:eastAsia="Arial" w:hAnsi="Arial"/>
                <w:sz w:val="18"/>
                <w:szCs w:val="18"/>
                <w:color w:val="auto"/>
              </w:rPr>
              <w:t>16,290</w:t>
            </w:r>
          </w:p>
        </w:tc>
        <w:tc>
          <w:tcPr>
            <w:tcW w:w="120" w:type="dxa"/>
            <w:vAlign w:val="bottom"/>
          </w:tcPr>
          <w:p>
            <w:pPr>
              <w:spacing w:after="0"/>
              <w:rPr>
                <w:sz w:val="21"/>
                <w:szCs w:val="21"/>
                <w:color w:val="auto"/>
              </w:rPr>
            </w:pPr>
          </w:p>
        </w:tc>
        <w:tc>
          <w:tcPr>
            <w:tcW w:w="3500" w:type="dxa"/>
            <w:vAlign w:val="bottom"/>
            <w:gridSpan w:val="3"/>
          </w:tcPr>
          <w:p>
            <w:pPr>
              <w:ind w:left="20"/>
              <w:spacing w:after="0"/>
              <w:rPr>
                <w:sz w:val="20"/>
                <w:szCs w:val="20"/>
                <w:color w:val="auto"/>
              </w:rPr>
            </w:pPr>
            <w:r>
              <w:rPr>
                <w:rFonts w:ascii="Arial" w:cs="Arial" w:eastAsia="Arial" w:hAnsi="Arial"/>
                <w:sz w:val="18"/>
                <w:szCs w:val="18"/>
                <w:color w:val="auto"/>
              </w:rPr>
              <w:t>Leased, expiring 2014</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actively manages its facilities and is in pursuit of lease extensions or alternative locations for facilities with expiration dates in 2013 or 2014. In addition, we lease a number of smaller offices around the world primarily for sales. For financial information regarding obligations under our leases, see Note K to the consolidated financial statements.</w:t>
      </w:r>
    </w:p>
    <w:p>
      <w:pPr>
        <w:spacing w:after="0" w:line="12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U.S. Department of Justice (“DOJ”) conducted an investigation into the conduct of certain former employees of PDI (which was acquired by the Company in connection with the acquisition of KOR Electronics on December 30, 2011) in the 2008-2009 time frame, asserting, among other things, that such conduct may have constituted a violation of the Procurement Integrity Act. On August 31, 2012, the DOJ and PDI entered into a settlement agreement related to the investigation pursuant to which the DOJ released PDI and its affiliates from any civil monetary claims relating to the alleged conduct. PDI did not admit liability for the alleged conduct in the settlement. We were fully indemnified with respect to this matter by the former shareholders of KOR Electronics pursuant to the Company's merger agreement with KOR dated December 22, 2011.</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to the foregoing, we are subject to litigation, claims, investigations and audits arising from time to time in the ordinary course of our business. Although legal proceedings are inherently unpredictable, we believe that we have valid defenses with respect to those matters currently pending against us and intend to defend our self vigorously. The outcome of these matters, individually and in the aggregate, is not expected to have a material impact on our cash flows, results of operations, or financial position.</w:t>
      </w:r>
    </w:p>
    <w:p>
      <w:pPr>
        <w:spacing w:after="0" w:line="1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(REMOVED AND RESERVED)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4.1.</w:t>
      </w:r>
      <w:r>
        <w:rPr>
          <w:sz w:val="20"/>
          <w:szCs w:val="20"/>
          <w:color w:val="auto"/>
        </w:rPr>
        <w:tab/>
      </w:r>
      <w:r>
        <w:rPr>
          <w:rFonts w:ascii="Arial" w:cs="Arial" w:eastAsia="Arial" w:hAnsi="Arial"/>
          <w:sz w:val="18"/>
          <w:szCs w:val="18"/>
          <w:b w:val="1"/>
          <w:bCs w:val="1"/>
          <w:color w:val="auto"/>
        </w:rPr>
        <w:t>EXECUTIVE OFFICERS OF THE REGISTRANT</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executive officers are appointed to office by the Board of Directors at the first board meeting following the Annual Meeting of Shareholders or at other board meetings as appropriate, and hold office until the first board meeting following the next Annual Meeting of Shareholders and until a successor is chosen, subject to prior death, resignation or removal. Information regarding our executive officers as of the date of filing of this Annual Report on Form 10-K is presented below.</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Mark Aslett</w:t>
      </w:r>
      <w:r>
        <w:rPr>
          <w:rFonts w:ascii="Arial" w:cs="Arial" w:eastAsia="Arial" w:hAnsi="Arial"/>
          <w:sz w:val="18"/>
          <w:szCs w:val="18"/>
          <w:color w:val="auto"/>
        </w:rPr>
        <w:t>, age 45, joined Mercury in 2007 and has served as the President and Chief Executive Officer since that date, and served as a member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since 2007. Prior to joining Mercury, he was Chief Operating Officer and Chief Executive Officer of Enterasys Networks from 2003 to 2006, and held various positions with Marconi plc and its affiliated companies, including Executive Vice President of Marketing, Vice President of Portfolio Management, and President of Marconi Communications—North America, from 1998 to 2002. Mr. Aslett has also held positions at GEC Plessey Telecommunications, as well as other telecommunications-related technology firms.</w:t>
      </w:r>
    </w:p>
    <w:p>
      <w:pPr>
        <w:spacing w:after="0" w:line="13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Kevin M. Bisson</w:t>
      </w:r>
      <w:r>
        <w:rPr>
          <w:rFonts w:ascii="Arial" w:cs="Arial" w:eastAsia="Arial" w:hAnsi="Arial"/>
          <w:sz w:val="17"/>
          <w:szCs w:val="17"/>
          <w:color w:val="auto"/>
        </w:rPr>
        <w:t>, age 52, joined Mercury in 2012 as Senior Vice President, Chief Financial Officer and Treasurer. Prior to joining Mercury, Mr. Bisson</w:t>
      </w:r>
      <w:r>
        <w:rPr>
          <w:rFonts w:ascii="Arial" w:cs="Arial" w:eastAsia="Arial" w:hAnsi="Arial"/>
          <w:sz w:val="17"/>
          <w:szCs w:val="17"/>
          <w:i w:val="1"/>
          <w:iCs w:val="1"/>
          <w:color w:val="auto"/>
        </w:rPr>
        <w:t xml:space="preserve"> </w:t>
      </w:r>
      <w:r>
        <w:rPr>
          <w:rFonts w:ascii="Arial" w:cs="Arial" w:eastAsia="Arial" w:hAnsi="Arial"/>
          <w:sz w:val="17"/>
          <w:szCs w:val="17"/>
          <w:color w:val="auto"/>
        </w:rPr>
        <w:t>had been Chief Financial Officer, Treasurer, Secretary, and Senior Vice President, Finance and Administration, at SeaChange International, Inc., a publicly-traded global multi-screen video software company. Mr. Bisson worked at SeaChange from March 2006 until January 2012. Prior to joining SeaChange, Mr. Bisson served from May 2003 until March 2006 as the Senior Vice President and Chief Financial Officer of American Superconductor Corporation, a publicly-traded energy technologies company. Mr. Bisson served from 2000 to 2003 as Vice President, Controller, and Treasurer for Axcelis Technologies, Inc., a publicly-traded semiconductor equipment manufacturing company. Prior to joining Axcelis Technologies, Mr. Bisson served for ten years in a number of financial capacities with United Technologies Corporation. Mr. Bisson is a CPA.</w:t>
      </w:r>
    </w:p>
    <w:p>
      <w:pPr>
        <w:spacing w:after="0" w:line="124"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i w:val="1"/>
          <w:iCs w:val="1"/>
          <w:color w:val="auto"/>
        </w:rPr>
        <w:t>Gerald M. Haines II</w:t>
      </w:r>
      <w:r>
        <w:rPr>
          <w:rFonts w:ascii="Arial" w:cs="Arial" w:eastAsia="Arial" w:hAnsi="Arial"/>
          <w:sz w:val="16"/>
          <w:szCs w:val="16"/>
          <w:color w:val="auto"/>
        </w:rPr>
        <w:t>, age 50, joined Mercury in 2010 as Senior Vice President, Corporate Development, Chief Legal Officer, and Secretary.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joining Mercury, from January 2008 to June 2010, Mr. Haines was Executive Vice President, Chief Legal Officer and Secretary at Verenium Corporation, a publicly traded company engaged in the development and commercialization of cellulosic biofuels and high performance specialty enzymes. From September 2006 to December 2007, he was an advisor to early-stage companies on legal and business matters. From May 2001 to August 2006, Mr. Haines served as Executive Vice President of Strategic Affairs, Chief Legal Officer and Secretary of Enterasys Networks, Inc., a public network communications company that was taken private in March 2006 following a successful business restructuring and turnaround. Prior to Enterasys Networks, Mr. Haines served as Senior Vice President and General Counsel of Cabletron Systems, Inc., the predecessor of Enterasys Networks. Before Cabletron, he was Vice President and General Counsel of the largest manufacturer of oriented polypropylene packaging and labeling films in North America, and prior to that was in private practice as a corporate attorney in a large Boston law firm. Mr. Haines is admitted to practice in Massachusetts, Maine, and the Federal District of Massachusetts.</w:t>
      </w:r>
    </w:p>
    <w:p>
      <w:pPr>
        <w:spacing w:after="0" w:line="11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Charles A. Speicher</w:t>
      </w:r>
      <w:r>
        <w:rPr>
          <w:rFonts w:ascii="Arial" w:cs="Arial" w:eastAsia="Arial" w:hAnsi="Arial"/>
          <w:sz w:val="18"/>
          <w:szCs w:val="18"/>
          <w:color w:val="auto"/>
        </w:rPr>
        <w:t>, age 54, joined Mercury in 2010 as Vice President, Controller, and Chief Accounting Officer. Prior to joining Mercury,</w:t>
      </w:r>
      <w:r>
        <w:rPr>
          <w:rFonts w:ascii="Arial" w:cs="Arial" w:eastAsia="Arial" w:hAnsi="Arial"/>
          <w:sz w:val="18"/>
          <w:szCs w:val="18"/>
          <w:i w:val="1"/>
          <w:iCs w:val="1"/>
          <w:color w:val="auto"/>
        </w:rPr>
        <w:t xml:space="preserve"> </w:t>
      </w:r>
      <w:r>
        <w:rPr>
          <w:rFonts w:ascii="Arial" w:cs="Arial" w:eastAsia="Arial" w:hAnsi="Arial"/>
          <w:sz w:val="18"/>
          <w:szCs w:val="18"/>
          <w:color w:val="auto"/>
        </w:rPr>
        <w:t>Mr. Speicher held various positions at Virtusa Corporation, a publicly-traded global IT services company, including Vice President of Global Accounting Operations and Corporate Controller from 2001 to 2009. Mr. Speicher was Corporate Controller at Cerulean Technologies Inc., a private software product company, from 1996 to 2000 prior to its sale to Aether Systems Inc. where he served as Division Controller of Aether Mobile Government from 2000 to 2001. Prior to joining Cerulean Technology, Mr. Speicher held positions with Wyman-Gordon Company, Wang Laboratories and Arthur Andersen &amp; Company, LLP. Mr. Speicher is a CPA licensed in Massachusetts.</w:t>
      </w:r>
    </w:p>
    <w:p>
      <w:pPr>
        <w:spacing w:after="0" w:line="1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Didier M.C. Thibaud</w:t>
      </w:r>
      <w:r>
        <w:rPr>
          <w:rFonts w:ascii="Arial" w:cs="Arial" w:eastAsia="Arial" w:hAnsi="Arial"/>
          <w:sz w:val="18"/>
          <w:szCs w:val="18"/>
          <w:color w:val="auto"/>
        </w:rPr>
        <w:t>, age 52, joined Mercury in 1995, and has served as President of our Mercury Commercial Electronics business unit since 2012.</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that, he was President of our Advanced Computing Solutions business unit since 2007. Prior to that, he was Senior Vice President, Defense &amp; Commercial Businesses from 2005 to June 2007 and Vice President and General Manager, Imaging and Visualization Solutions Group, from 2000 to 2005 and served in various capacities in sales and marketing from 1995 to 2000.</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1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common stock is listed and traded on the Nasdaq Global Select Market under the symbol MRCY. The following table sets forth, for the fiscal periods indicated, the high and low sale prices per share for our common stock during such periods. Such market quotations reflect inter-dealer prices without retail markup, markdown or commission.</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High</w:t>
            </w:r>
          </w:p>
        </w:tc>
        <w:tc>
          <w:tcPr>
            <w:tcW w:w="280" w:type="dxa"/>
            <w:vAlign w:val="bottom"/>
          </w:tcPr>
          <w:p>
            <w:pPr>
              <w:spacing w:after="0"/>
              <w:rPr>
                <w:sz w:val="16"/>
                <w:szCs w:val="16"/>
                <w:color w:val="auto"/>
              </w:rPr>
            </w:pPr>
          </w:p>
        </w:tc>
        <w:tc>
          <w:tcPr>
            <w:tcW w:w="860" w:type="dxa"/>
            <w:vAlign w:val="bottom"/>
          </w:tcPr>
          <w:p>
            <w:pPr>
              <w:jc w:val="right"/>
              <w:ind w:right="352"/>
              <w:spacing w:after="0"/>
              <w:rPr>
                <w:sz w:val="20"/>
                <w:szCs w:val="20"/>
                <w:color w:val="auto"/>
              </w:rPr>
            </w:pPr>
            <w:r>
              <w:rPr>
                <w:rFonts w:ascii="Arial" w:cs="Arial" w:eastAsia="Arial" w:hAnsi="Arial"/>
                <w:sz w:val="14"/>
                <w:szCs w:val="14"/>
                <w:b w:val="1"/>
                <w:bCs w:val="1"/>
                <w:color w:val="auto"/>
              </w:rPr>
              <w:t>Low</w:t>
            </w: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 Fourth quarter</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7.13</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6.76</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8.51</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 Fourth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11.61</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13.01</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11.35</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19.27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11.49</w:t>
            </w: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July 31, 2013, we had approximately 5,023 shareholders including record and nominee holders.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never declared or paid cash dividends on shares of our common stock. We currently intend to retain any earnings for future growth.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do not anticipate that any cash dividends will be declared or paid on our common stock in the foreseeable future.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Share Settlement Plans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fiscal 2013, we had no active net share settlement plans.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fiscal 2013, we had no active share repurchase programs.</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60" w:firstLine="432"/>
        <w:spacing w:after="0" w:line="308" w:lineRule="auto"/>
        <w:rPr>
          <w:sz w:val="20"/>
          <w:szCs w:val="20"/>
          <w:color w:val="auto"/>
        </w:rPr>
      </w:pPr>
      <w:r>
        <w:rPr>
          <w:rFonts w:ascii="Arial" w:cs="Arial" w:eastAsia="Arial" w:hAnsi="Arial"/>
          <w:sz w:val="17"/>
          <w:szCs w:val="17"/>
          <w:color w:val="auto"/>
        </w:rPr>
        <w:t>The following table summarizes certain historical consolidated financial data, restated for discontinued operations, which should be read in conjunction with the consolidated financial statements and related notes included elsewhere in this report (in thousands, except per share data):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For the Years Ended June 30,</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2009</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208,791</w:t>
            </w: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244,929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228,710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199,830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188,939</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(23,689)</w:t>
            </w:r>
          </w:p>
        </w:tc>
        <w:tc>
          <w:tcPr>
            <w:tcW w:w="4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30,112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24,985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7,747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(Loss) income from continuing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(13,208)</w:t>
            </w: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22,619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18,442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28,069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7,909</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11,685</w:t>
            </w:r>
          </w:p>
        </w:tc>
        <w:tc>
          <w:tcPr>
            <w:tcW w:w="4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48,874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40,883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22,858</w:t>
            </w: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Net (loss) earnings per share from continuing</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4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0.36</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(0.44)</w:t>
            </w: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0.35</w:t>
            </w:r>
          </w:p>
        </w:tc>
      </w:tr>
      <w:tr>
        <w:trPr>
          <w:trHeight w:val="486"/>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27</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 June 30,</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2009</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115,483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170,761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203,978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111,249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80,716</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374,431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385,606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355,562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224,338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219,372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Long-term obligations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15,112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15,560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17,920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10,621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8,946</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328,501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333,104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301,436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179,112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145,037</w:t>
            </w:r>
          </w:p>
        </w:tc>
      </w:tr>
      <w:tr>
        <w:trPr>
          <w:trHeight w:val="27"/>
        </w:trPr>
        <w:tc>
          <w:tcPr>
            <w:tcW w:w="4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left="540" w:hanging="316"/>
        <w:spacing w:after="0" w:line="269" w:lineRule="auto"/>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our periodic communications, we discuss a key measure that is not calculated according to U.S. generally accepted accounting principles (“GAAP”), adjusted EBITDA. Adjusted EBITDA is defined as earnings from continuing operations before interest income and expense, income taxes, depreciation, amortization of acquired intangible assets, restructuring, impairment of long-lived assets, acquisition costs and other related expenses, fair value adjustments from purchase accounting and stock-based compensation costs. We 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a component of bonus compensation for executive officers and other key employees based on operating performance and evaluating short-term and long-term operating trends in our operations. We believe the adjusted EBITDA financial measure assists in providing a more complete understanding of our underlying operational measures to manage our business, to evaluate our performance compared to prior periods and the marketplace, and to establish operational goals. We believe that these non-GAAP financial adjustments are useful to investors because they allow investors to evaluate the effectiveness of the methodology and information used by management in our financial and operational decision-making.</w:t>
      </w:r>
    </w:p>
    <w:p>
      <w:pPr>
        <w:spacing w:after="0" w:line="48" w:lineRule="exact"/>
        <w:rPr>
          <w:sz w:val="20"/>
          <w:szCs w:val="20"/>
          <w:color w:val="auto"/>
        </w:rPr>
      </w:pPr>
    </w:p>
    <w:p>
      <w:pPr>
        <w:jc w:val="both"/>
        <w:ind w:left="580"/>
        <w:spacing w:after="0" w:line="297" w:lineRule="auto"/>
        <w:rPr>
          <w:sz w:val="20"/>
          <w:szCs w:val="20"/>
          <w:color w:val="auto"/>
        </w:rPr>
      </w:pPr>
      <w:r>
        <w:rPr>
          <w:rFonts w:ascii="Arial" w:cs="Arial" w:eastAsia="Arial" w:hAnsi="Arial"/>
          <w:sz w:val="16"/>
          <w:szCs w:val="16"/>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 See the Non-GAAP Financial Measures section of this annual report for a reconciliation of our adjusted EBITDA to income from continuing operations.</w:t>
      </w:r>
    </w:p>
    <w:p>
      <w:pPr>
        <w:spacing w:after="0" w:line="10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7"/>
          <w:szCs w:val="17"/>
          <w:color w:val="auto"/>
        </w:rPr>
        <w:t>From time to time, information provided, statements made by our employees or information included in our filings with the Securities and Exchange Commission may contain statements that are not historical facts but that are “forward-looking statements,” which involve risks and uncertainties. The words “may,” “will,” “would,” “should,” “could,” “plan,” “expect,” “believe,” “anticipate,” “continue,” “estimate,” “project,” “intend,” “likely,” “forecast,” “probable,” and similar expressions are intended to identify forward-looking statements regarding events, conditions and financial trends that may affect our future plans of operations, business strategy, results of operations and financial position. These forward-looking statements, which include those related to our strategic plans, business outlook, and future business and financial performance, involve risks and uncertainties that could cause actual results to differ materially from those projected or anticipated. Such risks and uncertainties include, but are not limited to, continued funding of defense programs and the timing of such funding, including the potential for a continuing resolution for the defense budget and defense budget sequestration, general economic and business conditions, including unforeseen economic weakness in our markets, effects of continued geo-political unrest and regional conflicts, competition, changes in technology and methods of marketing, delays in completing various engineering and manufacturing programs, changes in customer order patterns, changes in product mix, continued success in technological advances and delivering technological innovations, changes in the U.S. Government’s interpretation of federal procurement rules and regulations, market acceptance of our products, shortages in components, production delays due to performance quality issues with outsourced components, inability to fully realize the expected benefits from acquisitions or delays in realizing such benefits, challenges in integrating acquired businesses and achieving anticipated synergies, changes to export regulations, increases in tax rates, changes to generally accepted accounting principles, difficulties in retaining key employees and customers, unanticipated costs under fixed-price service and system integration engagements, and various other factors beyond our control. These risks and uncertainties also include such additional risk factors as set forth under Part I-Item 1A (Risk Factors) in this Annual Report on Form 10-K.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Mercury Systems provides commercially developed, open sensor and Big Data processing systems, software and services for critical commercial, defense and intelligence applications. We deliver innovative solutions, rapid time-to-value and world-class service and support to our defense prime contractor customers. Our products and solutions have been deployed in more than 300 programs with over 25 different defense prime contractors. Key programs include Aegis, Patriot, Surface Electronic Warfare Improvement Program ("SEWIP"), Predator and Reaper. We also deliver services and solutions in support of the intelligence community. Our organizational structure allows the Company to deliver capabilities that combine technology building blocks, deep domain expertise in the defense sector and critical solution areas, and specialized skills in serving the intelligence community. We believe our total portfolio of services and solutions is unique in the industry.</w:t>
      </w:r>
    </w:p>
    <w:p>
      <w:pPr>
        <w:spacing w:after="0" w:line="135"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As of June 30, 2013, we had 756 employees. Our revenue, net (loss) and adjusted EBITDA for fiscal 2013 were $208.8 million, $(13.2) million, and $11.7 million, respectively. See the Non-GAAP Financial Measures section for a reconciliation of our net income (loss) to adjusted EBITDA.</w:t>
      </w:r>
    </w:p>
    <w:p>
      <w:pPr>
        <w:spacing w:after="0" w:line="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operations are organized in the following two reportable segments: (i) Mercury Commercial Electronics and (ii) Mercury Defense and Intelligence Systems ("MDIS"). We combined the MDS and MIS businesses as they both entail similar products and services and have a similar customer base. See below for a description of our two reportable segments:</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Mercury Commercial Electronics, </w:t>
      </w:r>
      <w:r>
        <w:rPr>
          <w:rFonts w:ascii="Arial" w:cs="Arial" w:eastAsia="Arial" w:hAnsi="Arial"/>
          <w:sz w:val="18"/>
          <w:szCs w:val="18"/>
          <w:color w:val="auto"/>
        </w:rPr>
        <w:t>or MCE, provides commercially designed and developed, open sensor and Big Data processing systems for critical</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defense and intelligence applications. We deliver innovative solutions, rapid time-to-value and world-class service and support to our prime defense contractor customers. Our technologies and capabilities include embedded processing modules and subsystems, RF and microwave multi-function assemblies as well as subsystems, and RF and microwave components.</w:t>
      </w:r>
    </w:p>
    <w:p>
      <w:pPr>
        <w:spacing w:after="0" w:line="13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MCE utilizes leading edge, high performance computing technologies architected by leveraging open standards and open architectures to address highly data-intensive applications that include signal, sensor and image processing. All of this while addressing the packaging challenges, often referred to as “SWaP” (size, weight, and power) that are common in military as well as some commercial applications. In addition, MCE designs and builds RF and microwave components and subsystems to meet the needs of the EW, SIGINT and other high bandwidth communications requirements and applications.</w:t>
      </w:r>
    </w:p>
    <w:p>
      <w:pPr>
        <w:spacing w:after="0" w:line="10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With the acquisition of Micronetics, Inc. (“Micronetics”) in August 2012, we added a leading designer and manufacturer of microwave and RF subsystems and components for defense and commercial customers. This acquisition was directly aligned with our strategy of expanding our capabilities, services and offerings along the sensor processing chain.</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fiscal 2013, MCE accounted for 73% of our total net revenues.</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i w:val="1"/>
          <w:iCs w:val="1"/>
          <w:color w:val="auto"/>
        </w:rPr>
        <w:t xml:space="preserve">Mercury Defense and Intelligence Systems, </w:t>
      </w:r>
      <w:r>
        <w:rPr>
          <w:rFonts w:ascii="Arial" w:cs="Arial" w:eastAsia="Arial" w:hAnsi="Arial"/>
          <w:sz w:val="16"/>
          <w:szCs w:val="16"/>
          <w:color w:val="auto"/>
        </w:rPr>
        <w:t>or MDIS, leverages the technology building blocks developed within MCE for key solutions required by our</w:t>
      </w:r>
      <w:r>
        <w:rPr>
          <w:rFonts w:ascii="Arial" w:cs="Arial" w:eastAsia="Arial" w:hAnsi="Arial"/>
          <w:sz w:val="16"/>
          <w:szCs w:val="16"/>
          <w:i w:val="1"/>
          <w:iCs w:val="1"/>
          <w:color w:val="auto"/>
        </w:rPr>
        <w:t xml:space="preserve"> </w:t>
      </w:r>
      <w:r>
        <w:rPr>
          <w:rFonts w:ascii="Arial" w:cs="Arial" w:eastAsia="Arial" w:hAnsi="Arial"/>
          <w:sz w:val="16"/>
          <w:szCs w:val="16"/>
          <w:color w:val="auto"/>
        </w:rPr>
        <w:t>prime contractor customers. This segment represents an aggregation of Mercury Defense Systems ("MDS") and Mercury Intelligence Systems ("MIS"). Technology building blocks from MCE are deployed as part of solutions that fall into the areas of EW and ECM, SIGINT, electro optical/infrared, and radar test and simulation. Most of this work is done with Defense Contract Audit Agency (“DCAA”) oversight on behalf of one or more of our prime contractor customers and U.S. Department of Defense agencies. MDIS also provides services of a classified nature, also under DCAA oversight, to the intelligence community. This professional services work falls into the critical areas of Big Data processing, predictive analytics and multi-intelligence analysis.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fiscal 2013, MDIS accounted for 27% of our total net revenues.</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Since we are an OEM supplier to our commercial markets and conduct much of our business with our defense customers via commercial items, requests by customers are a primary driver of revenue fluctuations from quarter to quarter. Customers specify delivery date requirements that coincide with their need for our products. Because these customers may use our products in connection with a variety of defense programs or other projects of different sizes and durations, a customer’s orders for one quarter generally do not indicate a trend for future orders by that customer. Additionally, order patterns do not necessarily correlate amongst customers and, therefore, we generally cannot identify sequential quarterly trends, even within our business units.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EVELOPMENTS</w:t>
      </w:r>
      <w:r>
        <w:rPr>
          <w:rFonts w:ascii="Arial" w:cs="Arial" w:eastAsia="Arial" w:hAnsi="Arial"/>
          <w:sz w:val="18"/>
          <w:szCs w:val="18"/>
          <w:b w:val="1"/>
          <w:bCs w:val="1"/>
          <w:color w:val="auto"/>
        </w:rPr>
        <w:t>:</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ISCAL</w:t>
      </w:r>
      <w:r>
        <w:rPr>
          <w:rFonts w:ascii="Arial" w:cs="Arial" w:eastAsia="Arial" w:hAnsi="Arial"/>
          <w:sz w:val="18"/>
          <w:szCs w:val="18"/>
          <w:color w:val="auto"/>
        </w:rPr>
        <w:t xml:space="preserve"> 2013</w:t>
      </w:r>
    </w:p>
    <w:p>
      <w:pPr>
        <w:spacing w:after="0" w:line="18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On January 1, 2013, we reorganized internally to logically group our expanded capabilities with our recent acquisitions of LNX, KOR Electronics, and Micronetics. This internal reorganization grouped our product and service offerings into three business units: MCE, MDS, and MIS.</w:t>
      </w:r>
    </w:p>
    <w:p>
      <w:pPr>
        <w:spacing w:after="0" w:line="9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During the first quarter of fiscal 2013, we announced a restructuring plan ("2013 Plan") impacting primarily the MCE business segment as a result of a significant decline in bookings and revenue. The plan consisted of the elimination of 142 positions primarily in engineering and support staff areas. Additionally, during the fourth quarter of fiscal 2013, as a result of the integration activities surrounding our recent acquisitions, we initiated a plan that included the sale of our Hudson, NH facility and the elimination of 17 positions primarily in operations. We incurred restructuring charges of $7.1 million for the fiscal year ended June 30, 2013 and expect to realize approximately $22 million in annual savings from these activities.</w:t>
      </w:r>
    </w:p>
    <w:p>
      <w:pPr>
        <w:spacing w:after="0" w:line="11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amounts of revenue and net (loss) of Micronetics included in our consolidated statements of operations for fiscal 2013 was $35.5 million and $(3.8) million, respectively.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ISCAL</w:t>
      </w:r>
      <w:r>
        <w:rPr>
          <w:rFonts w:ascii="Arial" w:cs="Arial" w:eastAsia="Arial" w:hAnsi="Arial"/>
          <w:sz w:val="18"/>
          <w:szCs w:val="18"/>
          <w:color w:val="auto"/>
        </w:rPr>
        <w:t xml:space="preserve"> 2012</w:t>
      </w:r>
    </w:p>
    <w:p>
      <w:pPr>
        <w:spacing w:after="0" w:line="18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December 30, 2011, we acquired both KOR and its wholly-owned subsidiary, PDI. Based in Cypress, California, KOR designs and develops DRFM units for a variety of modern EW applications, as well as radar environment simulation and test systems for defense applications. Based in Aurora, CO, PDI provides sophisticated analytic exploitation services and customized multi-intelligence data fusion solutions for the U.S. intelligence community. For segment reporting both KOR and PDI are included in the MDIS reportable segment.</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amounts of revenue and net income of KOR and PDI included in our consolidated statements of operations for fiscal 2012 was $19.8 million and $2.7 million, respectively.</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fiscal 2012, we concluded the financial targets which underlie the $5.0 million earn-out related to the LNX acquisition would not be achieved. During the fourth quarter of fiscal 2012, we did not receive a purchase order for long lead-time materials associated with the JCREW counter IED program. This timing issue, in itself, triggered a reversal of the earn-out (see Note C to the consolidated financial statements). This reversal of the earn-out was recorded as an offset to operating expenses.</w:t>
      </w:r>
    </w:p>
    <w:p>
      <w:pPr>
        <w:spacing w:after="0" w:line="13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fiscal 2012, we announced a restructuring plan (“2012 Plan”) affecting both the MCE and MDIS reportable segments. The 2012 Plan primarily consisted of involuntary separation costs related to the reduction in force which eliminated 41 positions largely in engineering and manufacturing functions; and facility costs related to outsourcing of certain manufacturing activities at our Huntsville, AL site. The 2012 Plan for which expense of $2.8 million was recorded in fiscal 2012 was implemented to cope with the near term uncertainties in the defense industry, lower our fixed costs and capital investing, while improving our overall business scalability. Restructuring expenses of approximately $0.7 million associated with the 2012 Plan were incurred in fiscal 2013 as we transitioned the manufacturing activities formerly conducted at the Huntsville, Alabama facility to our contract manufacturing partner.</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ISCAL</w:t>
      </w:r>
      <w:r>
        <w:rPr>
          <w:rFonts w:ascii="Arial" w:cs="Arial" w:eastAsia="Arial" w:hAnsi="Arial"/>
          <w:sz w:val="18"/>
          <w:szCs w:val="18"/>
          <w:color w:val="auto"/>
        </w:rPr>
        <w:t xml:space="preserve"> 2011</w:t>
      </w:r>
    </w:p>
    <w:p>
      <w:pPr>
        <w:spacing w:after="0" w:line="10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January 12, 2011, we acquired the outstanding equity interests in LNX Corporation. The cash purchase price for the acquisition was approximately $31.0 million, subject to post-closing adjustments. We funded the purchase price with cash on hand and assumed no debt. In addition to the $31.0 million cash purchase price, we also committed to pay up to $5.0 million upon the achievement of financial targets in calendar years 2011 and 2012. During the fourth quarter of fiscal 2012, we concluded the financial targets which underlie the $5.0 million payment of contingent consideration relating to the acquisition of LNX would not be met.</w:t>
      </w:r>
    </w:p>
    <w:p>
      <w:pPr>
        <w:spacing w:after="0" w:line="1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February 16, 2011, we completed a follow-on public stock offering of 5,577,500 shares of common stock, which were sold at a price to the public of $17.75 per share. The follow-on public stock offering resulted in $93.6 million of net proceeds to us. The underwriting discount of $5.0 million and other expenses of $0.4 million related to the follow-on public stock offering were recorded as an offset to additional paid-in-capital (see Note M to the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2013 V</w:t>
      </w:r>
      <w:r>
        <w:rPr>
          <w:rFonts w:ascii="Arial" w:cs="Arial" w:eastAsia="Arial" w:hAnsi="Arial"/>
          <w:sz w:val="14"/>
          <w:szCs w:val="14"/>
          <w:b w:val="1"/>
          <w:bCs w:val="1"/>
          <w:color w:val="auto"/>
        </w:rPr>
        <w:t>S</w:t>
      </w:r>
      <w:r>
        <w:rPr>
          <w:rFonts w:ascii="Arial" w:cs="Arial" w:eastAsia="Arial" w:hAnsi="Arial"/>
          <w:sz w:val="18"/>
          <w:szCs w:val="18"/>
          <w:b w:val="1"/>
          <w:bCs w:val="1"/>
          <w:color w:val="auto"/>
        </w:rPr>
        <w:t>. 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2012</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for the periods indicated, financial data from the consolidated statements of operations: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5"/>
              </w:rPr>
              <w:t>As a % of</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148"/>
              <w:spacing w:after="0"/>
              <w:rPr>
                <w:sz w:val="20"/>
                <w:szCs w:val="20"/>
                <w:color w:val="auto"/>
              </w:rPr>
            </w:pPr>
            <w:r>
              <w:rPr>
                <w:rFonts w:ascii="Arial" w:cs="Arial" w:eastAsia="Arial" w:hAnsi="Arial"/>
                <w:sz w:val="14"/>
                <w:szCs w:val="14"/>
                <w:b w:val="1"/>
                <w:bCs w:val="1"/>
                <w:color w:val="auto"/>
                <w:w w:val="98"/>
              </w:rPr>
              <w:t>As a % of</w:t>
            </w:r>
          </w:p>
        </w:tc>
        <w:tc>
          <w:tcPr>
            <w:tcW w:w="0" w:type="dxa"/>
            <w:vAlign w:val="bottom"/>
          </w:tcPr>
          <w:p>
            <w:pPr>
              <w:spacing w:after="0"/>
              <w:rPr>
                <w:sz w:val="1"/>
                <w:szCs w:val="1"/>
                <w:color w:val="auto"/>
              </w:rPr>
            </w:pPr>
          </w:p>
        </w:tc>
      </w:tr>
      <w:tr>
        <w:trPr>
          <w:trHeight w:val="149"/>
        </w:trPr>
        <w:tc>
          <w:tcPr>
            <w:tcW w:w="3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4"/>
            <w:vMerge w:val="restart"/>
          </w:tcPr>
          <w:p>
            <w:pPr>
              <w:jc w:val="right"/>
              <w:ind w:right="316"/>
              <w:spacing w:after="0"/>
              <w:rPr>
                <w:sz w:val="20"/>
                <w:szCs w:val="20"/>
                <w:color w:val="auto"/>
              </w:rPr>
            </w:pPr>
            <w:r>
              <w:rPr>
                <w:rFonts w:ascii="Arial" w:cs="Arial" w:eastAsia="Arial" w:hAnsi="Arial"/>
                <w:sz w:val="14"/>
                <w:szCs w:val="14"/>
                <w:b w:val="1"/>
                <w:bCs w:val="1"/>
                <w:color w:val="auto"/>
              </w:rPr>
              <w:t>Fiscal 2013</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Total Net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5"/>
            <w:vMerge w:val="restart"/>
          </w:tcPr>
          <w:p>
            <w:pPr>
              <w:jc w:val="right"/>
              <w:ind w:right="600"/>
              <w:spacing w:after="0"/>
              <w:rPr>
                <w:sz w:val="20"/>
                <w:szCs w:val="20"/>
                <w:color w:val="auto"/>
              </w:rPr>
            </w:pPr>
            <w:r>
              <w:rPr>
                <w:rFonts w:ascii="Arial" w:cs="Arial" w:eastAsia="Arial" w:hAnsi="Arial"/>
                <w:sz w:val="14"/>
                <w:szCs w:val="14"/>
                <w:b w:val="1"/>
                <w:bCs w:val="1"/>
                <w:color w:val="auto"/>
                <w:w w:val="96"/>
              </w:rPr>
              <w:t>Fiscal 2012</w:t>
            </w:r>
          </w:p>
        </w:tc>
        <w:tc>
          <w:tcPr>
            <w:tcW w:w="120" w:type="dxa"/>
            <w:vAlign w:val="bottom"/>
          </w:tcPr>
          <w:p>
            <w:pPr>
              <w:spacing w:after="0"/>
              <w:rPr>
                <w:sz w:val="12"/>
                <w:szCs w:val="12"/>
                <w:color w:val="auto"/>
              </w:rPr>
            </w:pPr>
          </w:p>
        </w:tc>
        <w:tc>
          <w:tcPr>
            <w:tcW w:w="136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6"/>
              </w:rPr>
              <w:t>Total Net</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center"/>
              <w:ind w:right="540"/>
              <w:spacing w:after="0"/>
              <w:rPr>
                <w:sz w:val="20"/>
                <w:szCs w:val="20"/>
                <w:color w:val="auto"/>
              </w:rPr>
            </w:pPr>
            <w:r>
              <w:rPr>
                <w:rFonts w:ascii="Arial" w:cs="Arial" w:eastAsia="Arial" w:hAnsi="Arial"/>
                <w:sz w:val="14"/>
                <w:szCs w:val="14"/>
                <w:b w:val="1"/>
                <w:bCs w:val="1"/>
                <w:color w:val="auto"/>
                <w:w w:val="89"/>
              </w:rPr>
              <w:t>Revenue</w:t>
            </w: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5"/>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4"/>
            <w:shd w:val="clear" w:color="auto" w:fill="CCEEFF"/>
          </w:tcPr>
          <w:p>
            <w:pPr>
              <w:jc w:val="right"/>
              <w:ind w:right="36"/>
              <w:spacing w:after="0"/>
              <w:rPr>
                <w:sz w:val="20"/>
                <w:szCs w:val="20"/>
                <w:color w:val="auto"/>
              </w:rPr>
            </w:pPr>
            <w:r>
              <w:rPr>
                <w:rFonts w:ascii="Arial" w:cs="Arial" w:eastAsia="Arial" w:hAnsi="Arial"/>
                <w:sz w:val="18"/>
                <w:szCs w:val="18"/>
                <w:color w:val="auto"/>
              </w:rPr>
              <w:t>208,791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3"/>
            <w:shd w:val="clear" w:color="auto" w:fill="CCEEFF"/>
          </w:tcPr>
          <w:p>
            <w:pPr>
              <w:jc w:val="right"/>
              <w:ind w:right="31"/>
              <w:spacing w:after="0"/>
              <w:rPr>
                <w:sz w:val="20"/>
                <w:szCs w:val="20"/>
                <w:color w:val="auto"/>
              </w:rPr>
            </w:pPr>
            <w:r>
              <w:rPr>
                <w:rFonts w:ascii="Arial" w:cs="Arial" w:eastAsia="Arial" w:hAnsi="Arial"/>
                <w:sz w:val="18"/>
                <w:szCs w:val="18"/>
                <w:color w:val="auto"/>
              </w:rPr>
              <w:t>244,929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4"/>
          </w:tcPr>
          <w:p>
            <w:pPr>
              <w:jc w:val="right"/>
              <w:ind w:right="36"/>
              <w:spacing w:after="0"/>
              <w:rPr>
                <w:sz w:val="20"/>
                <w:szCs w:val="20"/>
                <w:color w:val="auto"/>
              </w:rPr>
            </w:pPr>
            <w:r>
              <w:rPr>
                <w:rFonts w:ascii="Arial" w:cs="Arial" w:eastAsia="Arial" w:hAnsi="Arial"/>
                <w:sz w:val="18"/>
                <w:szCs w:val="18"/>
                <w:color w:val="auto"/>
              </w:rPr>
              <w:t>126,123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3"/>
          </w:tcPr>
          <w:p>
            <w:pPr>
              <w:jc w:val="right"/>
              <w:ind w:right="161"/>
              <w:spacing w:after="0"/>
              <w:rPr>
                <w:sz w:val="20"/>
                <w:szCs w:val="20"/>
                <w:color w:val="auto"/>
              </w:rPr>
            </w:pPr>
            <w:r>
              <w:rPr>
                <w:rFonts w:ascii="Arial" w:cs="Arial" w:eastAsia="Arial" w:hAnsi="Arial"/>
                <w:sz w:val="18"/>
                <w:szCs w:val="18"/>
                <w:color w:val="auto"/>
              </w:rPr>
              <w:t>60.4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3"/>
          </w:tcPr>
          <w:p>
            <w:pPr>
              <w:jc w:val="right"/>
              <w:ind w:right="31"/>
              <w:spacing w:after="0"/>
              <w:rPr>
                <w:sz w:val="20"/>
                <w:szCs w:val="20"/>
                <w:color w:val="auto"/>
              </w:rPr>
            </w:pPr>
            <w:r>
              <w:rPr>
                <w:rFonts w:ascii="Arial" w:cs="Arial" w:eastAsia="Arial" w:hAnsi="Arial"/>
                <w:sz w:val="18"/>
                <w:szCs w:val="18"/>
                <w:color w:val="auto"/>
              </w:rPr>
              <w:t>108,773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48"/>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margin</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w w:val="98"/>
              </w:rPr>
              <w:t>82,668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39.6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31"/>
              <w:spacing w:after="0"/>
              <w:rPr>
                <w:sz w:val="20"/>
                <w:szCs w:val="20"/>
                <w:color w:val="auto"/>
              </w:rPr>
            </w:pPr>
            <w:r>
              <w:rPr>
                <w:rFonts w:ascii="Arial" w:cs="Arial" w:eastAsia="Arial" w:hAnsi="Arial"/>
                <w:sz w:val="18"/>
                <w:szCs w:val="18"/>
                <w:color w:val="auto"/>
              </w:rPr>
              <w:t>136,156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w w:val="98"/>
              </w:rPr>
              <w:t>57,579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27.6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7"/>
              </w:rPr>
              <w:t>57,159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3"/>
        </w:trPr>
        <w:tc>
          <w:tcPr>
            <w:tcW w:w="318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gridSpan w:val="3"/>
          </w:tcPr>
          <w:p>
            <w:pPr>
              <w:jc w:val="right"/>
              <w:ind w:right="36"/>
              <w:spacing w:after="0"/>
              <w:rPr>
                <w:sz w:val="20"/>
                <w:szCs w:val="20"/>
                <w:color w:val="auto"/>
              </w:rPr>
            </w:pPr>
            <w:r>
              <w:rPr>
                <w:rFonts w:ascii="Arial" w:cs="Arial" w:eastAsia="Arial" w:hAnsi="Arial"/>
                <w:sz w:val="18"/>
                <w:szCs w:val="18"/>
                <w:color w:val="auto"/>
                <w:w w:val="98"/>
              </w:rPr>
              <w:t>32,687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3"/>
          </w:tcPr>
          <w:p>
            <w:pPr>
              <w:jc w:val="right"/>
              <w:ind w:right="161"/>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w w:val="87"/>
              </w:rPr>
              <w:t>45,984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48"/>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36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6"/>
              </w:rPr>
              <w:t>Amortization of acquired intangible assets</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8,717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4.2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3,799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180" w:type="dxa"/>
            <w:vAlign w:val="bottom"/>
          </w:tcPr>
          <w:p>
            <w:pPr>
              <w:ind w:left="380"/>
              <w:spacing w:after="0"/>
              <w:rPr>
                <w:sz w:val="20"/>
                <w:szCs w:val="20"/>
                <w:color w:val="auto"/>
              </w:rPr>
            </w:pPr>
            <w:r>
              <w:rPr>
                <w:rFonts w:ascii="Arial" w:cs="Arial" w:eastAsia="Arial" w:hAnsi="Arial"/>
                <w:sz w:val="18"/>
                <w:szCs w:val="18"/>
                <w:color w:val="auto"/>
              </w:rPr>
              <w:t>Restructuring and other charges</w:t>
            </w: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gridSpan w:val="3"/>
          </w:tcPr>
          <w:p>
            <w:pPr>
              <w:jc w:val="right"/>
              <w:ind w:right="36"/>
              <w:spacing w:after="0"/>
              <w:rPr>
                <w:sz w:val="20"/>
                <w:szCs w:val="20"/>
                <w:color w:val="auto"/>
              </w:rPr>
            </w:pPr>
            <w:r>
              <w:rPr>
                <w:rFonts w:ascii="Arial" w:cs="Arial" w:eastAsia="Arial" w:hAnsi="Arial"/>
                <w:sz w:val="18"/>
                <w:szCs w:val="18"/>
                <w:color w:val="auto"/>
              </w:rPr>
              <w:t>7,056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3"/>
          </w:tcPr>
          <w:p>
            <w:pPr>
              <w:jc w:val="right"/>
              <w:ind w:right="161"/>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2,821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48"/>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6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89"/>
              </w:rPr>
              <w:t>Acquisition costs and other related expenses</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0.1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4720" w:type="dxa"/>
            <w:vAlign w:val="bottom"/>
            <w:gridSpan w:val="5"/>
          </w:tcPr>
          <w:p>
            <w:pPr>
              <w:ind w:left="380"/>
              <w:spacing w:after="0"/>
              <w:rPr>
                <w:sz w:val="20"/>
                <w:szCs w:val="20"/>
                <w:color w:val="auto"/>
              </w:rPr>
            </w:pPr>
            <w:r>
              <w:rPr>
                <w:rFonts w:ascii="Arial" w:cs="Arial" w:eastAsia="Arial" w:hAnsi="Arial"/>
                <w:sz w:val="18"/>
                <w:szCs w:val="18"/>
                <w:color w:val="auto"/>
                <w:w w:val="96"/>
              </w:rPr>
              <w:t>Change in the fair value of the liability related to the LNX</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380"/>
              <w:spacing w:after="0"/>
              <w:rPr>
                <w:sz w:val="20"/>
                <w:szCs w:val="20"/>
                <w:color w:val="auto"/>
              </w:rPr>
            </w:pPr>
            <w:r>
              <w:rPr>
                <w:rFonts w:ascii="Arial" w:cs="Arial" w:eastAsia="Arial" w:hAnsi="Arial"/>
                <w:sz w:val="18"/>
                <w:szCs w:val="18"/>
                <w:color w:val="auto"/>
              </w:rPr>
              <w:t>earn-out</w:t>
            </w: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(4,938)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88"/>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4"/>
            <w:shd w:val="clear" w:color="auto" w:fill="CCEEFF"/>
          </w:tcPr>
          <w:p>
            <w:pPr>
              <w:jc w:val="right"/>
              <w:ind w:right="36"/>
              <w:spacing w:after="0"/>
              <w:rPr>
                <w:sz w:val="20"/>
                <w:szCs w:val="20"/>
                <w:color w:val="auto"/>
              </w:rPr>
            </w:pPr>
            <w:r>
              <w:rPr>
                <w:rFonts w:ascii="Arial" w:cs="Arial" w:eastAsia="Arial" w:hAnsi="Arial"/>
                <w:sz w:val="18"/>
                <w:szCs w:val="18"/>
                <w:color w:val="auto"/>
              </w:rPr>
              <w:t>106,357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50.9</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31"/>
              <w:spacing w:after="0"/>
              <w:rPr>
                <w:sz w:val="20"/>
                <w:szCs w:val="20"/>
                <w:color w:val="auto"/>
              </w:rPr>
            </w:pPr>
            <w:r>
              <w:rPr>
                <w:rFonts w:ascii="Arial" w:cs="Arial" w:eastAsia="Arial" w:hAnsi="Arial"/>
                <w:sz w:val="18"/>
                <w:szCs w:val="18"/>
                <w:color w:val="auto"/>
              </w:rPr>
              <w:t>106,044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9"/>
              </w:rPr>
              <w:t>(23,689)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3"/>
          </w:tcPr>
          <w:p>
            <w:pPr>
              <w:jc w:val="right"/>
              <w:ind w:right="101"/>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87"/>
              </w:rPr>
              <w:t>30,112</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2"/>
          </w:tcPr>
          <w:p>
            <w:pPr>
              <w:jc w:val="right"/>
              <w:ind w:right="148"/>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0.2</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3600" w:type="dxa"/>
            <w:vAlign w:val="bottom"/>
            <w:gridSpan w:val="2"/>
          </w:tcPr>
          <w:p>
            <w:pPr>
              <w:ind w:left="40"/>
              <w:spacing w:after="0"/>
              <w:rPr>
                <w:sz w:val="20"/>
                <w:szCs w:val="20"/>
                <w:color w:val="auto"/>
              </w:rPr>
            </w:pPr>
            <w:r>
              <w:rPr>
                <w:rFonts w:ascii="Arial" w:cs="Arial" w:eastAsia="Arial" w:hAnsi="Arial"/>
                <w:sz w:val="18"/>
                <w:szCs w:val="18"/>
                <w:color w:val="auto"/>
              </w:rPr>
              <w:t>(Loss) income before income taxes (benefit)</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9"/>
              </w:rPr>
              <w:t>(23,162)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3"/>
          </w:tcPr>
          <w:p>
            <w:pPr>
              <w:jc w:val="right"/>
              <w:ind w:right="101"/>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87"/>
              </w:rPr>
              <w:t>31,771</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2"/>
          </w:tcPr>
          <w:p>
            <w:pPr>
              <w:jc w:val="right"/>
              <w:ind w:right="148"/>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provision</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(9,954)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(4.8)</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9,152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9"/>
              </w:rPr>
              <w:t>(13,208)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87"/>
              </w:rPr>
              <w:t>22,619</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7"/>
        </w:trPr>
        <w:tc>
          <w:tcPr>
            <w:tcW w:w="3180" w:type="dxa"/>
            <w:vAlign w:val="bottom"/>
            <w:vMerge w:val="restart"/>
          </w:tcPr>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EVENUES</w:t>
            </w: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1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3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Fiscal</w:t>
            </w:r>
          </w:p>
        </w:tc>
        <w:tc>
          <w:tcPr>
            <w:tcW w:w="1080" w:type="dxa"/>
            <w:vAlign w:val="bottom"/>
            <w:gridSpan w:val="3"/>
          </w:tcPr>
          <w:p>
            <w:pPr>
              <w:jc w:val="center"/>
              <w:ind w:right="72"/>
              <w:spacing w:after="0"/>
              <w:rPr>
                <w:sz w:val="20"/>
                <w:szCs w:val="20"/>
                <w:color w:val="auto"/>
              </w:rPr>
            </w:pPr>
            <w:r>
              <w:rPr>
                <w:rFonts w:ascii="Arial" w:cs="Arial" w:eastAsia="Arial" w:hAnsi="Arial"/>
                <w:sz w:val="14"/>
                <w:szCs w:val="14"/>
                <w:b w:val="1"/>
                <w:bCs w:val="1"/>
                <w:color w:val="auto"/>
                <w:w w:val="95"/>
              </w:rPr>
              <w:t>As a % of</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Fiscal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As a % of</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80" w:type="dxa"/>
            <w:vAlign w:val="bottom"/>
            <w:gridSpan w:val="3"/>
          </w:tcPr>
          <w:p>
            <w:pPr>
              <w:jc w:val="center"/>
              <w:ind w:right="72"/>
              <w:spacing w:after="0" w:line="149" w:lineRule="exact"/>
              <w:rPr>
                <w:sz w:val="20"/>
                <w:szCs w:val="20"/>
                <w:color w:val="auto"/>
              </w:rPr>
            </w:pPr>
            <w:r>
              <w:rPr>
                <w:rFonts w:ascii="Arial" w:cs="Arial" w:eastAsia="Arial" w:hAnsi="Arial"/>
                <w:sz w:val="14"/>
                <w:szCs w:val="14"/>
                <w:b w:val="1"/>
                <w:bCs w:val="1"/>
                <w:color w:val="auto"/>
                <w:w w:val="93"/>
              </w:rPr>
              <w:t>Total Net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left="301"/>
              <w:spacing w:after="0" w:line="149" w:lineRule="exact"/>
              <w:rPr>
                <w:sz w:val="20"/>
                <w:szCs w:val="20"/>
                <w:color w:val="auto"/>
              </w:rPr>
            </w:pPr>
            <w:r>
              <w:rPr>
                <w:rFonts w:ascii="Arial" w:cs="Arial" w:eastAsia="Arial" w:hAnsi="Arial"/>
                <w:sz w:val="14"/>
                <w:szCs w:val="14"/>
                <w:b w:val="1"/>
                <w:bCs w:val="1"/>
                <w:color w:val="auto"/>
                <w:w w:val="93"/>
              </w:rPr>
              <w:t>Total Net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2"/>
                <w:szCs w:val="12"/>
                <w:color w:val="auto"/>
              </w:rPr>
            </w:pPr>
          </w:p>
        </w:tc>
        <w:tc>
          <w:tcPr>
            <w:tcW w:w="13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72"/>
              <w:spacing w:after="0"/>
              <w:rPr>
                <w:sz w:val="20"/>
                <w:szCs w:val="20"/>
                <w:color w:val="auto"/>
              </w:rPr>
            </w:pPr>
            <w:r>
              <w:rPr>
                <w:rFonts w:ascii="Arial" w:cs="Arial" w:eastAsia="Arial" w:hAnsi="Arial"/>
                <w:sz w:val="14"/>
                <w:szCs w:val="14"/>
                <w:b w:val="1"/>
                <w:bCs w:val="1"/>
                <w:color w:val="auto"/>
                <w:w w:val="89"/>
              </w:rPr>
              <w:t>Revenue</w:t>
            </w:r>
          </w:p>
        </w:tc>
        <w:tc>
          <w:tcPr>
            <w:tcW w:w="128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left="301"/>
              <w:spacing w:after="0"/>
              <w:rPr>
                <w:sz w:val="20"/>
                <w:szCs w:val="20"/>
                <w:color w:val="auto"/>
              </w:rPr>
            </w:pPr>
            <w:r>
              <w:rPr>
                <w:rFonts w:ascii="Arial" w:cs="Arial" w:eastAsia="Arial" w:hAnsi="Arial"/>
                <w:sz w:val="14"/>
                <w:szCs w:val="14"/>
                <w:b w:val="1"/>
                <w:bCs w:val="1"/>
                <w:color w:val="auto"/>
                <w:w w:val="89"/>
              </w:rPr>
              <w:t>Revenue</w:t>
            </w: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MCE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152,606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80" w:type="dxa"/>
            <w:vAlign w:val="bottom"/>
            <w:tcBorders>
              <w:bottom w:val="single" w:sz="8" w:color="CCEEFF"/>
            </w:tcBorders>
            <w:gridSpan w:val="3"/>
            <w:shd w:val="clear" w:color="auto" w:fill="CCEEFF"/>
          </w:tcPr>
          <w:p>
            <w:pPr>
              <w:jc w:val="right"/>
              <w:ind w:right="33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203,979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83%</w:t>
            </w:r>
          </w:p>
        </w:tc>
        <w:tc>
          <w:tcPr>
            <w:tcW w:w="52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(51,373)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MDIS</w:t>
            </w:r>
          </w:p>
        </w:tc>
        <w:tc>
          <w:tcPr>
            <w:tcW w:w="42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56,051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40,590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8"/>
              </w:rPr>
              <w:t>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15,461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57"/>
        </w:trPr>
        <w:tc>
          <w:tcPr>
            <w:tcW w:w="31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208,791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244,929</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(36,138)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revenues decreased $36.1 million, or 15%, to $208.8 million during fiscal 2013 compared to $244.9 million during fiscal 2012.</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Net MCE revenues decreased $51.4 million, or 25%, during fiscal 2013 compared to fiscal 2012. The decrease in net MCE revenues was primarily driven by lower net defense revenues of $54.8 million, which included $35.5 million of revenues contributed by Micronetics. This decrease was partially offset by higher commercial revenues of $4.8 million. Defense revenue accounted for 88% of net MCE revenues during fiscal 2013 compared to 93% in fiscal 2012.</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MDIS revenues increased $15.5 million, or 38%, during fiscal 2013 compared to fiscal 2012. This increase was driven by the inclusion of a full year of revenues contributed by the prior year KOR and PDI acquisitions, as compared to six months of KOR and PDI revenues in fiscal 2012. This increase was partially offset by lower revenues from Gorgon Stare.</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International revenues, which consist of direct sales to non-U.S. based customers, increased by $2.1 million to $11.7 million during fiscal 2013 compared to $9.6 million during fiscal 2012. The increase was primarily driven by higher defense revenues in the Asia Pacific region. International revenues represented 6% of total revenues during fiscal 2013 and 4% of total revenue during fiscal 2012.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Eliminations revenue is attributable to development programs where the revenue is recognized in both segments under contract accounting, and reflects the reconciliation to our consolidated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ROSS</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ARGIN</w:t>
      </w:r>
    </w:p>
    <w:p>
      <w:pPr>
        <w:spacing w:after="0" w:line="10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Gross margin was 39.6% for fiscal 2013, a decrease of 1600 basis points, from the 55.6% gross margin achieved in fiscal 2012. The decrease in gross margin was primarily driven by revenue declines in our higher margin MCE embedded computing product line coupled with inclusion of revenues from Micronetics, and MDIS which are comparatively lower margin businesses.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ELLING</w:t>
      </w:r>
      <w:r>
        <w:rPr>
          <w:rFonts w:ascii="Arial" w:cs="Arial" w:eastAsia="Arial" w:hAnsi="Arial"/>
          <w:sz w:val="18"/>
          <w:szCs w:val="18"/>
          <w:b w:val="1"/>
          <w:bCs w:val="1"/>
          <w:color w:val="auto"/>
        </w:rPr>
        <w:t>, G</w:t>
      </w:r>
      <w:r>
        <w:rPr>
          <w:rFonts w:ascii="Arial" w:cs="Arial" w:eastAsia="Arial" w:hAnsi="Arial"/>
          <w:sz w:val="14"/>
          <w:szCs w:val="14"/>
          <w:b w:val="1"/>
          <w:bCs w:val="1"/>
          <w:color w:val="auto"/>
        </w:rPr>
        <w:t>ENERAL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DMINISTRATIVE</w:t>
      </w:r>
    </w:p>
    <w:p>
      <w:pPr>
        <w:spacing w:after="0" w:line="10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Selling, general and administrative expenses increased 0.7%, or $0.4 million, to $57.6 million during fiscal 2013 compared to $57.2 million during fiscal 2012. The overall increase was primarily due to increased employee compensation expenses from the Micronetics, KOR, and PDI acquisitions partially offset by decreases in compensation expenses from cost reduction initiatives as a result of our 2012 and 2013 restructuring plans which occurred in the fourth quarter of fiscal 2012, and the first and fourth quarters of fiscal 2013. Selling, general and administrative expenses increased as a percentage of revenues to 27.6% during fiscal 2013 from 23.3% during fiscal 2012 due to lower revenue.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p>
    <w:p>
      <w:pPr>
        <w:spacing w:after="0" w:line="10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Research and development expenses decreased 29%, or $13.3 million, to $32.7 million during fiscal 2013 compared to $46.0 million for fiscal 2012. The decrease was primarily due to a $10.2 million decrease in compensation expense from cost reduction initiatives as a result of our 2012 and 2013 restructuring plans which occurred in the fourth quarter of fiscal 2012, the first quarter of fiscal 2013 and the fourth quarter of fiscal 2013, and a $4.2 million decrease in prototype material. These decreases were slightly offset by increased compensation expenses from the Micronetics acquisition. Research and development expenses accounted for 15.7% and 18.8% of our revenues during fiscal 2013 and fiscal 2012, respectively. As we continue to focus on improving the leverage of our research and development investments and increase customer funded development, we expect this percentage trending downward in future years.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MORTIZATION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CQUIRED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10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Amortization of acquired intangible assets increased $4.9 million to $8.7 million during fiscal 2013 compared to $3.8 million for fiscal 2012, primarily due to amortization of intangible assets from the Micronetics acquisition completed in August 2012 and the KOR and PDI acquisition completed in December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ESTRUCTURING</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w:t>
      </w:r>
    </w:p>
    <w:p>
      <w:pPr>
        <w:spacing w:after="0" w:line="10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There was $7.1 million of restructuring expense recorded in fiscal 2013 as compared to $2.8 million in fiscal 2012. The restructuring plan implemented in the first and fourth quarters of fiscal 2013 consisted of $5.5 million of involuntary separation costs related to the reduction in force which eliminated 159 positions, primarily from our engineering, administrative, and manufacturing functions, and $1.4 million in facility charges for our Hudson, NH, Huntsville, AL, and Ewing, NJ sites. Our 2013 Plan was implemented to cope with reduced defense revenues and the near term uncertainties in the defense industry driven by the potential for sequestration. Our fourth quarter fiscal 2013 Plan was implemented as a result of integration efforts of recent acquisitions and the planned consolidation of our manufacturing facilities in Salem, NH and Hudson, NH.</w:t>
      </w:r>
    </w:p>
    <w:p>
      <w:pPr>
        <w:spacing w:after="0" w:line="4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restructuring plan implemented in fiscal 2012 primarily consisted of involuntary separation costs related to the reduction in force which eliminated 41 positions largely in engineering and manufacturing functions; and facility costs related to outsourcing of certain manufacturing activities at our Huntsville, AL site.</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expect to realize approximately $22 million in annualized savings from the fiscal 2013 cost reduction activities.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CQUISITION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XPENSES</w:t>
      </w:r>
    </w:p>
    <w:p>
      <w:pPr>
        <w:spacing w:after="0" w:line="10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incurred $0.3 million of acquisition costs and other related expenses during fiscal 2013, in connection with the acquisition of Micronetics, as compared to $1.3 million during fiscal 2012, in connection with the Micronetics, KOR and PDI acquisitions.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NCOME</w:t>
      </w:r>
    </w:p>
    <w:p>
      <w:pPr>
        <w:spacing w:after="0" w:line="10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income decreased $1.1 million to $0.5 million during fiscal 2013 compared to $1.7 million in fiscal 2012. Other income primarily consisted of $1.2 million in amortization of the gain on the sale leaseback of our corporate headquarters located in Chelmsford, Massachusetts and was partially offset by $0.9 million of net foreign currency exchange losses.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 income for fiscal years 2013 and 2012 was minimal due to the near zero percent yield on our U.S. treasury bills and money market accounts.</w:t>
      </w:r>
    </w:p>
    <w:p>
      <w:pPr>
        <w:spacing w:after="0" w:line="11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incurred a minimal amount of interest expense for fiscal 2013 and 2012, which primarily consisted of finance charges related to capital lease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AXES</w:t>
      </w:r>
    </w:p>
    <w:p>
      <w:pPr>
        <w:spacing w:after="0" w:line="10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recorded an income tax benefit of $10.0 million in fiscal 2013 compared to an income tax provision of $9.2 million in fiscal 2012. The effective tax rate for fiscal 2013 and fiscal 2012 was 43.1% and 28.8%, respectively.</w:t>
      </w:r>
    </w:p>
    <w:p>
      <w:pPr>
        <w:spacing w:after="0" w:line="3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Our effective tax rate for fiscal 2013 differed from the federal statutory rate primarily due to the retroactive extension of research and development tax credits.</w:t>
      </w:r>
    </w:p>
    <w:p>
      <w:pPr>
        <w:spacing w:after="0" w:line="3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difference in the effective tax rates in fiscal 2012 is mainly driven by the change in the fair value of the liability related to the LNX earn-out of $4.9 million offset by $1.2 million of acquisition costs, both of which were not subject to tax. The fiscal 2012 rate was also impacted by six-months of federal research and development tax credits compared to 18 months in fiscal 2013 due to the timing of the tax credit extension.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EGMENT</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PERATING</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ESULTS</w:t>
      </w:r>
    </w:p>
    <w:p>
      <w:pPr>
        <w:spacing w:after="0" w:line="18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Adjusted EBITDA, the non-GAAP profitability measure for our segment reporting, is defined as net income (loss) before interest income and expense, income taxes, depreciation, amortization of acquired intangible assets, restructuring, impairment of long-lived assets, acquisition costs and other related expenses, fair value adjustments from purchase accounting and stock-based compensation costs. We utilize the adjusted EBITDA financial measure to assist in providing a more complete understanding of our underlying operational measures in order to manage the business, evaluate our performance compared to prior periods and the marketplace, and to establish operational goals.</w:t>
      </w:r>
    </w:p>
    <w:p>
      <w:pPr>
        <w:spacing w:after="0" w:line="5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Adjusted EBITDA for the MCE segment decreased $37.7 million to $2.8 million during fiscal 2013, as compared to $40.5 million during fiscal 2012. The decrease in adjusted EBITDA was primarily driven by lower revenues and lower gross margins within the product revenue mix. MCE generated $166.3 million in revenues including intersegment revenues in fiscal 2013 compared to $216.5 million in fiscal 2012. This decrease in revenues was partially offset by lower operating expenses as a result of our fiscal 2013 cost saving initiatives, including the reductions in force which eliminated 159 positions. Overall, operating expenses increased as a percent of revenue.</w:t>
      </w:r>
    </w:p>
    <w:p>
      <w:pPr>
        <w:spacing w:after="0" w:line="18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Adjusted EBITDA for the MDIS segment increased by $0.6 million during fiscal 2013 to $8.8 million, as compared to $8.2 million in fiscal 2012. The fiscal 2013 increase in adjusted EBITDA was primarily due to an additional $15.5 million of revenue from KOR and PDI, acquired in December 2011, which only included six months of revenues in the prior year.</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P to our consolidated financial statements for more information regarding our operating segments.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2012 V</w:t>
      </w:r>
      <w:r>
        <w:rPr>
          <w:rFonts w:ascii="Arial" w:cs="Arial" w:eastAsia="Arial" w:hAnsi="Arial"/>
          <w:sz w:val="14"/>
          <w:szCs w:val="14"/>
          <w:b w:val="1"/>
          <w:bCs w:val="1"/>
          <w:color w:val="auto"/>
        </w:rPr>
        <w:t>S</w:t>
      </w:r>
      <w:r>
        <w:rPr>
          <w:rFonts w:ascii="Arial" w:cs="Arial" w:eastAsia="Arial" w:hAnsi="Arial"/>
          <w:sz w:val="18"/>
          <w:szCs w:val="18"/>
          <w:b w:val="1"/>
          <w:bCs w:val="1"/>
          <w:color w:val="auto"/>
        </w:rPr>
        <w:t>. 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2011</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for the periods indicated, financial data from the consolidated statement of operations: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5"/>
              </w:rPr>
              <w:t>As a % of</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w w:val="98"/>
              </w:rPr>
              <w:t>As a % of</w:t>
            </w:r>
          </w:p>
        </w:tc>
        <w:tc>
          <w:tcPr>
            <w:tcW w:w="0" w:type="dxa"/>
            <w:vAlign w:val="bottom"/>
          </w:tcPr>
          <w:p>
            <w:pPr>
              <w:spacing w:after="0"/>
              <w:rPr>
                <w:sz w:val="1"/>
                <w:szCs w:val="1"/>
                <w:color w:val="auto"/>
              </w:rPr>
            </w:pPr>
          </w:p>
        </w:tc>
      </w:tr>
      <w:tr>
        <w:trPr>
          <w:trHeight w:val="149"/>
        </w:trPr>
        <w:tc>
          <w:tcPr>
            <w:tcW w:w="3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4"/>
            <w:vMerge w:val="restart"/>
          </w:tcPr>
          <w:p>
            <w:pPr>
              <w:jc w:val="right"/>
              <w:ind w:right="196"/>
              <w:spacing w:after="0"/>
              <w:rPr>
                <w:sz w:val="20"/>
                <w:szCs w:val="20"/>
                <w:color w:val="auto"/>
              </w:rPr>
            </w:pPr>
            <w:r>
              <w:rPr>
                <w:rFonts w:ascii="Arial" w:cs="Arial" w:eastAsia="Arial" w:hAnsi="Arial"/>
                <w:sz w:val="14"/>
                <w:szCs w:val="14"/>
                <w:b w:val="1"/>
                <w:bCs w:val="1"/>
                <w:color w:val="auto"/>
              </w:rPr>
              <w:t>Fiscal 2012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5"/>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Total Net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5"/>
            <w:vMerge w:val="restart"/>
          </w:tcPr>
          <w:p>
            <w:pPr>
              <w:jc w:val="right"/>
              <w:ind w:right="560"/>
              <w:spacing w:after="0"/>
              <w:rPr>
                <w:sz w:val="20"/>
                <w:szCs w:val="20"/>
                <w:color w:val="auto"/>
              </w:rPr>
            </w:pPr>
            <w:r>
              <w:rPr>
                <w:rFonts w:ascii="Arial" w:cs="Arial" w:eastAsia="Arial" w:hAnsi="Arial"/>
                <w:sz w:val="14"/>
                <w:szCs w:val="14"/>
                <w:b w:val="1"/>
                <w:bCs w:val="1"/>
                <w:color w:val="auto"/>
              </w:rPr>
              <w:t>Fiscal 2011</w:t>
            </w:r>
          </w:p>
        </w:tc>
        <w:tc>
          <w:tcPr>
            <w:tcW w:w="120" w:type="dxa"/>
            <w:vAlign w:val="bottom"/>
          </w:tcPr>
          <w:p>
            <w:pPr>
              <w:spacing w:after="0"/>
              <w:rPr>
                <w:sz w:val="12"/>
                <w:szCs w:val="12"/>
                <w:color w:val="auto"/>
              </w:rPr>
            </w:pPr>
          </w:p>
        </w:tc>
        <w:tc>
          <w:tcPr>
            <w:tcW w:w="136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6"/>
              </w:rPr>
              <w:t>Total Net</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center"/>
              <w:ind w:right="560"/>
              <w:spacing w:after="0"/>
              <w:rPr>
                <w:sz w:val="20"/>
                <w:szCs w:val="20"/>
                <w:color w:val="auto"/>
              </w:rPr>
            </w:pPr>
            <w:r>
              <w:rPr>
                <w:rFonts w:ascii="Arial" w:cs="Arial" w:eastAsia="Arial" w:hAnsi="Arial"/>
                <w:sz w:val="14"/>
                <w:szCs w:val="14"/>
                <w:b w:val="1"/>
                <w:bCs w:val="1"/>
                <w:color w:val="auto"/>
                <w:w w:val="89"/>
              </w:rPr>
              <w:t>Revenue</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5"/>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559"/>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244,929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3"/>
            <w:shd w:val="clear" w:color="auto" w:fill="CCEEFF"/>
          </w:tcPr>
          <w:p>
            <w:pPr>
              <w:jc w:val="right"/>
              <w:ind w:right="31"/>
              <w:spacing w:after="0"/>
              <w:rPr>
                <w:sz w:val="20"/>
                <w:szCs w:val="20"/>
                <w:color w:val="auto"/>
              </w:rPr>
            </w:pPr>
            <w:r>
              <w:rPr>
                <w:rFonts w:ascii="Arial" w:cs="Arial" w:eastAsia="Arial" w:hAnsi="Arial"/>
                <w:sz w:val="18"/>
                <w:szCs w:val="18"/>
                <w:color w:val="auto"/>
              </w:rPr>
              <w:t>228,710</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108,773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3"/>
          </w:tcPr>
          <w:p>
            <w:pPr>
              <w:jc w:val="right"/>
              <w:ind w:right="161"/>
              <w:spacing w:after="0"/>
              <w:rPr>
                <w:sz w:val="20"/>
                <w:szCs w:val="20"/>
                <w:color w:val="auto"/>
              </w:rPr>
            </w:pPr>
            <w:r>
              <w:rPr>
                <w:rFonts w:ascii="Arial" w:cs="Arial" w:eastAsia="Arial" w:hAnsi="Arial"/>
                <w:sz w:val="18"/>
                <w:szCs w:val="18"/>
                <w:color w:val="auto"/>
              </w:rPr>
              <w:t>44.4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w w:val="94"/>
              </w:rPr>
              <w:t>98,811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gridSpan w:val="2"/>
          </w:tcPr>
          <w:p>
            <w:pPr>
              <w:jc w:val="right"/>
              <w:ind w:right="102"/>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margin</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136,156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55.6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31"/>
              <w:spacing w:after="0"/>
              <w:rPr>
                <w:sz w:val="20"/>
                <w:szCs w:val="20"/>
                <w:color w:val="auto"/>
              </w:rPr>
            </w:pPr>
            <w:r>
              <w:rPr>
                <w:rFonts w:ascii="Arial" w:cs="Arial" w:eastAsia="Arial" w:hAnsi="Arial"/>
                <w:sz w:val="18"/>
                <w:szCs w:val="18"/>
                <w:color w:val="auto"/>
              </w:rPr>
              <w:t>129,899</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57,159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23.3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57,868</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43"/>
        </w:trPr>
        <w:tc>
          <w:tcPr>
            <w:tcW w:w="316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45,984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3"/>
          </w:tcPr>
          <w:p>
            <w:pPr>
              <w:jc w:val="right"/>
              <w:ind w:right="161"/>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w w:val="94"/>
              </w:rPr>
              <w:t>44,500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gridSpan w:val="2"/>
          </w:tcPr>
          <w:p>
            <w:pPr>
              <w:jc w:val="right"/>
              <w:ind w:right="102"/>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36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6"/>
              </w:rPr>
              <w:t>Amortization of acquired intangible assets</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1,984</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3160" w:type="dxa"/>
            <w:vAlign w:val="bottom"/>
          </w:tcPr>
          <w:p>
            <w:pPr>
              <w:ind w:left="380"/>
              <w:spacing w:after="0"/>
              <w:rPr>
                <w:sz w:val="20"/>
                <w:szCs w:val="20"/>
                <w:color w:val="auto"/>
              </w:rPr>
            </w:pPr>
            <w:r>
              <w:rPr>
                <w:rFonts w:ascii="Arial" w:cs="Arial" w:eastAsia="Arial" w:hAnsi="Arial"/>
                <w:sz w:val="18"/>
                <w:szCs w:val="18"/>
                <w:color w:val="auto"/>
              </w:rPr>
              <w:t>Restructuring and other charges</w:t>
            </w: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2,821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3"/>
          </w:tcPr>
          <w:p>
            <w:pPr>
              <w:jc w:val="right"/>
              <w:ind w:right="161"/>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ind w:right="10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long-lived assets</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600" w:type="dxa"/>
            <w:vAlign w:val="bottom"/>
            <w:gridSpan w:val="2"/>
          </w:tcPr>
          <w:p>
            <w:pPr>
              <w:ind w:left="380"/>
              <w:spacing w:after="0"/>
              <w:rPr>
                <w:sz w:val="20"/>
                <w:szCs w:val="20"/>
                <w:color w:val="auto"/>
              </w:rPr>
            </w:pPr>
            <w:r>
              <w:rPr>
                <w:rFonts w:ascii="Arial" w:cs="Arial" w:eastAsia="Arial" w:hAnsi="Arial"/>
                <w:sz w:val="18"/>
                <w:szCs w:val="18"/>
                <w:color w:val="auto"/>
                <w:w w:val="89"/>
              </w:rPr>
              <w:t>Acquisition costs and other related expenses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3"/>
          </w:tcPr>
          <w:p>
            <w:pPr>
              <w:jc w:val="right"/>
              <w:ind w:right="161"/>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gridSpan w:val="2"/>
          </w:tcPr>
          <w:p>
            <w:pPr>
              <w:jc w:val="right"/>
              <w:ind w:right="10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420" w:type="dxa"/>
            <w:vAlign w:val="bottom"/>
            <w:gridSpan w:val="3"/>
          </w:tcPr>
          <w:p>
            <w:pPr>
              <w:spacing w:after="0"/>
              <w:rPr>
                <w:sz w:val="2"/>
                <w:szCs w:val="2"/>
                <w:color w:val="auto"/>
              </w:rPr>
            </w:pPr>
          </w:p>
        </w:tc>
        <w:tc>
          <w:tcPr>
            <w:tcW w:w="6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800" w:type="dxa"/>
            <w:vAlign w:val="bottom"/>
            <w:gridSpan w:val="6"/>
            <w:shd w:val="clear" w:color="auto" w:fill="CCEEFF"/>
          </w:tcPr>
          <w:p>
            <w:pPr>
              <w:ind w:left="380"/>
              <w:spacing w:after="0"/>
              <w:rPr>
                <w:sz w:val="20"/>
                <w:szCs w:val="20"/>
                <w:color w:val="auto"/>
              </w:rPr>
            </w:pPr>
            <w:r>
              <w:rPr>
                <w:rFonts w:ascii="Arial" w:cs="Arial" w:eastAsia="Arial" w:hAnsi="Arial"/>
                <w:sz w:val="18"/>
                <w:szCs w:val="18"/>
                <w:color w:val="auto"/>
              </w:rPr>
              <w:t>Change in the fair value of the liability related to the LNX earn-</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out</w:t>
            </w: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1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9"/>
              </w:rPr>
              <w:t>106,044</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3"/>
          </w:tcPr>
          <w:p>
            <w:pPr>
              <w:jc w:val="right"/>
              <w:ind w:right="161"/>
              <w:spacing w:after="0"/>
              <w:rPr>
                <w:sz w:val="20"/>
                <w:szCs w:val="20"/>
                <w:color w:val="auto"/>
              </w:rPr>
            </w:pPr>
            <w:r>
              <w:rPr>
                <w:rFonts w:ascii="Arial" w:cs="Arial" w:eastAsia="Arial" w:hAnsi="Arial"/>
                <w:sz w:val="18"/>
                <w:szCs w:val="18"/>
                <w:color w:val="auto"/>
              </w:rPr>
              <w:t>43.3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3"/>
          </w:tcPr>
          <w:p>
            <w:pPr>
              <w:jc w:val="right"/>
              <w:ind w:right="31"/>
              <w:spacing w:after="0"/>
              <w:rPr>
                <w:sz w:val="20"/>
                <w:szCs w:val="20"/>
                <w:color w:val="auto"/>
              </w:rPr>
            </w:pPr>
            <w:r>
              <w:rPr>
                <w:rFonts w:ascii="Arial" w:cs="Arial" w:eastAsia="Arial" w:hAnsi="Arial"/>
                <w:sz w:val="18"/>
                <w:szCs w:val="18"/>
                <w:color w:val="auto"/>
              </w:rPr>
              <w:t>104,914</w:t>
            </w:r>
          </w:p>
        </w:tc>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2"/>
          </w:tcPr>
          <w:p>
            <w:pPr>
              <w:jc w:val="right"/>
              <w:ind w:right="102"/>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30,112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12.3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24,985</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3"/>
          </w:tcPr>
          <w:p>
            <w:pPr>
              <w:jc w:val="right"/>
              <w:ind w:right="161"/>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gridSpan w:val="2"/>
          </w:tcPr>
          <w:p>
            <w:pPr>
              <w:jc w:val="right"/>
              <w:ind w:right="10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31,771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13.0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26,502</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9,152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3"/>
          </w:tcPr>
          <w:p>
            <w:pPr>
              <w:jc w:val="right"/>
              <w:ind w:right="161"/>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8,060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gridSpan w:val="2"/>
          </w:tcPr>
          <w:p>
            <w:pPr>
              <w:jc w:val="right"/>
              <w:ind w:right="10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559"/>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22,619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18,442</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EVENUES</w:t>
            </w:r>
          </w:p>
        </w:tc>
        <w:tc>
          <w:tcPr>
            <w:tcW w:w="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1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3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As a % of</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4"/>
            <w:vMerge w:val="restart"/>
          </w:tcPr>
          <w:p>
            <w:pPr>
              <w:jc w:val="right"/>
              <w:ind w:right="328"/>
              <w:spacing w:after="0"/>
              <w:rPr>
                <w:sz w:val="20"/>
                <w:szCs w:val="20"/>
                <w:color w:val="auto"/>
              </w:rPr>
            </w:pPr>
            <w:r>
              <w:rPr>
                <w:rFonts w:ascii="Arial" w:cs="Arial" w:eastAsia="Arial" w:hAnsi="Arial"/>
                <w:sz w:val="14"/>
                <w:szCs w:val="14"/>
                <w:b w:val="1"/>
                <w:bCs w:val="1"/>
                <w:color w:val="auto"/>
              </w:rPr>
              <w:t>Fiscal</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As a % of</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Total Net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left="301"/>
              <w:spacing w:after="0" w:line="149" w:lineRule="exact"/>
              <w:rPr>
                <w:sz w:val="20"/>
                <w:szCs w:val="20"/>
                <w:color w:val="auto"/>
              </w:rPr>
            </w:pPr>
            <w:r>
              <w:rPr>
                <w:rFonts w:ascii="Arial" w:cs="Arial" w:eastAsia="Arial" w:hAnsi="Arial"/>
                <w:sz w:val="14"/>
                <w:szCs w:val="14"/>
                <w:b w:val="1"/>
                <w:bCs w:val="1"/>
                <w:color w:val="auto"/>
                <w:w w:val="93"/>
              </w:rPr>
              <w:t>Total Net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2"/>
                <w:szCs w:val="12"/>
                <w:color w:val="auto"/>
              </w:rPr>
            </w:pPr>
          </w:p>
        </w:tc>
        <w:tc>
          <w:tcPr>
            <w:tcW w:w="1360" w:type="dxa"/>
            <w:vAlign w:val="bottom"/>
            <w:vMerge w:val="restart"/>
          </w:tcPr>
          <w:p>
            <w:pPr>
              <w:jc w:val="right"/>
              <w:ind w:right="28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w w:val="89"/>
              </w:rPr>
              <w:t>2011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left="301"/>
              <w:spacing w:after="0"/>
              <w:rPr>
                <w:sz w:val="20"/>
                <w:szCs w:val="20"/>
                <w:color w:val="auto"/>
              </w:rPr>
            </w:pPr>
            <w:r>
              <w:rPr>
                <w:rFonts w:ascii="Arial" w:cs="Arial" w:eastAsia="Arial" w:hAnsi="Arial"/>
                <w:sz w:val="14"/>
                <w:szCs w:val="14"/>
                <w:b w:val="1"/>
                <w:bCs w:val="1"/>
                <w:color w:val="auto"/>
                <w:w w:val="89"/>
              </w:rPr>
              <w:t>Revenue</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203,979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0" w:type="dxa"/>
            <w:vAlign w:val="bottom"/>
            <w:tcBorders>
              <w:bottom w:val="single" w:sz="8" w:color="CCEEFF"/>
            </w:tcBorders>
            <w:gridSpan w:val="3"/>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217,423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95%</w:t>
            </w:r>
          </w:p>
        </w:tc>
        <w:tc>
          <w:tcPr>
            <w:tcW w:w="52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(13,444)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MDIS</w:t>
            </w:r>
          </w:p>
        </w:tc>
        <w:tc>
          <w:tcPr>
            <w:tcW w:w="44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40,590</w:t>
            </w:r>
          </w:p>
        </w:tc>
        <w:tc>
          <w:tcPr>
            <w:tcW w:w="1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11,415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29,175</w:t>
            </w:r>
          </w:p>
        </w:tc>
        <w:tc>
          <w:tcPr>
            <w:tcW w:w="6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256 %</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w:t>
            </w:r>
          </w:p>
        </w:tc>
        <w:tc>
          <w:tcPr>
            <w:tcW w:w="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381 %</w:t>
            </w:r>
          </w:p>
        </w:tc>
        <w:tc>
          <w:tcPr>
            <w:tcW w:w="0" w:type="dxa"/>
            <w:vAlign w:val="bottom"/>
          </w:tcPr>
          <w:p>
            <w:pPr>
              <w:spacing w:after="0"/>
              <w:rPr>
                <w:sz w:val="1"/>
                <w:szCs w:val="1"/>
                <w:color w:val="auto"/>
              </w:rPr>
            </w:pPr>
          </w:p>
        </w:tc>
      </w:tr>
      <w:tr>
        <w:trPr>
          <w:trHeight w:val="257"/>
        </w:trPr>
        <w:tc>
          <w:tcPr>
            <w:tcW w:w="31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244,929</w:t>
            </w: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228,710</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16,219</w:t>
            </w:r>
          </w:p>
        </w:tc>
        <w:tc>
          <w:tcPr>
            <w:tcW w:w="60" w:type="dxa"/>
            <w:vAlign w:val="bottom"/>
            <w:tcBorders>
              <w:top w:val="single" w:sz="8" w:color="auto"/>
              <w:bottom w:val="single" w:sz="8" w:color="auto"/>
            </w:tcBorders>
          </w:tcPr>
          <w:p>
            <w:pPr>
              <w:spacing w:after="0"/>
              <w:rPr>
                <w:sz w:val="22"/>
                <w:szCs w:val="22"/>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revenues increased $16.2 million, or 7%, to $244.9 million during fiscal 2012 compared to fiscal 2011.</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MCE revenues decreased $13.4 million, or 6%, during fiscal 2012 compared to fiscal 2011. The decrease in net MCE revenues was primarily due to lower commercial revenues of $33.3 million, partially offset by higher defense revenues of $19.9 million. Defense revenue accounted for 93% of net MCE revenues during fiscal 2012 compared to 78% in fiscal 2011.</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Net MDIS revenues increased $29.2 million to $40.6 million during fiscal 2012 compared to $11.4 million in fiscal 2011. This increase was driven by revenues from Gorgon Stare and revenue contributed by KOR and PDI which were acquired on December 30, 2011.</w:t>
      </w:r>
    </w:p>
    <w:p>
      <w:pPr>
        <w:spacing w:after="0" w:line="11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International revenues, which consist of direct sales to non-U.S. based customers, increased slightly by $0.3 million to $9.6 million during fiscal 2012 compared to $9.3 million during fiscal 2011. The increase was primarily driven by higher defense revenues in the European region, partially offset by lower commercial revenue from the Asia Pacific region. International revenues represented 4% of total revenues during fiscal 2012 and 2011.</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Eliminations revenue is attributable to development programs where the revenue is recognized in both segments under contract accounting, and reflects the reconciliation to our consolidated results.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ROSS</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ARGIN</w:t>
      </w:r>
    </w:p>
    <w:p>
      <w:pPr>
        <w:spacing w:after="0" w:line="108"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Gross margin was 55.6% for fiscal 2012, a decrease of 120 basis points from the 56.8% gross margin achieved in fiscal 2011. The decrease in gross margin was driven by product mix and the inclusion of KOR and PDI revenues. KOR and PDI are service based business models which typically carry lower margins than product based models.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ELLING</w:t>
      </w:r>
      <w:r>
        <w:rPr>
          <w:rFonts w:ascii="Arial" w:cs="Arial" w:eastAsia="Arial" w:hAnsi="Arial"/>
          <w:sz w:val="18"/>
          <w:szCs w:val="18"/>
          <w:b w:val="1"/>
          <w:bCs w:val="1"/>
          <w:color w:val="auto"/>
        </w:rPr>
        <w:t>, G</w:t>
      </w:r>
      <w:r>
        <w:rPr>
          <w:rFonts w:ascii="Arial" w:cs="Arial" w:eastAsia="Arial" w:hAnsi="Arial"/>
          <w:sz w:val="14"/>
          <w:szCs w:val="14"/>
          <w:b w:val="1"/>
          <w:bCs w:val="1"/>
          <w:color w:val="auto"/>
        </w:rPr>
        <w:t>ENERAL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DMINISTRATIVE</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Selling, general and administrative expenses decreased 1.2%, or $0.7 million, to $57.2 million during fiscal 2012 compared to $57.9 million during fiscal 2011. The overall decrease was primarily due to lower variable compensation expense partially offset by increased headcount related expenses as a result of the KOR and LNX acquisitions. Selling, general and administrative expenses decreased as a percentage of revenues to 23.3% during fiscal 2012 from 25.3% during fiscal 2011 due to higher revenue and increased operating leverage.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Research and development expenses increased 3%, or $1.5 million, to $46.0 million during fiscal 2012 compared to $44.5 million for fiscal 2011. The increase was primarily due to a $2.0 million increase in headcount related expenses as a result of the KOR and LNX acquisitions, a $0.9 million increase in allocated IT and depreciation expenses and a $0.5 million increase in prototype and development expenses. These increases were partially offset by $2.8 million in higher customer funded credits.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MORTIZATION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CQUIRED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108"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Amortization of acquired intangible assets increased $1.8 million to $3.8 million during fiscal 2012 compared to $2.0 million for fiscal 2011, primarily due to amortization of intangible assets from the KOR and PDI acquisition completed in December 2011 and the LNX acquisition completed in January 2011.</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ESTRUCTURING</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w:t>
      </w:r>
    </w:p>
    <w:p>
      <w:pPr>
        <w:spacing w:after="0" w:line="10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There was $2.8 million of restructuring expense recorded in fiscal 2012 as compared to no expense in fiscal 2011. The 2012 restructuring plan consisted of severance related to the elimination of 41 positions largely in engineering and manufacturing functions; and facility costs related to outsourcing of certain manufacturing activities at our Huntsville, Alabama site. We expect to realize approximately $5 million in annual savings from these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MPAIRMENT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ONG</w:t>
      </w:r>
      <w:r>
        <w:rPr>
          <w:rFonts w:ascii="Arial" w:cs="Arial" w:eastAsia="Arial" w:hAnsi="Arial"/>
          <w:sz w:val="18"/>
          <w:szCs w:val="18"/>
          <w:b w:val="1"/>
          <w:bCs w:val="1"/>
          <w:color w:val="auto"/>
        </w:rPr>
        <w:t>-</w:t>
      </w:r>
      <w:r>
        <w:rPr>
          <w:rFonts w:ascii="Arial" w:cs="Arial" w:eastAsia="Arial" w:hAnsi="Arial"/>
          <w:sz w:val="14"/>
          <w:szCs w:val="14"/>
          <w:b w:val="1"/>
          <w:bCs w:val="1"/>
          <w:color w:val="auto"/>
        </w:rPr>
        <w:t>LIVED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10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No impairment charges were recorded during fiscal 2012 compared to $0.2 million in fiscal 2011. The fiscal 2011 charge represents the impairment of the fair value of the shares we received as compensation in the sale of our former Biotech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CQUISITION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XPENSES</w:t>
      </w:r>
    </w:p>
    <w:p>
      <w:pPr>
        <w:spacing w:after="0" w:line="10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incurred $1.2 million of acquisition costs and other related expenses during fiscal 2012, in connection with the acquisitions of Micronetics, KOR and PDI, as compared to $0.4 million during fiscal 2011, in connection with the LNX acquisition.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N</w:t>
      </w:r>
      <w:r>
        <w:rPr>
          <w:rFonts w:ascii="Arial" w:cs="Arial" w:eastAsia="Arial" w:hAnsi="Arial"/>
          <w:sz w:val="14"/>
          <w:szCs w:val="14"/>
          <w:b w:val="1"/>
          <w:bCs w:val="1"/>
          <w:color w:val="auto"/>
        </w:rPr>
        <w:t>ET</w:t>
      </w:r>
    </w:p>
    <w:p>
      <w:pPr>
        <w:spacing w:after="0" w:line="10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income increased $0.1 million to $1.7 million during fiscal 2012 compared to fiscal 2011. Other income primarily consists of $1.2 million in amortization of the gain on the sale leaseback of our corporate headquarters located in Chelmsford, Massachusetts and foreign currency exchange gains and losses.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 income for fiscal years 2012 and 2011 were minimal due to the near zero percent yield on our U.S. treasury bills and money market accounts.</w:t>
      </w:r>
    </w:p>
    <w:p>
      <w:pPr>
        <w:spacing w:after="0" w:line="11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incurred a minimal amount of interest expense for fiscal 2012 and 2011, which primarily consisted of finance charges related to capital lease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AXES</w:t>
      </w:r>
    </w:p>
    <w:p>
      <w:pPr>
        <w:spacing w:after="0" w:line="10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recorded a provision for income taxes of $9.2 million in fiscal 2012 compared to $8.1 million in fiscal 2011. The effective tax rate for fiscal 2012 and fiscal 2011 was 28.8% and 30.3%, respectively.</w:t>
      </w:r>
    </w:p>
    <w:p>
      <w:pPr>
        <w:spacing w:after="0" w:line="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effective tax rate for fiscal 2012 differed from the federal statutory rate primarily due to the change in the fair value of the liability related to the LNX earn-out, the impact of research and development tax credits, the impact of the Section 199 manufacturing deduction and acquisition costs.The difference in the rates is mainly driven by the change in the fair value of the liability related to the LNX earn-out of $4.9 million offset by $1.2 million of acquisition costs, both of which are not subject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tax. This decrease in the fiscal 2012 rate was partially offset by a higher tax provision as a result of having a full-year benefit for the federal research and development tax credit in fiscal 2011 compared to only a six-month benefit in fiscal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EGMENT</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PERATING</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ESULTS</w:t>
      </w:r>
    </w:p>
    <w:p>
      <w:pPr>
        <w:spacing w:after="0" w:line="18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Adjusted EBITDA, the non-GAAP profitability measure for our segment reporting, is defined as net income (loss) before interest income and expense, income taxes, depreciation, amortization of acquired intangible assets, restructuring, impairment of long-lived assets, acquisition costs and other related expenses, fair value adjustments from purchase accounting and stock-based compensation costs. We utilize the adjusted EBITDA financial measure to assist in providing a more complete understanding of our underlying operational measures in order to manage the business, evaluate our performance compared to prior periods and the marketplace, and to establish operational goals.</w:t>
      </w:r>
    </w:p>
    <w:p>
      <w:pPr>
        <w:spacing w:after="0" w:line="5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Adjusted EBITDA for the MCE segment decreased $1.6 million to $40.5 million during fiscal 2012, as compared to $42.1 million during fiscal 2011. The decrease in adjusted EBITDA was mostly driven by lower revenues and gross margin. MCE generated $216.5 million in revenues including intersegment revenues in fiscal 2012 compared to $223.7 million in fiscal 2011.</w:t>
      </w:r>
    </w:p>
    <w:p>
      <w:pPr>
        <w:spacing w:after="0" w:line="181"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Adjusted EBITDA for the MDIS segment increased by $8.9 million during fiscal 2012 to $8.2 million, as compared to a loss of $0.7 million in fiscal 2011. The increase in adjusted EBITDA was primarily due to higher revenues from Gorgon Stare and revenues contributed by KOR and PDI.</w:t>
      </w:r>
    </w:p>
    <w:p>
      <w:pPr>
        <w:spacing w:after="0" w:line="9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See Note P to our consolidated financial statements for more information regarding our operating segments as well as the Company's reconciliations of net income (loss) to its adjusted EBITDA.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fiscal 2013, our primary source of liquidity came from existing cash and cash generated from operations. Our near-term fixed commitments for cash expenditures consist primarily of payments under operating leases and inventory purchase commitments with our contract manufacturers. We do not currently have any material commitments for capital expenditures.</w:t>
      </w:r>
    </w:p>
    <w:p>
      <w:pPr>
        <w:spacing w:after="0" w:line="12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Based on our current plans and business conditions, we believe that existing cash, cash equivalents, available line of credit, cash generated from operations, and financing capabilities will be sufficient to satisfy our anticipated cash requirements for at least the next twelve months.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Shelf Registration Statement</w:t>
      </w:r>
    </w:p>
    <w:p>
      <w:pPr>
        <w:spacing w:after="0" w:line="9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On August 2, 2011, we filed a shelf registration statement on Form S-3 with the SEC. The shelf registration statement, which has been declared effective by the SEC, registered up to $500 million of debt securities, preferred stock, common stock, warrants and units. We intend to use the proceeds from a financing using the shelf registration statement for general corporate purposes, which may include the following:</w:t>
      </w: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acquisition of other companies or businesses;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repayment and refinancing of debt;</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purposes as described in the prospectus supplement.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Public Stock Offering</w:t>
      </w:r>
    </w:p>
    <w:p>
      <w:pPr>
        <w:spacing w:after="0" w:line="9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On February 16, 2011, we completed a follow-on public stock offering of 5,577,500 shares of common stock, which were sold at a price to the public of $17.75 per share. The follow-on public stock offering resulted in $93.6 million of net proceeds to us. The underwriting discount of $5.0 million and other expenses of $0.4 million related to the follow-on public stock offering were recorded as an offset to additional paid-in-capital.</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February 2011 follow-on public stock offering generated gross proceeds (i.e. proceeds before underwriting fees) of $99 million out of the $100 million available under our then existing shelf registration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Unsecured Credit Facility</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October 12, 2012, we entered into a credit agreement (the “Credit Agreement”) with a syndicate of commercial banks, with KeyBank National Association acting as the administrative agent. The Credit Agreement provides for a $200.0 million senior unsecured revolving line of credit (the “Revolver”). We can borrow up to $200.0 million based on our consolidated EBITDA for the prior trailing four quarters and subject to compliance with the financial covenants discussed below. The Revolver is available for working capital, acquisitions, and general corporate purposes of the Company and its subsidiaries. The Revolver is available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borrowing during a five year period, with interest payable periodically during such period as provided in the Credit Agreement and principal due at the maturity of the Revolver.</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Credit Agreement has an accordion feature permitting us to request from the lenders an increase in the aggregate amount of the credit facility in the form of an incremental revolver or term loan in an amount not to exceed $50.0 million. Any such increase would require only the consent of the lenders increasing their respective commitments under the credit facility.</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interest rates applicable to borrowings under the Credit Agreement involve various rate options that are available to us. The rates are calculated using a combination of conventional base rate measures plus a margin over those rates. The base rates consist of LIBOR rates or prime rates. The actual rates will depend on the level of these underlying rates plus a margin based on our leverage at the time of borrowing.</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Borrowings under the Credit Agreement are senior unsecured loans. Each of our domestic subsidiaries is a guarantor under the Credit Agreement.</w:t>
      </w:r>
    </w:p>
    <w:p>
      <w:pPr>
        <w:spacing w:after="0" w:line="19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Credit Agreement provides for conventional affirmative and negative covenants, including a maximum leverage ratio of 3.50x and a minimum interest coverage ratio of 3.0x. Each of the two ratios referred to above is calculated based on consolidated EBITDA, as defined in the Credit Agreement, on a consolidated basis for each consecutive four fiscal quarter period, after giving pro forma effect for any acquisitions or dispositions. Acquisitions are permitted under the Credit Agreement without any dollar limitation so long as, among other requirements, no default or event of default exists or would result. In addition, the Credit Agreement contains certain customary representations and warranties, and events of default.</w:t>
      </w:r>
    </w:p>
    <w:p>
      <w:pPr>
        <w:spacing w:after="0" w:line="11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June 30, 2013, there was $35.8 million of borrowing capacity available based on our consolidated EBITDA for the trailing four quarters ended June 30, 2013. There were no borrowings outstanding on the Credit Agreement; however, there were outstanding letters of credit of $3.9 million. We were in compliance with all covenants and conditions under the Credit Agreement.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Original Loan Agreement</w:t>
      </w:r>
    </w:p>
    <w:p>
      <w:pPr>
        <w:spacing w:after="0" w:line="9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On February 12, 2010, we entered into a loan and security agreement (the “Loan Agreement”) with Silicon Valley Bank (the “Lender”). The Loan Agreement provided for a $15.0 million revolving line of credit (the “Revolver”) and a $20.0 million acquisition line (the “Term Loan”). The Revolver was available for borrowing during a two-year period, with interest payable monthly and the principal due at the February 11, 2012 maturity of the Revolver. The Term Loan was available for up to three separate borrowings, with total borrowings not to exceed $20.0 million, until February 11, 2012. The Term Loan had monthly interest and principal payments through the February 11, 2014 maturity of the Term Loan.</w:t>
      </w:r>
    </w:p>
    <w:p>
      <w:pPr>
        <w:spacing w:after="0" w:line="11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interest rates included various rate options that were available to us. The rates were calculated using a combination of conventional base rate measures plus a margin over those rates. The base rates consisted of LIBOR rates and prime rates. The actual rates depended on the level of these underlying rates plus a margin based on our leverage at the time of borrowing.</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Borrowings were secured by a first-priority security interest in all of our domestic assets, including intellectual property, but limited to 65% of the voting stock of foreign subsidiaries.</w:t>
      </w:r>
    </w:p>
    <w:p>
      <w:pPr>
        <w:spacing w:after="0" w:line="11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Loan Agreement provided for conventional affirmative and negative covenants, including a minimum quick ratio of 1.5 to 1.0. If we had less than $10.0 million of cash equivalents in accounts with the Lender in excess of our borrowings, we must also satisfy a $15.0 million minimum trailing-four-quarter cash-flow covenant. The minimum cash flow covenant was calculated as our trailing-four quarter adjusted EBITDA as defined in the Loan Agreement. In addition, the Loan Agreement contained certain customary representations and warranties and limited our and our subsidiaries’ ability to incur liens, dispose of assets, carry out certain mergers and acquisitions, make investments and capital expenditures and defined events of default and limitations on us and our subsidiaries to incur additional debt.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Loan Agreement</w:t>
      </w:r>
    </w:p>
    <w:p>
      <w:pPr>
        <w:spacing w:after="0" w:line="9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On March 30, 2011, we entered into an amendment to the Loan Agreement (as amended, the “Amended Loan Agreement”) with the Lender. We amended the Loan Agreement in order to extend the term during which we may borrow, to make the entire $35 million available for revolving credit, and to obtain more favorable financial covenants and relax mergers and acquisition restrictions. The amendment extended the term of the Revolver for an additional two years, to February 11, 2014, terminated the $20.0 million Term Loan under the original Loan Agreement, and increased the original $15.0 million Revolver to $35.0 million. The amendment also included modifications to the financial covenants as summarized below.</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Amended Loan Agreement provided for conventional affirmative and negative covenants, including a minimum quick ratio of 1.0 to 1.0 and a $15.0 million minimum trailing four quarter cash flow covenant through and including June 30, 2012 (with $17.5 million of minimum cash flow required thereafter).</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connection with entering into the Credit Agreement, on October 12, 2012, the Company terminated its Loan and Security Agreement with Silicon Valley Bank dated February 12, 2010, as amended on March 30, 2011 (the “Loan Agreement”). The Loan Agreement provided for a $35,000 revolving line of credit. The Company terminated the Loan Agreement early without penalty. Silicon Valley Bank released its security interests in the Company's assets in connection with the termination of the Loan Agreement.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3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June 30, 2013</w:t>
            </w:r>
          </w:p>
        </w:tc>
        <w:tc>
          <w:tcPr>
            <w:tcW w:w="220" w:type="dxa"/>
            <w:vAlign w:val="bottom"/>
          </w:tcPr>
          <w:p>
            <w:pPr>
              <w:spacing w:after="0"/>
              <w:rPr>
                <w:sz w:val="14"/>
                <w:szCs w:val="14"/>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June 30, 2012</w:t>
            </w:r>
          </w:p>
        </w:tc>
        <w:tc>
          <w:tcPr>
            <w:tcW w:w="220" w:type="dxa"/>
            <w:vAlign w:val="bottom"/>
          </w:tcPr>
          <w:p>
            <w:pPr>
              <w:spacing w:after="0"/>
              <w:rPr>
                <w:sz w:val="14"/>
                <w:szCs w:val="14"/>
                <w:color w:val="auto"/>
              </w:rPr>
            </w:pPr>
          </w:p>
        </w:tc>
        <w:tc>
          <w:tcPr>
            <w:tcW w:w="12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June 30, 2011</w:t>
            </w:r>
          </w:p>
        </w:tc>
        <w:tc>
          <w:tcPr>
            <w:tcW w:w="0" w:type="dxa"/>
            <w:vAlign w:val="bottom"/>
          </w:tcPr>
          <w:p>
            <w:pPr>
              <w:spacing w:after="0"/>
              <w:rPr>
                <w:sz w:val="1"/>
                <w:szCs w:val="1"/>
                <w:color w:val="auto"/>
              </w:rPr>
            </w:pPr>
          </w:p>
        </w:tc>
      </w:tr>
      <w:tr>
        <w:trPr>
          <w:trHeight w:val="192"/>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As of and for the fiscal year ended</w:t>
            </w:r>
          </w:p>
        </w:tc>
        <w:tc>
          <w:tcPr>
            <w:tcW w:w="2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31,474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(71,091)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(80,802)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(22,683)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97,800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(76,838)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(46,911)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106,634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39,126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115,964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162,875</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cash and cash equivalents decreased by $76.8 million during fiscal 2013 primarily as a result of the $67.7 million payment, net of cash acquired, for the Micronetics acquisition and an additional $6.6 million payment to settle Micronetics debt.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During fiscal 2013, we used $1.8 million in cash for operating activities, a decrease of $33.7 million when compared to $31.9 million in cash generated from operating activities in fiscal 2012. The decline in cash generated by operating activities was primarily a result of lower comparable net income of $35.8 million and a $12.0 million increase in cash used for payables and accrued expenses. These increases in the use of cash were partially offset by $2.0 million in lower accounts receivable, $7.7 million in lower inventory purchases and $5.6 million generated from higher depreciation and amortization and the absence of a $4.9 million non-cash change in the fair value of the LNX earn-out. Our ability to generate cash from operations in future periods will depend in large part on profitability, the rate and timing of collections of accounts receivable, our inventory turns and our ability to manage other areas of working capital.</w:t>
      </w:r>
    </w:p>
    <w:p>
      <w:pPr>
        <w:spacing w:after="0" w:line="3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fiscal 2012, we generated $31.9 million in cash from operations, an increase of $0.4 million when compared to $31.5 million generated in fiscal 2011. The increase was primarily due to the $1.2 million net change in net working capital, partially offset by $0.8 million of lower comparative net income excluding the $4.9 million change in the fair value of the liability related to the LNX earn-out.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fiscal 2013, we used cash of $71.1 million in investing activities compared to $80.8 million used during fiscal 2012. The $9.7 million decrease in cash used in investing activities was primarily driven by $3.3 million of less cash spent on acquisitions and $5.5 million of lower purchases of property and equipment.</w:t>
      </w:r>
    </w:p>
    <w:p>
      <w:pPr>
        <w:spacing w:after="0" w:line="4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During fiscal 2012, we used cash of $80.8 million in investing activities compared to $22.7 million used during fiscal 2011. The $58.1 million increase in cash used by investing activities was primarily driven by a $71.0 million payment, net of cash acquired, for the KOR and PDI acquisition, compared to a $29.5 million payment, net of cash acquired, for the LNX acquisition in fiscal 2011, a $0.6 million increase in capital expenditures, and a $0.3 million increase in restricted cash. Additionally, we generated cash in fiscal 2011 by exercising the put option to sell auction rate securities for $18.0 million in cash. These increases were partially offset by a $2.4 million payment for intangible assets made during fiscal 2011.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fiscal 2013, we used $3.7 million in financing activities compared to $2.0 million generated from financing activities during fiscal 2012. The $5.6 million change in cash from financing activities was primarily due to a $6.6 million payment to settle debt acquired as part of the Micronetics acquisition, $0.8 million in financing fees associated with our Credit Agreement, and $0.4 million in increased payments on capital lease obligations, offset by the release of $3.0 million of cash formerly restricted in support of a letter of credit, which is presently supported by our Credit Agreement.</w:t>
      </w:r>
    </w:p>
    <w:p>
      <w:pPr>
        <w:spacing w:after="0" w:line="3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During fiscal 2012, we generated $2.0 million in cash from financing activities compared to $97.8 million generated from financing activities during fiscal 2011. The $95.8 million decrease in cash generated from financing activities was primarily due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the decrease in net proceeds received from a follow-on public stock offering in 2011 of $93.6 million and a decrease of $2.4 million in cash generated from stock related activities. These decreases were slightly offset by $0.2 million of lower cash payments made for capital lease obligations, deferred financing and offering costs.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ONTRACTUAL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schedule of our commitments and contractual obligations outstanding at June 30, 2013:</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4"/>
                <w:szCs w:val="14"/>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Less Than</w:t>
            </w:r>
          </w:p>
        </w:tc>
        <w:tc>
          <w:tcPr>
            <w:tcW w:w="300" w:type="dxa"/>
            <w:vAlign w:val="bottom"/>
          </w:tcPr>
          <w:p>
            <w:pPr>
              <w:spacing w:after="0"/>
              <w:rPr>
                <w:sz w:val="14"/>
                <w:szCs w:val="14"/>
                <w:color w:val="auto"/>
              </w:rPr>
            </w:pPr>
          </w:p>
        </w:tc>
        <w:tc>
          <w:tcPr>
            <w:tcW w:w="1060" w:type="dxa"/>
            <w:vAlign w:val="bottom"/>
          </w:tcPr>
          <w:p>
            <w:pPr>
              <w:jc w:val="right"/>
              <w:ind w:right="516"/>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96"/>
              <w:spacing w:after="0"/>
              <w:rPr>
                <w:sz w:val="20"/>
                <w:szCs w:val="20"/>
                <w:color w:val="auto"/>
              </w:rPr>
            </w:pPr>
            <w:r>
              <w:rPr>
                <w:rFonts w:ascii="Arial" w:cs="Arial" w:eastAsia="Arial" w:hAnsi="Arial"/>
                <w:sz w:val="14"/>
                <w:szCs w:val="14"/>
                <w:b w:val="1"/>
                <w:bCs w:val="1"/>
                <w:color w:val="auto"/>
              </w:rPr>
              <w:t>4-5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256"/>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1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1 Year</w:t>
            </w:r>
          </w:p>
        </w:tc>
        <w:tc>
          <w:tcPr>
            <w:tcW w:w="30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6"/>
                <w:szCs w:val="16"/>
                <w:color w:val="auto"/>
              </w:rPr>
            </w:pPr>
          </w:p>
        </w:tc>
        <w:tc>
          <w:tcPr>
            <w:tcW w:w="1140" w:type="dxa"/>
            <w:vAlign w:val="bottom"/>
          </w:tcPr>
          <w:p>
            <w:pPr>
              <w:jc w:val="right"/>
              <w:ind w:right="37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4,494</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7,085</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3,813</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4,692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Purchase obligations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18,289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18,289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38,628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23,010</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7,113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3,813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4,692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a liability at June 30, 2013 of $2.9 million for uncertain tax positions that have been taken or are expected to be taken in various income tax returns. We do not know the ultimate resolution of these uncertain tax positions and as such, do not know the ultimate timing of payments related to this liability. Accordingly, these amounts are not included in the above table.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Purchase obligations represent open non-cancelable purchase commitments for certain inventory components and services used in normal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purchase commitments covered by these agreements are for less than one year and aggregated $18.3 million at June 30, 2013.</w:t>
      </w:r>
    </w:p>
    <w:p>
      <w:pPr>
        <w:spacing w:after="0" w:line="15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standard product sales and license agreements entered into in the ordinary course of business typically contain an indemnification provision pursuant to which we indemnify, hold harmless, and agree to reimburse the indemnified party for losses suffered or incurred by the indemnified party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-B</w:t>
      </w:r>
      <w:r>
        <w:rPr>
          <w:rFonts w:ascii="Arial" w:cs="Arial" w:eastAsia="Arial" w:hAnsi="Arial"/>
          <w:sz w:val="14"/>
          <w:szCs w:val="14"/>
          <w:b w:val="1"/>
          <w:bCs w:val="1"/>
          <w:color w:val="auto"/>
        </w:rPr>
        <w:t>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Other than our lease commitments incurred in the normal course of business and certain indemnification provisions,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fiscal 2013 and 2012, we did not engage in any related party transactions.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our periodic communications, we discuss two important measures that are not calculated according to U.S. generally accepted accounting principles (“GAAP”), adjusted EBITDA and free cash flow.</w:t>
      </w:r>
    </w:p>
    <w:p>
      <w:pPr>
        <w:spacing w:after="0" w:line="116"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Adjusted EBITDA is defined as earnings from continuing operations before interest income and expense, income taxes, depreciation, amortization of acquired intangible assets, restructuring, impairment of long-lived assets, acquisition costs and other related expenses, fair value adjustments from purchase accounting and stock-based compensation costs. We 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a component of bonus compensation for executive officers and other key employees based on operating performance and evaluating short-term and long-term operating trends in our operations. We believe the adjusted EBITDA financial measure assists in providing a more complete understanding of our underlying operational measures to manage our business, to evaluate our performance compared to prior periods and the marketplace, and to establish operational goals. We believe that these non-GAAP financial adjustments are useful to investors because they allow investors to evaluate the effectiveness of the methodology and information used by management in our financial and operational decision-making.</w:t>
      </w:r>
    </w:p>
    <w:p>
      <w:pPr>
        <w:spacing w:after="0" w:line="11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Adjusted EBITDA is a non-GAAP financial measure and should not be considered in isolation or as a substitute for financial information provided in accordance with GAAP. This non-GAAP financial measure may not be computed in the same manner as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reconciles our net income, the most directly comparable GAAP financial measure, to our adjusted EBITDA: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June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18,507</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(benefit)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8,060</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8,492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6,364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acquired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Restructuring and other charges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7,056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long-lived assets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Acquisition costs and other related expenses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Fair value adjustments related to purchase accounting items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Stock-based compensation cost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7,940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5,580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40,883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Free cash flow, a non-GAAP measure for reporting cash flow, is defined as cash provided by operating activities less capital expenditures for property and equipment, which includes capitalized software development costs. We believe free cash flow provides investors with an important perspective on cash available for investments and acquisitions after making capital investments required to support ongoing business operations and long-term value creation. We believe that trends in our free cash flow are valuable indicators of our operating performance and liquidity.</w:t>
      </w:r>
    </w:p>
    <w:p>
      <w:pPr>
        <w:spacing w:after="0" w:line="11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expenditures similar to the free cash flow adjustment described above, and investors should not infer from our presentation of this non-GAAP financial measure that these expenditures reflect all of our obligations which require cash.</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reconciles cash provided by operating activities, the most directly comparable GAAP financial measure, to free cash flow:</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June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31,869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31,474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(8,825)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22,649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9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have identified the policies discussed below as critical to understanding our business and our results of operations. The impact and any associated risks related to these policies on our business operations are discussed throughout Management’s Discussion and Analysis of Financial Condition and Results of Operations where such policies affect our reported and expected financial results. We believe the following critical accounting policies to be those most important to the portrayal of our financial position and results of operations and those that require the most subjective judgment.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w:t>
      </w:r>
      <w:r>
        <w:rPr>
          <w:rFonts w:ascii="Arial" w:cs="Arial" w:eastAsia="Arial" w:hAnsi="Arial"/>
          <w:sz w:val="14"/>
          <w:szCs w:val="14"/>
          <w:i w:val="1"/>
          <w:iCs w:val="1"/>
          <w:color w:val="auto"/>
        </w:rPr>
        <w:t>EVENUE</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ECOGNITION</w:t>
      </w:r>
    </w:p>
    <w:p>
      <w:pPr>
        <w:spacing w:after="0" w:line="10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recognize revenue using three different types of accounting methods: ship and bill, multiple-deliverable arrangements and contract accounting which encompass the percentage of completion, completed contract and time and materials methods. Revenue from system sales is recognized upon shipment utilizing the ship and bill method provided that title and risk of loss have passed to the customer, there is persuasive evidence of an arrangement, the sales price is fixed or determinable, collection of the related receivable is reasonably assured, and customer acceptance criteria, if any, have been successfully demonstrated. For multiple-deliverable revenue arrangements that may include a combination of hardware components, related integration or other services, we allocate revenue to each deliverable based on its relative selling price. We generally determine relative selling price using best estimate of the selling price (“BESP”). Each deliverable within our multiple-deliverable revenue arrangement is accounted for as a separate unit of accounting if the delivered item or items have value to the customer on a standalone basis. We consider a deliverable to have standalone value if the item is sold separately by us or another vendor or if the item could be resold by the customer. Of our multiple-deliverable revenue arrangements, approximately 50% typically ship complete within the same quarter.</w:t>
      </w:r>
    </w:p>
    <w:p>
      <w:pPr>
        <w:spacing w:after="0" w:line="43"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We also have long term production type contracts that are fixed-price for which we apply the percentage-of-completion method for revenue recognition. Application of the percentage-of-completion method requires significant judgment relative to estimating total contract costs, including assumptions relative to the length of time to complete the contract, the nature and complexity of the work to be performed, anticipated increases in wages and prices for subcontractor services and materials, and the availability of subcontractor services and materials. Our estimates are based upon the professional knowledge and experience of our engineers, program managers and other personnel, who review each long-term contract monthly to assess the contract's schedule, performance, technical matters and estimated cost at completion. A cancellation, schedule delay, or modification of a fixed-price contract which is accounted for using the percentage-of-completion method may adversely affect our gross margins for the period in which the contract is modified or cancelled. Changes in estimates are applied retrospectively and when adjustments in estimated contract costs are identified, such revisions may result in current period adjustments to earnings applicable to performance in prior periods. For time and materials contracts, revenue reflects the number of direct labor hours expended in the performance of a contract multiplied by the contract billing rate, as well as reimbursement of other billable direct costs.</w:t>
      </w:r>
    </w:p>
    <w:p>
      <w:pPr>
        <w:spacing w:after="0" w:line="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all types of contracts, we recognize anticipated contract losses as soon as they become known and estimable. We do not provide our customers with rights of product return, other than those related to warranty provisions that permit repair or replacement of defective goods. We accrue for anticipated warranty costs upon product shipment. Our payment terms generally range from 30 to 90 days from invoice date based on the nature of the contracts, customers' geographic locations and customer type.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w:t>
      </w:r>
      <w:r>
        <w:rPr>
          <w:rFonts w:ascii="Arial" w:cs="Arial" w:eastAsia="Arial" w:hAnsi="Arial"/>
          <w:sz w:val="14"/>
          <w:szCs w:val="14"/>
          <w:i w:val="1"/>
          <w:iCs w:val="1"/>
          <w:color w:val="auto"/>
        </w:rPr>
        <w:t>NVENTORY</w:t>
      </w:r>
      <w:r>
        <w:rPr>
          <w:rFonts w:ascii="Arial" w:cs="Arial" w:eastAsia="Arial" w:hAnsi="Arial"/>
          <w:sz w:val="18"/>
          <w:szCs w:val="18"/>
          <w:i w:val="1"/>
          <w:iCs w:val="1"/>
          <w:color w:val="auto"/>
        </w:rPr>
        <w:t xml:space="preserve"> V</w:t>
      </w:r>
      <w:r>
        <w:rPr>
          <w:rFonts w:ascii="Arial" w:cs="Arial" w:eastAsia="Arial" w:hAnsi="Arial"/>
          <w:sz w:val="14"/>
          <w:szCs w:val="14"/>
          <w:i w:val="1"/>
          <w:iCs w:val="1"/>
          <w:color w:val="auto"/>
        </w:rPr>
        <w:t>ALUATION</w:t>
      </w:r>
    </w:p>
    <w:p>
      <w:pPr>
        <w:spacing w:after="0" w:line="10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value our inventory at the lower of cost (first-in, first-out) or its current estimated market value. We write down inventory for excess and obsolescence based upon assumptions about future demand, product mix and possible alternative uses. Actual demand, product mix and alternative usage may be lower than those that we project and this difference could have a material adverse effect on our gross margin if inventory write-downs beyond those initially recorded become necessary. Alternatively, if actual demand, product mix and alternative usage are more favorable than those we estimated at the time of such a write-down, our gross margin could be favorably impacted in future periods. In fiscal 2013 we added $11.8 million to excess and obsolescence reserve primarily due to the inclusion of the inventory acquired as part of the Micronetics acquisition, partially offset by $3.7 million in disposals.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w:t>
      </w:r>
      <w:r>
        <w:rPr>
          <w:rFonts w:ascii="Arial" w:cs="Arial" w:eastAsia="Arial" w:hAnsi="Arial"/>
          <w:sz w:val="14"/>
          <w:szCs w:val="14"/>
          <w:i w:val="1"/>
          <w:iCs w:val="1"/>
          <w:color w:val="auto"/>
        </w:rPr>
        <w:t>OODWILL</w:t>
      </w:r>
      <w:r>
        <w:rPr>
          <w:rFonts w:ascii="Arial" w:cs="Arial" w:eastAsia="Arial" w:hAnsi="Arial"/>
          <w:sz w:val="18"/>
          <w:szCs w:val="18"/>
          <w:i w:val="1"/>
          <w:iCs w:val="1"/>
          <w:color w:val="auto"/>
        </w:rPr>
        <w:t>, A</w:t>
      </w:r>
      <w:r>
        <w:rPr>
          <w:rFonts w:ascii="Arial" w:cs="Arial" w:eastAsia="Arial" w:hAnsi="Arial"/>
          <w:sz w:val="14"/>
          <w:szCs w:val="14"/>
          <w:i w:val="1"/>
          <w:iCs w:val="1"/>
          <w:color w:val="auto"/>
        </w:rPr>
        <w:t>CQUIRED</w:t>
      </w:r>
      <w:r>
        <w:rPr>
          <w:rFonts w:ascii="Arial" w:cs="Arial" w:eastAsia="Arial" w:hAnsi="Arial"/>
          <w:sz w:val="18"/>
          <w:szCs w:val="18"/>
          <w:i w:val="1"/>
          <w:iCs w:val="1"/>
          <w:color w:val="auto"/>
        </w:rPr>
        <w:t xml:space="preserve"> I</w:t>
      </w:r>
      <w:r>
        <w:rPr>
          <w:rFonts w:ascii="Arial" w:cs="Arial" w:eastAsia="Arial" w:hAnsi="Arial"/>
          <w:sz w:val="14"/>
          <w:szCs w:val="14"/>
          <w:i w:val="1"/>
          <w:iCs w:val="1"/>
          <w:color w:val="auto"/>
        </w:rPr>
        <w:t>NTANGIBLE</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SSETS AND</w:t>
      </w:r>
      <w:r>
        <w:rPr>
          <w:rFonts w:ascii="Arial" w:cs="Arial" w:eastAsia="Arial" w:hAnsi="Arial"/>
          <w:sz w:val="18"/>
          <w:szCs w:val="18"/>
          <w:i w:val="1"/>
          <w:iCs w:val="1"/>
          <w:color w:val="auto"/>
        </w:rPr>
        <w:t xml:space="preserve"> L</w:t>
      </w:r>
      <w:r>
        <w:rPr>
          <w:rFonts w:ascii="Arial" w:cs="Arial" w:eastAsia="Arial" w:hAnsi="Arial"/>
          <w:sz w:val="14"/>
          <w:szCs w:val="14"/>
          <w:i w:val="1"/>
          <w:iCs w:val="1"/>
          <w:color w:val="auto"/>
        </w:rPr>
        <w:t>ONG</w:t>
      </w:r>
      <w:r>
        <w:rPr>
          <w:rFonts w:ascii="Arial" w:cs="Arial" w:eastAsia="Arial" w:hAnsi="Arial"/>
          <w:sz w:val="18"/>
          <w:szCs w:val="18"/>
          <w:i w:val="1"/>
          <w:iCs w:val="1"/>
          <w:color w:val="auto"/>
        </w:rPr>
        <w:t>-</w:t>
      </w:r>
      <w:r>
        <w:rPr>
          <w:rFonts w:ascii="Arial" w:cs="Arial" w:eastAsia="Arial" w:hAnsi="Arial"/>
          <w:sz w:val="14"/>
          <w:szCs w:val="14"/>
          <w:i w:val="1"/>
          <w:iCs w:val="1"/>
          <w:color w:val="auto"/>
        </w:rPr>
        <w:t>LIVED</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SSETS</w:t>
      </w:r>
    </w:p>
    <w:p>
      <w:pPr>
        <w:spacing w:after="0" w:line="10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We evaluate whether goodwill is impaired annually and when events occur or circumstances change. We test goodwill for impairment at the reporting unit level. In 2011, an amendment to the goodwill impairment guidance was issued that provides entities an option to perform a qualitative assessment (commonly known as “step zero”) to determine whether further impairment testing is necessary before performing the two-step test that was previously required. The qualitative assessment requires significant judgments by management about macro-economic conditions including the entity's operating environment, its industry and other market considerations, entity-specific events related to financial performance or loss of key personnel, and other events that could impact the reporting unit. We elected to adopt the provisions of this amendment for our annual test of impairment as of June 30, 2012 and concluded, based on our qualitative assessment, that no further testing was required. If we conclude that further testing is required, the impairment test involves a two-step process. Step one compares the fair value of the reporting unit with its carrying value, including goodwill. If the carrying amount exceeds the fair value of the reporting unit, step two is required to determine if there is an impairment of the goodwill. Step two compares the implied fair value of the reporting unit's goodwill to the carrying amount of the goodwill. The Company estimates the fair value of its reporting units using the income approach based upon a discounted cash flow model. In addition, the Company uses the market approach, which compares the reporting unit to publicly-traded companies and transactions involving similar businesses, to support the conclusions of the income approach. The income approach requires the use of many assumptions and estimates including future revenues, expenses, capital expenditures, and working capital, as well as discount factors and income tax rates.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On January 1, 2013, we reorganized internally into three new reporting units (MCE, MDS and MIS) which qualified as a triggering event and required goodwill to be tested for impairment on the date of reorganization. We utilized the income approach based upon a discounted cash flow model to determine the fair values of our three reporting units and since the fair values of our three reporting units exceeding their carrying values, no further testing was required. As part of our annual goodwill impairment testing performed on May 31, 2013, we utilized the income approach to determine the fair value of these reporting units. Our expected future cash flows based on our January 1, 2013 forecasts did not materially change. As part of our annual goodwill impairment testing, we utilized a discount rate for each of our reporting units that we believe represents the risks that our businesses face, considering their sizes, the current economic environment, and other industry data we believe is appropriate. The discount rate for MCE, MDS, and MIS were 14.5%, 15%, and 15.5%, respectively. The annual testing indicated that the fair values of our three reporting exceeding their carrying values, and thus no further testing was required.</w:t>
      </w:r>
    </w:p>
    <w:p>
      <w:pPr>
        <w:spacing w:after="0" w:line="3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also review finite-lived intangible assets and long-lived assets when indications of potential impairment exist, such as a significant reduction in undiscounted cash flows associated with the assets. Should the fair value of our long-lived assets decline because of reduced operating performance, market declines, or other indicators of impairment, a charge to operations for impairment may be necessary.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w:t>
      </w:r>
      <w:r>
        <w:rPr>
          <w:rFonts w:ascii="Arial" w:cs="Arial" w:eastAsia="Arial" w:hAnsi="Arial"/>
          <w:sz w:val="14"/>
          <w:szCs w:val="14"/>
          <w:i w:val="1"/>
          <w:iCs w:val="1"/>
          <w:color w:val="auto"/>
        </w:rPr>
        <w:t>NCOME</w:t>
      </w:r>
      <w:r>
        <w:rPr>
          <w:rFonts w:ascii="Arial" w:cs="Arial" w:eastAsia="Arial" w:hAnsi="Arial"/>
          <w:sz w:val="18"/>
          <w:szCs w:val="18"/>
          <w:i w:val="1"/>
          <w:iCs w:val="1"/>
          <w:color w:val="auto"/>
        </w:rPr>
        <w:t xml:space="preserve"> T</w:t>
      </w:r>
      <w:r>
        <w:rPr>
          <w:rFonts w:ascii="Arial" w:cs="Arial" w:eastAsia="Arial" w:hAnsi="Arial"/>
          <w:sz w:val="14"/>
          <w:szCs w:val="14"/>
          <w:i w:val="1"/>
          <w:iCs w:val="1"/>
          <w:color w:val="auto"/>
        </w:rPr>
        <w:t>AXES</w:t>
      </w:r>
    </w:p>
    <w:p>
      <w:pPr>
        <w:spacing w:after="0" w:line="10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determination of income tax expense requires us to make certain estimates and judgments concerning the calculation of deferred tax assets and liabilities, as well as the deductions and credits that are available to reduce taxable income. We recognize deferred tax assets and liabilities for the expected future tax consequences of events that have been included in our consolidated financial statements. Under this method, deferred tax assets and liabilities are determined based on the difference between the financial statement and tax basis of assets and liabilities using enacted tax rates for the year in which the differences are expected to reverse. We record a valuation allowance against net deferred tax assets if, based upon the available evidence, it is more likely than not that some or all of the deferred tax assets will not be realized. If it becomes more likely than not that a tax asset will be used for which a reserve has been provided, we reverse the related valuation allowance. If our actual future taxable income by tax jurisdiction differs from estimates, additional allowances or reversals of reserves may be necessary.</w:t>
      </w:r>
    </w:p>
    <w:p>
      <w:pPr>
        <w:spacing w:after="0" w:line="4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use a two-step approach to recognize and measure uncertain tax positions. First, the tax position must be evaluated to determine the likelihood that it will be sustained upon external examination.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We reevaluate our uncertain tax positions on a quarterly basis and any changes to these positions as a result of tax audits, tax laws or other facts and circumstances could result in additional charges to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w:t>
      </w:r>
      <w:r>
        <w:rPr>
          <w:rFonts w:ascii="Arial" w:cs="Arial" w:eastAsia="Arial" w:hAnsi="Arial"/>
          <w:sz w:val="14"/>
          <w:szCs w:val="14"/>
          <w:i w:val="1"/>
          <w:iCs w:val="1"/>
          <w:color w:val="auto"/>
        </w:rPr>
        <w:t>USINESS</w:t>
      </w:r>
      <w:r>
        <w:rPr>
          <w:rFonts w:ascii="Arial" w:cs="Arial" w:eastAsia="Arial" w:hAnsi="Arial"/>
          <w:sz w:val="18"/>
          <w:szCs w:val="18"/>
          <w:i w:val="1"/>
          <w:iCs w:val="1"/>
          <w:color w:val="auto"/>
        </w:rPr>
        <w:t xml:space="preserve"> C</w:t>
      </w:r>
      <w:r>
        <w:rPr>
          <w:rFonts w:ascii="Arial" w:cs="Arial" w:eastAsia="Arial" w:hAnsi="Arial"/>
          <w:sz w:val="14"/>
          <w:szCs w:val="14"/>
          <w:i w:val="1"/>
          <w:iCs w:val="1"/>
          <w:color w:val="auto"/>
        </w:rPr>
        <w:t>OMBINATIONS</w:t>
      </w:r>
    </w:p>
    <w:p>
      <w:pPr>
        <w:spacing w:after="0" w:line="18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utilized the acquisition method of accounting for business combinations and allocate the purchase price of an acquisition to the various assets acquired and liabilities assumed based on their estimated fair values. We primarily establish fair value using the income approach based upon a discounted cash flow model. The income approach requires the use of many assumptions and estimates including future revenues and expenses, as well as discount factors and income tax rates.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In February 2013, the FASB issued ASU No. 2013-02, </w:t>
      </w:r>
      <w:r>
        <w:rPr>
          <w:rFonts w:ascii="Arial" w:cs="Arial" w:eastAsia="Arial" w:hAnsi="Arial"/>
          <w:sz w:val="18"/>
          <w:szCs w:val="18"/>
          <w:i w:val="1"/>
          <w:iCs w:val="1"/>
          <w:color w:val="auto"/>
        </w:rPr>
        <w:t>Other Comprehensive Income (Topic 220): Reporting of Amounts Reclassified Out of</w:t>
      </w:r>
      <w:r>
        <w:rPr>
          <w:rFonts w:ascii="Arial" w:cs="Arial" w:eastAsia="Arial" w:hAnsi="Arial"/>
          <w:sz w:val="18"/>
          <w:szCs w:val="18"/>
          <w:color w:val="auto"/>
        </w:rPr>
        <w:t xml:space="preserve"> </w:t>
      </w:r>
      <w:r>
        <w:rPr>
          <w:rFonts w:ascii="Arial" w:cs="Arial" w:eastAsia="Arial" w:hAnsi="Arial"/>
          <w:sz w:val="18"/>
          <w:szCs w:val="18"/>
          <w:i w:val="1"/>
          <w:iCs w:val="1"/>
          <w:color w:val="auto"/>
        </w:rPr>
        <w:t>Accumulated Other Comprehensive Income</w:t>
      </w:r>
      <w:r>
        <w:rPr>
          <w:rFonts w:ascii="Arial" w:cs="Arial" w:eastAsia="Arial" w:hAnsi="Arial"/>
          <w:sz w:val="18"/>
          <w:szCs w:val="18"/>
          <w:color w:val="auto"/>
        </w:rPr>
        <w:t>, an amendment of the FASB Accounting Standards Codification. The ASU requires an entity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about the amounts reclassified out of accumulated other comprehensive income by component. The entity is also required to disclose significant amounts reclassified out of accumulated other comprehensive income by the respective line items of net income, but only if the amount reclassified is required under U.S. GAAP to be reclassified to net income in its entirety in the same reporting period. For other amounts to be reclassified in their entirety to net income not required by U.S. GAAP, the entity is required to cross-reference details to other disclosures required by U.S. GAAP that provide detail about those amounts. The ASU is effective prospectively for annual reporting periods beginning after December 15, 2012. This pronouncement is not expected to have a material impact to our consolidated financial statements.</w:t>
      </w:r>
    </w:p>
    <w:p>
      <w:pPr>
        <w:spacing w:after="0" w:line="1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NTEREST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ATE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ISK</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exposure to interest rate risk is related primarily to our investment portfolio and our line of credit. Our investment portfolio includes money market funds from high quality U.S. government issuers. A change in prevailing interest rates may cause the fair value of our investments to fluctuate. For example, if we hold a security that was issued with a fixed interest rate at the then-prevailing rate and the prevailing rate rises, the fair value of the principal amount of our investment will probably decline.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minimize this risk, investments are generally available for sale and we generally limit the amount of credit exposure to any one issuer. Our line of credit was unused at June 30,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URRENCY</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ISK</w:t>
      </w:r>
    </w:p>
    <w:p>
      <w:pPr>
        <w:spacing w:after="0" w:line="10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operate primarily in the United States; however, we conduct business outside the United States through our foreign subsidiaries in Europe and Japan, where business is largely transacted in non-U.S. dollar currencies. Accordingly, we are subject to exposure from adverse movements in the exchange rates of local currencies. Local currencies are used as the functional currency for our subsidiaries in Europe and Japan. Consequently, changes in the exchange rates of the currencies may impact the translation of the foreign subsidiaries’ statements of operations into U.S. dollars, which may in turn affect our consolidated statement of operations.</w:t>
      </w:r>
    </w:p>
    <w:p>
      <w:pPr>
        <w:spacing w:after="0" w:line="134"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We have not entered into any financial derivative instruments that expose us to material market risk, including any instruments designed to hedge the impact of foreign currency exposures. We may, however, hedge such exposure to foreign currency exchange rate fluctuations in the future.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EPORT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NDEPENDENT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EGISTERED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UBLIC</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Mercury Systems, Inc.:</w:t>
      </w:r>
    </w:p>
    <w:p>
      <w:pPr>
        <w:spacing w:after="0" w:line="7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 xml:space="preserve">We have audited the accompanying consolidated balance sheets of Mercury Systems, Inc. and subsidiaries as of June 30, 2013 and 2012, and the related consolidated statements of operations and comprehensive income (loss), shareholders' equity, and cash flows for each of the years in the three-year period ended June 30, 2013. In connection with our audits of the consolidated financial statements, we have also audited financial statement Schedule II. We also have audited Mercury Systems, Inc.'s internal control over financial reporting as of June 30, 2013, based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(1992) </w:t>
      </w:r>
      <w:r>
        <w:rPr>
          <w:rFonts w:ascii="Arial" w:cs="Arial" w:eastAsia="Arial" w:hAnsi="Arial"/>
          <w:sz w:val="16"/>
          <w:szCs w:val="16"/>
          <w:color w:val="auto"/>
        </w:rPr>
        <w:t>issued by the Committee of Sponsoring Organizations of the Treadway Commission (COSO 1992). Mercury Systems, Inc.'s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is responsible for these consolidated financial statements and financial statement Schedule II, for maintaining effective internal control over financial reporting, and for its assessment of the effectiveness of internal control over financial reporting, included in the accompanying Management's Annual Report on Internal Controls Over Financial Reporting. Our responsibility is to express an opinion on these consolidated financial statements and financial statement schedule and an opinion on the Company's internal control over financial reporting based on our audits.</w:t>
      </w:r>
    </w:p>
    <w:p>
      <w:pPr>
        <w:spacing w:after="0" w:line="3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4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Mercury Systems, Inc. and subsidiaries as of June 30, 2013 and 2012, and the results of their operations and their cash flows for each of the years in the three-year period ended June 30, 2013,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 Also in our opinion, Mercury Systems, Inc. maintained, in all material respects, effective internal control over financial reporting as of June 30, 2013, based on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w:t>
      </w:r>
    </w:p>
    <w:p>
      <w:pPr>
        <w:spacing w:after="0" w:line="5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Mercury Systems, Inc. and subsidiaries acquired Micronetics, Inc. and subsidiaries during fiscal year 2013, and management excluded from its assessment of the effectiveness of Mercury Systems, Inc.'s internal control over financial reporting as of June 30, 2013 Micronetics, Inc. and subsidiaries internal control over financial reporting associated with total assets of 23 percent (of which 16 percent represented goodwill and intangible assets included within the scope of the assessment) and total revenues of 17 percent included in the consolidated financial statements of Mercury Systems, Inc. and subsidiaries as of and for the year ended June 30, 2013. Our audit of internal control over financial reporting of Mercury Systems, Inc. also excluded an evaluation of the internal control over financial reporting of Micronetics, Inc. and subsidiaries.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16, 2013</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834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80"/>
        </w:trPr>
        <w:tc>
          <w:tcPr>
            <w:tcW w:w="68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color w:val="auto"/>
              </w:rPr>
              <w:t>ITEM 8.</w:t>
            </w:r>
          </w:p>
        </w:tc>
        <w:tc>
          <w:tcPr>
            <w:tcW w:w="600" w:type="dxa"/>
            <w:vAlign w:val="bottom"/>
            <w:tcBorders>
              <w:top w:val="single" w:sz="8" w:color="0000FF"/>
            </w:tcBorders>
          </w:tcPr>
          <w:p>
            <w:pPr>
              <w:spacing w:after="0"/>
              <w:rPr>
                <w:sz w:val="24"/>
                <w:szCs w:val="24"/>
                <w:color w:val="auto"/>
              </w:rPr>
            </w:pPr>
          </w:p>
        </w:tc>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 AND SUPPLEMENTARY DATA</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7"/>
        </w:trPr>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60" w:type="dxa"/>
            <w:vAlign w:val="bottom"/>
          </w:tcPr>
          <w:p>
            <w:pPr>
              <w:jc w:val="center"/>
              <w:ind w:left="1730"/>
              <w:spacing w:after="0"/>
              <w:rPr>
                <w:sz w:val="20"/>
                <w:szCs w:val="20"/>
                <w:color w:val="auto"/>
              </w:rPr>
            </w:pPr>
            <w:r>
              <w:rPr>
                <w:rFonts w:ascii="Arial" w:cs="Arial" w:eastAsia="Arial" w:hAnsi="Arial"/>
                <w:sz w:val="18"/>
                <w:szCs w:val="18"/>
                <w:b w:val="1"/>
                <w:bCs w:val="1"/>
                <w:color w:val="auto"/>
                <w:w w:val="99"/>
              </w:rPr>
              <w:t>MERCURY SYSTEMS, INC.</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3"/>
        </w:trPr>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60" w:type="dxa"/>
            <w:vAlign w:val="bottom"/>
          </w:tcPr>
          <w:p>
            <w:pPr>
              <w:jc w:val="center"/>
              <w:ind w:left="1730"/>
              <w:spacing w:after="0"/>
              <w:rPr>
                <w:sz w:val="20"/>
                <w:szCs w:val="20"/>
                <w:color w:val="auto"/>
              </w:rPr>
            </w:pPr>
            <w:r>
              <w:rPr>
                <w:rFonts w:ascii="Arial" w:cs="Arial" w:eastAsia="Arial" w:hAnsi="Arial"/>
                <w:sz w:val="18"/>
                <w:szCs w:val="18"/>
                <w:b w:val="1"/>
                <w:bCs w:val="1"/>
                <w:color w:val="auto"/>
                <w:w w:val="99"/>
              </w:rPr>
              <w:t>CONSOLIDATED BALANCE SHEETS</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0"/>
        </w:trPr>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60" w:type="dxa"/>
            <w:vAlign w:val="bottom"/>
          </w:tcPr>
          <w:p>
            <w:pPr>
              <w:jc w:val="center"/>
              <w:ind w:left="1670"/>
              <w:spacing w:after="0"/>
              <w:rPr>
                <w:sz w:val="20"/>
                <w:szCs w:val="20"/>
                <w:color w:val="auto"/>
              </w:rPr>
            </w:pPr>
            <w:r>
              <w:rPr>
                <w:rFonts w:ascii="Arial" w:cs="Arial" w:eastAsia="Arial" w:hAnsi="Arial"/>
                <w:sz w:val="18"/>
                <w:szCs w:val="18"/>
                <w:color w:val="auto"/>
                <w:w w:val="87"/>
              </w:rPr>
              <w:t>(In thousands, except share and per share data)</w:t>
            </w: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2"/>
        </w:trPr>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24"/>
                <w:szCs w:val="24"/>
                <w:color w:val="auto"/>
              </w:rPr>
            </w:pPr>
          </w:p>
        </w:tc>
      </w:tr>
      <w:tr>
        <w:trPr>
          <w:trHeight w:val="264"/>
        </w:trPr>
        <w:tc>
          <w:tcPr>
            <w:tcW w:w="68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706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250"/>
        </w:trPr>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60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Current assets:</w:t>
            </w: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7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115,964</w:t>
            </w:r>
          </w:p>
        </w:tc>
      </w:tr>
      <w:tr>
        <w:trPr>
          <w:trHeight w:val="229"/>
        </w:trPr>
        <w:tc>
          <w:tcPr>
            <w:tcW w:w="8340" w:type="dxa"/>
            <w:vAlign w:val="bottom"/>
            <w:gridSpan w:val="3"/>
          </w:tcPr>
          <w:p>
            <w:pPr>
              <w:ind w:left="380"/>
              <w:spacing w:after="0"/>
              <w:rPr>
                <w:sz w:val="20"/>
                <w:szCs w:val="20"/>
                <w:color w:val="auto"/>
              </w:rPr>
            </w:pPr>
            <w:r>
              <w:rPr>
                <w:rFonts w:ascii="Arial" w:cs="Arial" w:eastAsia="Arial" w:hAnsi="Arial"/>
                <w:sz w:val="18"/>
                <w:szCs w:val="18"/>
                <w:color w:val="auto"/>
                <w:w w:val="97"/>
              </w:rPr>
              <w:t>Accounts receivable, net of allowance for doubtful accounts of $33 and $5 at June 30, 2013 and 2012,</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respectively</w:t>
            </w:r>
          </w:p>
        </w:tc>
        <w:tc>
          <w:tcPr>
            <w:tcW w:w="52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30,498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38,532</w:t>
            </w:r>
          </w:p>
        </w:tc>
      </w:tr>
      <w:tr>
        <w:trPr>
          <w:trHeight w:val="27"/>
        </w:trPr>
        <w:tc>
          <w:tcPr>
            <w:tcW w:w="1280" w:type="dxa"/>
            <w:vAlign w:val="bottom"/>
            <w:gridSpan w:val="2"/>
          </w:tcPr>
          <w:p>
            <w:pPr>
              <w:spacing w:after="0"/>
              <w:rPr>
                <w:sz w:val="2"/>
                <w:szCs w:val="2"/>
                <w:color w:val="auto"/>
              </w:rPr>
            </w:pPr>
          </w:p>
        </w:tc>
        <w:tc>
          <w:tcPr>
            <w:tcW w:w="7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Unbilled receivables and cost in excess of billings</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10,918</w:t>
            </w:r>
          </w:p>
        </w:tc>
      </w:tr>
      <w:tr>
        <w:trPr>
          <w:trHeight w:val="243"/>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Inventory</w:t>
            </w:r>
          </w:p>
        </w:tc>
        <w:tc>
          <w:tcPr>
            <w:tcW w:w="5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37,432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25,845</w:t>
            </w:r>
          </w:p>
        </w:tc>
      </w:tr>
      <w:tr>
        <w:trPr>
          <w:trHeight w:val="27"/>
        </w:trPr>
        <w:tc>
          <w:tcPr>
            <w:tcW w:w="1280" w:type="dxa"/>
            <w:vAlign w:val="bottom"/>
            <w:gridSpan w:val="2"/>
          </w:tcPr>
          <w:p>
            <w:pPr>
              <w:spacing w:after="0"/>
              <w:rPr>
                <w:sz w:val="2"/>
                <w:szCs w:val="2"/>
                <w:color w:val="auto"/>
              </w:rPr>
            </w:pPr>
          </w:p>
        </w:tc>
        <w:tc>
          <w:tcPr>
            <w:tcW w:w="7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7,653</w:t>
            </w:r>
          </w:p>
        </w:tc>
      </w:tr>
      <w:tr>
        <w:trPr>
          <w:trHeight w:val="243"/>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Prepaid income taxes</w:t>
            </w:r>
          </w:p>
        </w:tc>
        <w:tc>
          <w:tcPr>
            <w:tcW w:w="5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2,585</w:t>
            </w:r>
          </w:p>
        </w:tc>
      </w:tr>
      <w:tr>
        <w:trPr>
          <w:trHeight w:val="27"/>
        </w:trPr>
        <w:tc>
          <w:tcPr>
            <w:tcW w:w="1280" w:type="dxa"/>
            <w:vAlign w:val="bottom"/>
            <w:gridSpan w:val="2"/>
          </w:tcPr>
          <w:p>
            <w:pPr>
              <w:spacing w:after="0"/>
              <w:rPr>
                <w:sz w:val="2"/>
                <w:szCs w:val="2"/>
                <w:color w:val="auto"/>
              </w:rPr>
            </w:pPr>
          </w:p>
        </w:tc>
        <w:tc>
          <w:tcPr>
            <w:tcW w:w="7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6,206</w:t>
            </w:r>
          </w:p>
        </w:tc>
      </w:tr>
      <w:tr>
        <w:trPr>
          <w:trHeight w:val="237"/>
        </w:trPr>
        <w:tc>
          <w:tcPr>
            <w:tcW w:w="680" w:type="dxa"/>
            <w:vAlign w:val="bottom"/>
          </w:tcPr>
          <w:p>
            <w:pPr>
              <w:spacing w:after="0"/>
              <w:rPr>
                <w:sz w:val="20"/>
                <w:szCs w:val="20"/>
                <w:color w:val="auto"/>
              </w:rPr>
            </w:pPr>
          </w:p>
        </w:tc>
        <w:tc>
          <w:tcPr>
            <w:tcW w:w="766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5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146,301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207,703</w:t>
            </w:r>
          </w:p>
        </w:tc>
      </w:tr>
      <w:tr>
        <w:trPr>
          <w:trHeight w:val="27"/>
        </w:trPr>
        <w:tc>
          <w:tcPr>
            <w:tcW w:w="1280" w:type="dxa"/>
            <w:vAlign w:val="bottom"/>
            <w:gridSpan w:val="2"/>
          </w:tcPr>
          <w:p>
            <w:pPr>
              <w:spacing w:after="0"/>
              <w:rPr>
                <w:sz w:val="2"/>
                <w:szCs w:val="2"/>
                <w:color w:val="auto"/>
              </w:rPr>
            </w:pPr>
          </w:p>
        </w:tc>
        <w:tc>
          <w:tcPr>
            <w:tcW w:w="7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3,281</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Property and equipment, net</w:t>
            </w:r>
          </w:p>
        </w:tc>
        <w:tc>
          <w:tcPr>
            <w:tcW w:w="5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15,019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15,929</w:t>
            </w:r>
          </w:p>
        </w:tc>
      </w:tr>
      <w:tr>
        <w:trPr>
          <w:trHeight w:val="27"/>
        </w:trPr>
        <w:tc>
          <w:tcPr>
            <w:tcW w:w="1280" w:type="dxa"/>
            <w:vAlign w:val="bottom"/>
            <w:gridSpan w:val="2"/>
          </w:tcPr>
          <w:p>
            <w:pPr>
              <w:spacing w:after="0"/>
              <w:rPr>
                <w:sz w:val="2"/>
                <w:szCs w:val="2"/>
                <w:color w:val="auto"/>
              </w:rPr>
            </w:pPr>
          </w:p>
        </w:tc>
        <w:tc>
          <w:tcPr>
            <w:tcW w:w="7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176,521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132,621</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Acquired intangible assets, net</w:t>
            </w:r>
          </w:p>
        </w:tc>
        <w:tc>
          <w:tcPr>
            <w:tcW w:w="5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34,866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25,083</w:t>
            </w:r>
          </w:p>
        </w:tc>
      </w:tr>
      <w:tr>
        <w:trPr>
          <w:trHeight w:val="27"/>
        </w:trPr>
        <w:tc>
          <w:tcPr>
            <w:tcW w:w="1280" w:type="dxa"/>
            <w:vAlign w:val="bottom"/>
            <w:gridSpan w:val="2"/>
          </w:tcPr>
          <w:p>
            <w:pPr>
              <w:spacing w:after="0"/>
              <w:rPr>
                <w:sz w:val="2"/>
                <w:szCs w:val="2"/>
                <w:color w:val="auto"/>
              </w:rPr>
            </w:pPr>
          </w:p>
        </w:tc>
        <w:tc>
          <w:tcPr>
            <w:tcW w:w="7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989</w:t>
            </w:r>
          </w:p>
        </w:tc>
      </w:tr>
      <w:tr>
        <w:trPr>
          <w:trHeight w:val="237"/>
        </w:trPr>
        <w:tc>
          <w:tcPr>
            <w:tcW w:w="680" w:type="dxa"/>
            <w:vAlign w:val="bottom"/>
          </w:tcPr>
          <w:p>
            <w:pPr>
              <w:spacing w:after="0"/>
              <w:rPr>
                <w:sz w:val="20"/>
                <w:szCs w:val="20"/>
                <w:color w:val="auto"/>
              </w:rPr>
            </w:pPr>
          </w:p>
        </w:tc>
        <w:tc>
          <w:tcPr>
            <w:tcW w:w="766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374,431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385,606</w:t>
            </w:r>
          </w:p>
        </w:tc>
      </w:tr>
      <w:tr>
        <w:trPr>
          <w:trHeight w:val="67"/>
        </w:trPr>
        <w:tc>
          <w:tcPr>
            <w:tcW w:w="1280" w:type="dxa"/>
            <w:vAlign w:val="bottom"/>
            <w:tcBorders>
              <w:bottom w:val="single" w:sz="8" w:color="CCEEFF"/>
            </w:tcBorders>
            <w:gridSpan w:val="2"/>
          </w:tcPr>
          <w:p>
            <w:pPr>
              <w:spacing w:after="0"/>
              <w:rPr>
                <w:sz w:val="5"/>
                <w:szCs w:val="5"/>
                <w:color w:val="auto"/>
              </w:rPr>
            </w:pPr>
          </w:p>
        </w:tc>
        <w:tc>
          <w:tcPr>
            <w:tcW w:w="706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5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7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9,002</w:t>
            </w:r>
          </w:p>
        </w:tc>
      </w:tr>
      <w:tr>
        <w:trPr>
          <w:trHeight w:val="243"/>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Accrued expenses</w:t>
            </w:r>
          </w:p>
        </w:tc>
        <w:tc>
          <w:tcPr>
            <w:tcW w:w="5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7,999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9,895</w:t>
            </w:r>
          </w:p>
        </w:tc>
      </w:tr>
      <w:tr>
        <w:trPr>
          <w:trHeight w:val="27"/>
        </w:trPr>
        <w:tc>
          <w:tcPr>
            <w:tcW w:w="1280" w:type="dxa"/>
            <w:vAlign w:val="bottom"/>
            <w:gridSpan w:val="2"/>
          </w:tcPr>
          <w:p>
            <w:pPr>
              <w:spacing w:after="0"/>
              <w:rPr>
                <w:sz w:val="2"/>
                <w:szCs w:val="2"/>
                <w:color w:val="auto"/>
              </w:rPr>
            </w:pPr>
          </w:p>
        </w:tc>
        <w:tc>
          <w:tcPr>
            <w:tcW w:w="7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13,190</w:t>
            </w:r>
          </w:p>
        </w:tc>
      </w:tr>
      <w:tr>
        <w:trPr>
          <w:trHeight w:val="243"/>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Deferred revenues and customer advances</w:t>
            </w:r>
          </w:p>
        </w:tc>
        <w:tc>
          <w:tcPr>
            <w:tcW w:w="5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5,788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4,855</w:t>
            </w:r>
          </w:p>
        </w:tc>
      </w:tr>
      <w:tr>
        <w:trPr>
          <w:trHeight w:val="27"/>
        </w:trPr>
        <w:tc>
          <w:tcPr>
            <w:tcW w:w="6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8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36,942</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Deferred gain on sale-leaseback</w:t>
            </w:r>
          </w:p>
        </w:tc>
        <w:tc>
          <w:tcPr>
            <w:tcW w:w="5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4,399</w:t>
            </w:r>
          </w:p>
        </w:tc>
      </w:tr>
      <w:tr>
        <w:trPr>
          <w:trHeight w:val="27"/>
        </w:trPr>
        <w:tc>
          <w:tcPr>
            <w:tcW w:w="1280" w:type="dxa"/>
            <w:vAlign w:val="bottom"/>
            <w:gridSpan w:val="2"/>
          </w:tcPr>
          <w:p>
            <w:pPr>
              <w:spacing w:after="0"/>
              <w:rPr>
                <w:sz w:val="2"/>
                <w:szCs w:val="2"/>
                <w:color w:val="auto"/>
              </w:rPr>
            </w:pPr>
          </w:p>
        </w:tc>
        <w:tc>
          <w:tcPr>
            <w:tcW w:w="7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7,197</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Income taxes payable</w:t>
            </w:r>
          </w:p>
        </w:tc>
        <w:tc>
          <w:tcPr>
            <w:tcW w:w="5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2,597</w:t>
            </w:r>
          </w:p>
        </w:tc>
      </w:tr>
      <w:tr>
        <w:trPr>
          <w:trHeight w:val="27"/>
        </w:trPr>
        <w:tc>
          <w:tcPr>
            <w:tcW w:w="1280" w:type="dxa"/>
            <w:vAlign w:val="bottom"/>
            <w:gridSpan w:val="2"/>
          </w:tcPr>
          <w:p>
            <w:pPr>
              <w:spacing w:after="0"/>
              <w:rPr>
                <w:sz w:val="2"/>
                <w:szCs w:val="2"/>
                <w:color w:val="auto"/>
              </w:rPr>
            </w:pPr>
          </w:p>
        </w:tc>
        <w:tc>
          <w:tcPr>
            <w:tcW w:w="7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1,367</w:t>
            </w:r>
          </w:p>
        </w:tc>
      </w:tr>
      <w:tr>
        <w:trPr>
          <w:trHeight w:val="237"/>
        </w:trPr>
        <w:tc>
          <w:tcPr>
            <w:tcW w:w="680" w:type="dxa"/>
            <w:vAlign w:val="bottom"/>
          </w:tcPr>
          <w:p>
            <w:pPr>
              <w:spacing w:after="0"/>
              <w:rPr>
                <w:sz w:val="20"/>
                <w:szCs w:val="20"/>
                <w:color w:val="auto"/>
              </w:rPr>
            </w:pPr>
          </w:p>
        </w:tc>
        <w:tc>
          <w:tcPr>
            <w:tcW w:w="7660" w:type="dxa"/>
            <w:vAlign w:val="bottom"/>
            <w:gridSpan w:val="2"/>
          </w:tcPr>
          <w:p>
            <w:pPr>
              <w:ind w:left="40"/>
              <w:spacing w:after="0"/>
              <w:rPr>
                <w:sz w:val="20"/>
                <w:szCs w:val="20"/>
                <w:color w:val="auto"/>
              </w:rPr>
            </w:pPr>
            <w:r>
              <w:rPr>
                <w:rFonts w:ascii="Arial" w:cs="Arial" w:eastAsia="Arial" w:hAnsi="Arial"/>
                <w:sz w:val="18"/>
                <w:szCs w:val="18"/>
                <w:color w:val="auto"/>
              </w:rPr>
              <w:t>Total liabilities</w:t>
            </w:r>
          </w:p>
        </w:tc>
        <w:tc>
          <w:tcPr>
            <w:tcW w:w="5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45,930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52,502</w:t>
            </w:r>
          </w:p>
        </w:tc>
      </w:tr>
      <w:tr>
        <w:trPr>
          <w:trHeight w:val="27"/>
        </w:trPr>
        <w:tc>
          <w:tcPr>
            <w:tcW w:w="1280" w:type="dxa"/>
            <w:vAlign w:val="bottom"/>
            <w:gridSpan w:val="2"/>
          </w:tcPr>
          <w:p>
            <w:pPr>
              <w:spacing w:after="0"/>
              <w:rPr>
                <w:sz w:val="2"/>
                <w:szCs w:val="2"/>
                <w:color w:val="auto"/>
              </w:rPr>
            </w:pPr>
          </w:p>
        </w:tc>
        <w:tc>
          <w:tcPr>
            <w:tcW w:w="7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I)</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Shareholders’ equity:</w:t>
            </w: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7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Preferred stock, $0.01 par value; 1,000,000 shares authorized; no shares issued or outstanding</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gridSpan w:val="3"/>
          </w:tcPr>
          <w:p>
            <w:pPr>
              <w:ind w:left="380"/>
              <w:spacing w:after="0"/>
              <w:rPr>
                <w:sz w:val="20"/>
                <w:szCs w:val="20"/>
                <w:color w:val="auto"/>
              </w:rPr>
            </w:pPr>
            <w:r>
              <w:rPr>
                <w:rFonts w:ascii="Arial" w:cs="Arial" w:eastAsia="Arial" w:hAnsi="Arial"/>
                <w:sz w:val="18"/>
                <w:szCs w:val="18"/>
                <w:color w:val="auto"/>
                <w:w w:val="89"/>
              </w:rPr>
              <w:t>Common stock, $0.01 par value; 85,000,000 shares authorized; 30,381,254 and 29,729,065 shares issued and</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outstanding at June 30, 2013 and 2012 respectively</w:t>
            </w:r>
          </w:p>
        </w:tc>
        <w:tc>
          <w:tcPr>
            <w:tcW w:w="52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297</w:t>
            </w:r>
          </w:p>
        </w:tc>
      </w:tr>
      <w:tr>
        <w:trPr>
          <w:trHeight w:val="27"/>
        </w:trPr>
        <w:tc>
          <w:tcPr>
            <w:tcW w:w="1280" w:type="dxa"/>
            <w:vAlign w:val="bottom"/>
            <w:gridSpan w:val="2"/>
          </w:tcPr>
          <w:p>
            <w:pPr>
              <w:spacing w:after="0"/>
              <w:rPr>
                <w:sz w:val="2"/>
                <w:szCs w:val="2"/>
                <w:color w:val="auto"/>
              </w:rPr>
            </w:pPr>
          </w:p>
        </w:tc>
        <w:tc>
          <w:tcPr>
            <w:tcW w:w="7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231,711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222,769</w:t>
            </w:r>
          </w:p>
        </w:tc>
      </w:tr>
      <w:tr>
        <w:trPr>
          <w:trHeight w:val="243"/>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Retained earnings</w:t>
            </w:r>
          </w:p>
        </w:tc>
        <w:tc>
          <w:tcPr>
            <w:tcW w:w="5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95,524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108,732</w:t>
            </w:r>
          </w:p>
        </w:tc>
      </w:tr>
      <w:tr>
        <w:trPr>
          <w:trHeight w:val="27"/>
        </w:trPr>
        <w:tc>
          <w:tcPr>
            <w:tcW w:w="1280" w:type="dxa"/>
            <w:vAlign w:val="bottom"/>
            <w:gridSpan w:val="2"/>
          </w:tcPr>
          <w:p>
            <w:pPr>
              <w:spacing w:after="0"/>
              <w:rPr>
                <w:sz w:val="2"/>
                <w:szCs w:val="2"/>
                <w:color w:val="auto"/>
              </w:rPr>
            </w:pPr>
          </w:p>
        </w:tc>
        <w:tc>
          <w:tcPr>
            <w:tcW w:w="7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1,306</w:t>
            </w:r>
          </w:p>
        </w:tc>
      </w:tr>
      <w:tr>
        <w:trPr>
          <w:trHeight w:val="237"/>
        </w:trPr>
        <w:tc>
          <w:tcPr>
            <w:tcW w:w="680" w:type="dxa"/>
            <w:vAlign w:val="bottom"/>
          </w:tcPr>
          <w:p>
            <w:pPr>
              <w:spacing w:after="0"/>
              <w:rPr>
                <w:sz w:val="20"/>
                <w:szCs w:val="20"/>
                <w:color w:val="auto"/>
              </w:rPr>
            </w:pPr>
          </w:p>
        </w:tc>
        <w:tc>
          <w:tcPr>
            <w:tcW w:w="7660" w:type="dxa"/>
            <w:vAlign w:val="bottom"/>
            <w:gridSpan w:val="2"/>
          </w:tcPr>
          <w:p>
            <w:pPr>
              <w:ind w:left="40"/>
              <w:spacing w:after="0"/>
              <w:rPr>
                <w:sz w:val="20"/>
                <w:szCs w:val="20"/>
                <w:color w:val="auto"/>
              </w:rPr>
            </w:pPr>
            <w:r>
              <w:rPr>
                <w:rFonts w:ascii="Arial" w:cs="Arial" w:eastAsia="Arial" w:hAnsi="Arial"/>
                <w:sz w:val="18"/>
                <w:szCs w:val="18"/>
                <w:color w:val="auto"/>
              </w:rPr>
              <w:t>Total shareholders’ equity</w:t>
            </w:r>
          </w:p>
        </w:tc>
        <w:tc>
          <w:tcPr>
            <w:tcW w:w="5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328,501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333,104</w:t>
            </w:r>
          </w:p>
        </w:tc>
      </w:tr>
      <w:tr>
        <w:trPr>
          <w:trHeight w:val="27"/>
        </w:trPr>
        <w:tc>
          <w:tcPr>
            <w:tcW w:w="6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680" w:type="dxa"/>
            <w:vAlign w:val="bottom"/>
            <w:tcBorders>
              <w:bottom w:val="single" w:sz="8" w:color="CCEEFF"/>
            </w:tcBorders>
            <w:shd w:val="clear" w:color="auto" w:fill="CCEEFF"/>
          </w:tcPr>
          <w:p>
            <w:pPr>
              <w:spacing w:after="0"/>
              <w:rPr>
                <w:sz w:val="22"/>
                <w:szCs w:val="22"/>
                <w:color w:val="auto"/>
              </w:rPr>
            </w:pPr>
          </w:p>
        </w:tc>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374,431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385,606</w:t>
            </w:r>
          </w:p>
        </w:tc>
      </w:tr>
      <w:tr>
        <w:trPr>
          <w:trHeight w:val="20"/>
        </w:trPr>
        <w:tc>
          <w:tcPr>
            <w:tcW w:w="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580" w:type="dxa"/>
            <w:vAlign w:val="bottom"/>
            <w:gridSpan w:val="2"/>
          </w:tcPr>
          <w:p>
            <w:pPr>
              <w:jc w:val="center"/>
              <w:ind w:left="1190"/>
              <w:spacing w:after="0"/>
              <w:rPr>
                <w:sz w:val="20"/>
                <w:szCs w:val="20"/>
                <w:color w:val="auto"/>
              </w:rPr>
            </w:pPr>
            <w:r>
              <w:rPr>
                <w:rFonts w:ascii="Arial" w:cs="Arial" w:eastAsia="Arial" w:hAnsi="Arial"/>
                <w:sz w:val="18"/>
                <w:szCs w:val="18"/>
                <w:color w:val="auto"/>
                <w:w w:val="89"/>
              </w:rPr>
              <w:t>The accompanying notes are an integral part of the consolidated financial statements.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445"/>
        </w:trPr>
        <w:tc>
          <w:tcPr>
            <w:tcW w:w="680" w:type="dxa"/>
            <w:vAlign w:val="bottom"/>
          </w:tcPr>
          <w:p>
            <w:pPr>
              <w:spacing w:after="0"/>
              <w:rPr>
                <w:sz w:val="24"/>
                <w:szCs w:val="24"/>
                <w:color w:val="auto"/>
              </w:rPr>
            </w:pPr>
          </w:p>
        </w:tc>
        <w:tc>
          <w:tcPr>
            <w:tcW w:w="7660" w:type="dxa"/>
            <w:vAlign w:val="bottom"/>
            <w:gridSpan w:val="2"/>
          </w:tcPr>
          <w:p>
            <w:pPr>
              <w:jc w:val="center"/>
              <w:ind w:left="2310"/>
              <w:spacing w:after="0"/>
              <w:rPr>
                <w:sz w:val="20"/>
                <w:szCs w:val="20"/>
                <w:color w:val="auto"/>
              </w:rPr>
            </w:pPr>
            <w:r>
              <w:rPr>
                <w:rFonts w:ascii="Arial" w:cs="Arial" w:eastAsia="Arial" w:hAnsi="Arial"/>
                <w:sz w:val="18"/>
                <w:szCs w:val="18"/>
                <w:color w:val="auto"/>
                <w:w w:val="89"/>
              </w:rPr>
              <w:t>45</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90"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For the Years Ended June 30,</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208,791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244,929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228,710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126,123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108,773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98,811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Gross margin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82,668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136,156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129,899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57,579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57,868</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32,687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45,984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44,500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acquired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Restructuring and other charges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7,056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long-lived assets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Acquisition costs and other related expenses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the fair value of the liability related to the LNX earn-out</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106,357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106,044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104,914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24,985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26,502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Tax (benefit) provision</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9,152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8,060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18,442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net (loss) earnings per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net (loss) earnings per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shares outstanding:</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25,322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30,128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30,085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26,209</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Comprehensive (loss) income:</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(13,208)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22,619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18,442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unrealized (loss) gain on investments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(loss)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18,755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Years Ended June 30,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620" w:type="dxa"/>
            <w:vAlign w:val="bottom"/>
            <w:gridSpan w:val="4"/>
            <w:vMerge w:val="restart"/>
          </w:tcPr>
          <w:p>
            <w:pPr>
              <w:jc w:val="right"/>
              <w:ind w:right="731"/>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Additional</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3"/>
        </w:trPr>
        <w:tc>
          <w:tcPr>
            <w:tcW w:w="3340" w:type="dxa"/>
            <w:vAlign w:val="bottom"/>
          </w:tcPr>
          <w:p>
            <w:pPr>
              <w:spacing w:after="0"/>
              <w:rPr>
                <w:sz w:val="13"/>
                <w:szCs w:val="13"/>
                <w:color w:val="auto"/>
              </w:rPr>
            </w:pPr>
          </w:p>
        </w:tc>
        <w:tc>
          <w:tcPr>
            <w:tcW w:w="262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3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0"/>
                <w:szCs w:val="10"/>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0"/>
                <w:szCs w:val="10"/>
                <w:color w:val="auto"/>
              </w:rPr>
            </w:pPr>
          </w:p>
        </w:tc>
        <w:tc>
          <w:tcPr>
            <w:tcW w:w="11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Paid-in</w:t>
            </w:r>
          </w:p>
        </w:tc>
        <w:tc>
          <w:tcPr>
            <w:tcW w:w="220" w:type="dxa"/>
            <w:vAlign w:val="bottom"/>
          </w:tcPr>
          <w:p>
            <w:pPr>
              <w:spacing w:after="0"/>
              <w:rPr>
                <w:sz w:val="10"/>
                <w:szCs w:val="10"/>
                <w:color w:val="auto"/>
              </w:rPr>
            </w:pPr>
          </w:p>
        </w:tc>
        <w:tc>
          <w:tcPr>
            <w:tcW w:w="114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2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60" w:type="dxa"/>
            <w:vAlign w:val="bottom"/>
          </w:tcPr>
          <w:p>
            <w:pPr>
              <w:spacing w:after="0"/>
              <w:rPr>
                <w:sz w:val="10"/>
                <w:szCs w:val="10"/>
                <w:color w:val="auto"/>
              </w:rPr>
            </w:pPr>
          </w:p>
        </w:tc>
        <w:tc>
          <w:tcPr>
            <w:tcW w:w="1100" w:type="dxa"/>
            <w:vAlign w:val="bottom"/>
          </w:tcPr>
          <w:p>
            <w:pPr>
              <w:jc w:val="center"/>
              <w:ind w:right="72"/>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6"/>
                <w:szCs w:val="16"/>
                <w:color w:val="auto"/>
              </w:rPr>
            </w:pPr>
          </w:p>
        </w:tc>
        <w:tc>
          <w:tcPr>
            <w:tcW w:w="1100" w:type="dxa"/>
            <w:vAlign w:val="bottom"/>
          </w:tcPr>
          <w:p>
            <w:pPr>
              <w:jc w:val="center"/>
              <w:ind w:right="7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2010</w:t>
            </w:r>
          </w:p>
        </w:tc>
        <w:tc>
          <w:tcPr>
            <w:tcW w:w="12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22,883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110,270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67,671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179,112</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4"/>
              </w:rPr>
              <w:t>Issuance of common stock under employee</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stock incentive plans</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2,590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Issuance of common stock under employee</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purchase plan</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Follow-on public stock offering</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5,578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93,550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93,605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5,580</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Tax benefit from employee stock plan</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awards</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18,442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18,442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unrealized loss on securities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Balance at June 30, 2011</w:t>
            </w: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29,144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213,777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86,113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301,436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Issuance of common stock under employee</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incentive plans</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4"/>
              </w:rPr>
              <w:t>Issuance of common stock under employee</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stock purchase plan</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6,616</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Tax benefit from employee stock plan</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awards</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22,619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22,619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unrealized gain on investments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Balance at June 30, 2012</w:t>
            </w: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29,729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222,769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108,732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333,104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Issuance of common stock under employee</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incentive plans</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4"/>
              </w:rPr>
              <w:t>Issuance of common stock under employee</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stock purchase plan</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7,940</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Tax shortfall from employee stock plan</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awards</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(13,208)</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Share-based business combination</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consideration</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loss on investments</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2013</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30,381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231,711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95,524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328,501</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5" w:right="2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pacing w:after="0" w:line="338"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For the Years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p>
      <w:pPr>
        <w:jc w:val="both"/>
        <w:ind w:left="7940"/>
        <w:spacing w:after="0"/>
        <w:tabs>
          <w:tab w:leader="none" w:pos="9280" w:val="left"/>
          <w:tab w:leader="none" w:pos="1064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2"/>
          <w:szCs w:val="12"/>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5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flows from operating activities: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Adjustments to reconcile net (loss) income to net cash (used in) provided by operating activities: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4"/>
          <w:szCs w:val="14"/>
          <w:color w:val="auto"/>
        </w:rPr>
        <w:t>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(Benefit) provision for 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Impairment of long-lived assets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Excess tax benefit from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Change in the fair value of the liability related to the LNX earn-out</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Loss on sale of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Other non-cash items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Changes in operating assets and liabilities, net of effects of businesses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Accounts receivable, unbilled receivable, and cost in excess of billings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Prepaid income taxes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Other non-current assets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Deferred revenues and customer advances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Other non-current liabilities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cash (used in)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flows from investing activities:</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Acquisition of businesses,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Sales and maturities of marketable securities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sale of building</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Payments for acquired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Increase in other investing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flows from financing activities:</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follow-on public stock offering,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employee stock plans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Excess tax benefit from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Payments of acquired debt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Payments of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Payments of deferred offering costs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Decrease in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Payments of capital lease obligations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cash (used in)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Effect of exchange rate changes on cash and cash equivalents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at beginning of year</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paid (received) during the period for:</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Supplemental disclosures—non-cash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Issuance of restricted stock awards to employees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Share-based business combination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Acquisition of intangible assets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Capital lease</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(13,208)</w:t>
            </w:r>
          </w:p>
        </w:tc>
        <w:tc>
          <w:tcPr>
            <w:tcW w:w="10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22,619</w:t>
            </w:r>
          </w:p>
        </w:tc>
        <w:tc>
          <w:tcPr>
            <w:tcW w:w="12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18,442</w:t>
            </w:r>
          </w:p>
        </w:tc>
      </w:tr>
      <w:tr>
        <w:trPr>
          <w:trHeight w:val="540"/>
        </w:trPr>
        <w:tc>
          <w:tcPr>
            <w:tcW w:w="40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17,209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11,658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8,348</w:t>
            </w:r>
          </w:p>
        </w:tc>
      </w:tr>
      <w:tr>
        <w:trPr>
          <w:trHeight w:val="270"/>
        </w:trPr>
        <w:tc>
          <w:tcPr>
            <w:tcW w:w="40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7,940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6,616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5,580</w:t>
            </w:r>
          </w:p>
        </w:tc>
      </w:tr>
      <w:tr>
        <w:trPr>
          <w:trHeight w:val="270"/>
        </w:trPr>
        <w:tc>
          <w:tcPr>
            <w:tcW w:w="40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(10,083)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(3,056)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1,888</w:t>
            </w:r>
          </w:p>
        </w:tc>
      </w:tr>
      <w:tr>
        <w:trPr>
          <w:trHeight w:val="270"/>
        </w:trPr>
        <w:tc>
          <w:tcPr>
            <w:tcW w:w="4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150</w:t>
            </w:r>
          </w:p>
        </w:tc>
      </w:tr>
      <w:tr>
        <w:trPr>
          <w:trHeight w:val="270"/>
        </w:trPr>
        <w:tc>
          <w:tcPr>
            <w:tcW w:w="40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(559)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(893)</w:t>
            </w:r>
          </w:p>
        </w:tc>
      </w:tr>
      <w:tr>
        <w:trPr>
          <w:trHeight w:val="270"/>
        </w:trPr>
        <w:tc>
          <w:tcPr>
            <w:tcW w:w="4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(4,938)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0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1,091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0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(757)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(555)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(898)</w:t>
            </w:r>
          </w:p>
        </w:tc>
      </w:tr>
      <w:tr>
        <w:trPr>
          <w:trHeight w:val="540"/>
        </w:trPr>
        <w:tc>
          <w:tcPr>
            <w:tcW w:w="40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4,760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6,755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257</w:t>
            </w:r>
          </w:p>
        </w:tc>
      </w:tr>
      <w:tr>
        <w:trPr>
          <w:trHeight w:val="270"/>
        </w:trPr>
        <w:tc>
          <w:tcPr>
            <w:tcW w:w="40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(7,267)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2,514</w:t>
            </w:r>
          </w:p>
        </w:tc>
      </w:tr>
      <w:tr>
        <w:trPr>
          <w:trHeight w:val="270"/>
        </w:trPr>
        <w:tc>
          <w:tcPr>
            <w:tcW w:w="40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3,197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3,514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1,567</w:t>
            </w:r>
          </w:p>
        </w:tc>
      </w:tr>
      <w:tr>
        <w:trPr>
          <w:trHeight w:val="270"/>
        </w:trPr>
        <w:tc>
          <w:tcPr>
            <w:tcW w:w="40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(807)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(2,120)</w:t>
            </w:r>
          </w:p>
        </w:tc>
      </w:tr>
      <w:tr>
        <w:trPr>
          <w:trHeight w:val="270"/>
        </w:trPr>
        <w:tc>
          <w:tcPr>
            <w:tcW w:w="40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1,055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646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(677)</w:t>
            </w:r>
          </w:p>
        </w:tc>
      </w:tr>
      <w:tr>
        <w:trPr>
          <w:trHeight w:val="270"/>
        </w:trPr>
        <w:tc>
          <w:tcPr>
            <w:tcW w:w="40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(13,094)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(1,092)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931</w:t>
            </w:r>
          </w:p>
        </w:tc>
      </w:tr>
      <w:tr>
        <w:trPr>
          <w:trHeight w:val="270"/>
        </w:trPr>
        <w:tc>
          <w:tcPr>
            <w:tcW w:w="40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516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(1,850)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(3,696)</w:t>
            </w:r>
          </w:p>
        </w:tc>
      </w:tr>
      <w:tr>
        <w:trPr>
          <w:trHeight w:val="270"/>
        </w:trPr>
        <w:tc>
          <w:tcPr>
            <w:tcW w:w="40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820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w:t>
            </w:r>
          </w:p>
        </w:tc>
      </w:tr>
      <w:tr>
        <w:trPr>
          <w:trHeight w:val="276"/>
        </w:trPr>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298</w:t>
            </w: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(626)</w:t>
            </w: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w:t>
            </w:r>
          </w:p>
        </w:tc>
      </w:tr>
      <w:tr>
        <w:trPr>
          <w:trHeight w:val="264"/>
        </w:trPr>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(1,871)</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31,869</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31,474</w:t>
            </w:r>
          </w:p>
        </w:tc>
      </w:tr>
      <w:tr>
        <w:trPr>
          <w:trHeight w:val="528"/>
        </w:trPr>
        <w:tc>
          <w:tcPr>
            <w:tcW w:w="40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(67,721)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(71,044)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(29,508)</w:t>
            </w:r>
          </w:p>
        </w:tc>
      </w:tr>
      <w:tr>
        <w:trPr>
          <w:trHeight w:val="270"/>
        </w:trPr>
        <w:tc>
          <w:tcPr>
            <w:tcW w:w="4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18,025</w:t>
            </w:r>
          </w:p>
        </w:tc>
      </w:tr>
      <w:tr>
        <w:trPr>
          <w:trHeight w:val="270"/>
        </w:trPr>
        <w:tc>
          <w:tcPr>
            <w:tcW w:w="40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(3,880)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(9,427)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(8,825)</w:t>
            </w:r>
          </w:p>
        </w:tc>
      </w:tr>
      <w:tr>
        <w:trPr>
          <w:trHeight w:val="270"/>
        </w:trPr>
        <w:tc>
          <w:tcPr>
            <w:tcW w:w="40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775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(2,375)</w:t>
            </w:r>
          </w:p>
        </w:tc>
      </w:tr>
      <w:tr>
        <w:trPr>
          <w:trHeight w:val="276"/>
        </w:trPr>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(71,091)</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(80,802)</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(22,683)</w:t>
            </w:r>
          </w:p>
        </w:tc>
      </w:tr>
      <w:tr>
        <w:trPr>
          <w:trHeight w:val="528"/>
        </w:trPr>
        <w:tc>
          <w:tcPr>
            <w:tcW w:w="4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93,605</w:t>
            </w:r>
          </w:p>
        </w:tc>
      </w:tr>
      <w:tr>
        <w:trPr>
          <w:trHeight w:val="270"/>
        </w:trPr>
        <w:tc>
          <w:tcPr>
            <w:tcW w:w="40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1,251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1,631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3,690</w:t>
            </w:r>
          </w:p>
        </w:tc>
      </w:tr>
      <w:tr>
        <w:trPr>
          <w:trHeight w:val="270"/>
        </w:trPr>
        <w:tc>
          <w:tcPr>
            <w:tcW w:w="40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559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893</w:t>
            </w:r>
          </w:p>
        </w:tc>
      </w:tr>
      <w:tr>
        <w:trPr>
          <w:trHeight w:val="270"/>
        </w:trPr>
        <w:tc>
          <w:tcPr>
            <w:tcW w:w="40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(6,575)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0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(771)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70"/>
        </w:trPr>
        <w:tc>
          <w:tcPr>
            <w:tcW w:w="4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270"/>
        </w:trPr>
        <w:tc>
          <w:tcPr>
            <w:tcW w:w="40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(593)</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w:t>
            </w:r>
          </w:p>
        </w:tc>
      </w:tr>
      <w:tr>
        <w:trPr>
          <w:trHeight w:val="250"/>
        </w:trPr>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(3,669)</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1,975</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97,800</w:t>
            </w:r>
          </w:p>
        </w:tc>
      </w:tr>
      <w:tr>
        <w:trPr>
          <w:trHeight w:val="250"/>
        </w:trPr>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w:t>
            </w:r>
          </w:p>
        </w:tc>
      </w:tr>
      <w:tr>
        <w:trPr>
          <w:trHeight w:val="244"/>
        </w:trPr>
        <w:tc>
          <w:tcPr>
            <w:tcW w:w="400" w:type="dxa"/>
            <w:vAlign w:val="bottom"/>
          </w:tcPr>
          <w:p>
            <w:pPr>
              <w:spacing w:after="0"/>
              <w:rPr>
                <w:sz w:val="21"/>
                <w:szCs w:val="21"/>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(76,838)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(46,911)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106,634</w:t>
            </w:r>
          </w:p>
        </w:tc>
      </w:tr>
      <w:tr>
        <w:trPr>
          <w:trHeight w:val="276"/>
        </w:trPr>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115,964</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162,875</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56,241</w:t>
            </w:r>
          </w:p>
        </w:tc>
      </w:tr>
      <w:tr>
        <w:trPr>
          <w:trHeight w:val="237"/>
        </w:trPr>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39,126</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115,964</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162,875</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15"/>
        </w:trPr>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45</w:t>
            </w:r>
          </w:p>
        </w:tc>
      </w:tr>
      <w:tr>
        <w:trPr>
          <w:trHeight w:val="270"/>
        </w:trPr>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(3,313)</w:t>
            </w:r>
          </w:p>
        </w:tc>
        <w:tc>
          <w:tcPr>
            <w:tcW w:w="10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8,686</w:t>
            </w:r>
          </w:p>
        </w:tc>
        <w:tc>
          <w:tcPr>
            <w:tcW w:w="12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4,397</w:t>
            </w:r>
          </w:p>
        </w:tc>
      </w:tr>
      <w:tr>
        <w:trPr>
          <w:trHeight w:val="540"/>
        </w:trPr>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12,560</w:t>
            </w:r>
          </w:p>
        </w:tc>
        <w:tc>
          <w:tcPr>
            <w:tcW w:w="10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8,367</w:t>
            </w:r>
          </w:p>
        </w:tc>
        <w:tc>
          <w:tcPr>
            <w:tcW w:w="12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9,204</w:t>
            </w:r>
          </w:p>
        </w:tc>
      </w:tr>
      <w:tr>
        <w:trPr>
          <w:trHeight w:val="270"/>
        </w:trPr>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495</w:t>
            </w:r>
          </w:p>
        </w:tc>
      </w:tr>
      <w:tr>
        <w:trPr>
          <w:trHeight w:val="270"/>
        </w:trPr>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251</w:t>
            </w:r>
          </w:p>
        </w:tc>
      </w:tr>
    </w:tbl>
    <w:p>
      <w:pPr>
        <w:spacing w:after="0" w:line="1" w:lineRule="exact"/>
        <w:rPr>
          <w:sz w:val="20"/>
          <w:szCs w:val="20"/>
          <w:color w:val="auto"/>
        </w:rPr>
      </w:pPr>
    </w:p>
    <w:p>
      <w:pPr>
        <w:sectPr>
          <w:pgSz w:w="11900" w:h="16838" w:orient="portrait"/>
          <w:cols w:equalWidth="0" w:num="2">
            <w:col w:w="6720" w:space="720"/>
            <w:col w:w="3980"/>
          </w:cols>
          <w:pgMar w:left="240" w:top="125" w:right="239" w:bottom="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ectPr>
          <w:pgSz w:w="11900" w:h="16838" w:orient="portrait"/>
          <w:cols w:equalWidth="0" w:num="1">
            <w:col w:w="11420"/>
          </w:cols>
          <w:pgMar w:left="240" w:top="125" w:right="239" w:bottom="0" w:gutter="0" w:footer="0" w:header="0"/>
          <w:type w:val="continuous"/>
        </w:sectPr>
      </w:pPr>
    </w:p>
    <w:bookmarkStart w:id="48" w:name="page49"/>
    <w:bookmarkEnd w:id="48"/>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9019"/>
          </w:cols>
          <w:pgMar w:left="1440" w:top="368" w:right="1440"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9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18" w:lineRule="exact"/>
        <w:rPr>
          <w:sz w:val="20"/>
          <w:szCs w:val="20"/>
          <w:color w:val="auto"/>
        </w:rPr>
      </w:pPr>
    </w:p>
    <w:p>
      <w:pPr>
        <w:ind w:left="840" w:hanging="832"/>
        <w:spacing w:after="0"/>
        <w:tabs>
          <w:tab w:leader="none" w:pos="8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0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Mercury Systems, Inc., formerly Mercury Computer Systems, Inc., (the “Company” or “Mercury”) provides commercially developed, open sensor and Big Data processing systems, software and services for critical commercial, defense and intelligence applications. The Company delivers innovative solutions, rapid time-to-value and world-class service and support to our defense prime contractor customers. The Company's products and solutions have been deployed in more than 300 programs with over 25 different defense prime contractors. Key programs include Aegis, Patriot, Surface Electronic Warfare Improvement Program ("SEWIP"), Predator and Reaper. The Company also deliver services and solutions in support of the intelligence community.</w:t>
      </w:r>
    </w:p>
    <w:p>
      <w:pPr>
        <w:spacing w:after="0" w:line="10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Company's goal is to grow and build on its position as a critical component of the defense and intelligence industrial base and become the leading provider of open and affordable sensor processing subsystems. The Mercury Commercial Electronics (“MCE”) operating segment designs, develops and builds open sensor processing products and subsystems that include embedded processing modules and subsystems, radio frequency (“RF”) and microwave multi-function assemblies as well as subsystems, and RF and microwave components. The Mercury Defense Systems (“MDS”) operating segment leverages building blocks provided by MCE to build solutions for electronic warfare (“EW”) and electronic countermeasures ("ECM"), electro optical/infrared, signal intelligence (“SIGINT”) and radar environment test and simulation. The Mercury Intelligence Systems (“MIS”) operating segment delivers Big Data analytic processing, predictive analytics and multi-intelligence analysis in support of the intelligence community.</w:t>
      </w:r>
    </w:p>
    <w:p>
      <w:pPr>
        <w:spacing w:after="0" w:line="147" w:lineRule="exact"/>
        <w:rPr>
          <w:sz w:val="20"/>
          <w:szCs w:val="20"/>
          <w:color w:val="auto"/>
        </w:rPr>
      </w:pPr>
    </w:p>
    <w:p>
      <w:pPr>
        <w:ind w:left="860" w:hanging="852"/>
        <w:spacing w:after="0"/>
        <w:tabs>
          <w:tab w:leader="none" w:pos="8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RINCIPLES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ONSOLIDATION</w:t>
      </w:r>
    </w:p>
    <w:p>
      <w:pPr>
        <w:spacing w:after="0" w:line="10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w:t>
      </w:r>
    </w:p>
    <w:p>
      <w:pPr>
        <w:spacing w:after="0" w:line="3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Prior to the third quarter of fiscal 2013, the Company consisted of two reportable segments: Advanced Computing Solutions (“ACS”) and Mercury Federal Systems (“MFS”). Following a series of acquisitions that expanded the Company's capabilities, the Company initiated a reorganization to group its product and service offerings in order to align itself with the way management currently manages its business. Beginning January 1, 2013, the Company is comprised of the following three operating segments: MCE, MDS and MIS. The Company reports MCE as a standalone reportable segment and has aggregated MDS and MIS to form the reportable segment Mercury Defense and Intelligence Systems (“MDIS”). The Company has conformed prior period amounts to the new reportable segments. None of these changes impact the Company's previously reported consolidated financial results. See Note P of the Notes to Consolidated Financial Statements for further discussion.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ECLASSIFICATION</w:t>
      </w:r>
    </w:p>
    <w:p>
      <w:pPr>
        <w:spacing w:after="0" w:line="10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 loss of approximately $65 as of June 30, 2011, which was previously included within loss from discontinued operations has been reclassified to other income, net in the fiscal 2011 Consolidated Statements of Operations and Comprehensive Income to conform with the presentation in the June 30, 2013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OMBINATIONS</w:t>
      </w:r>
    </w:p>
    <w:p>
      <w:pPr>
        <w:spacing w:after="0" w:line="108" w:lineRule="exact"/>
        <w:rPr>
          <w:sz w:val="20"/>
          <w:szCs w:val="20"/>
          <w:color w:val="auto"/>
        </w:rPr>
      </w:pPr>
    </w:p>
    <w:p>
      <w:pPr>
        <w:jc w:val="both"/>
        <w:ind w:right="20" w:firstLine="432"/>
        <w:spacing w:after="0" w:line="297" w:lineRule="auto"/>
        <w:rPr>
          <w:sz w:val="20"/>
          <w:szCs w:val="20"/>
          <w:color w:val="auto"/>
        </w:rPr>
      </w:pPr>
      <w:r>
        <w:rPr>
          <w:rFonts w:ascii="Arial" w:cs="Arial" w:eastAsia="Arial" w:hAnsi="Arial"/>
          <w:sz w:val="16"/>
          <w:szCs w:val="16"/>
          <w:color w:val="auto"/>
        </w:rPr>
        <w:t xml:space="preserve">The Company utilizes the acquisition method of accounting under Financial Accounting Standard Boards (“FASB”) Accounting Standard Codification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(“FASB ASC 805”), for all transactions and events which it obtains control over one or more other businesses, to recognize the fair value of all assets and liabilities acquired, even if less than one hundred percent ownership is acquired, and in establishing the acquisition date fair value as measurement date for all assets and liabilities assumed. The Company also utilizes FASB ASC 805 for the initial recognition and measurement, subsequent measurement and accounting, and disclosure of assets and liabilities arising from contingencies in business combinations.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4"/>
          <w:szCs w:val="14"/>
          <w:b w:val="1"/>
          <w:bCs w:val="1"/>
          <w:color w:val="auto"/>
        </w:rPr>
        <w:t>SE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STIMATES</w:t>
      </w:r>
    </w:p>
    <w:p>
      <w:pPr>
        <w:spacing w:after="0" w:line="10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ECOGNITION;</w:t>
      </w:r>
    </w:p>
    <w:p>
      <w:pPr>
        <w:spacing w:after="0" w:line="10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The Company relies upon FASB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to account for its revenue transactions. Revenue from sales is recognized upon shipment provided that title and risk of loss have passed to the customer, there is persuasive evidence of 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arrangement, the sales price is fixed or determinable, collection of the related receivable is reasonably assured, and customer acceptance criteria, if any, have been successfully demonstrated. Out-of-pocket expenses that are reimbursable by the customer are included in revenue and cost of revenue.</w:t>
      </w:r>
    </w:p>
    <w:p>
      <w:pPr>
        <w:spacing w:after="0" w:line="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Certain contracts with customers require the Company to perform tests of its products prior to shipment to ensure their performance complies with the Company’s published product specifications and, on occasion, with additional customer-requested specifications. In these cases, the Company conducts such tests and, if they are completed successfully, includes a written confirmation with each order shipped. As a result, at the time of each product shipment, the Company believes that no further customer testing requirements exist and that there is no uncertainty of acceptance by its customer.</w:t>
      </w:r>
    </w:p>
    <w:p>
      <w:pPr>
        <w:spacing w:after="0" w:line="1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The Company uses FASB Accounting Standards Update (“ASU”) No. 2009-13 (“FASB ASU 2009-13”), </w:t>
      </w:r>
      <w:r>
        <w:rPr>
          <w:rFonts w:ascii="Arial" w:cs="Arial" w:eastAsia="Arial" w:hAnsi="Arial"/>
          <w:sz w:val="18"/>
          <w:szCs w:val="18"/>
          <w:i w:val="1"/>
          <w:iCs w:val="1"/>
          <w:color w:val="auto"/>
        </w:rPr>
        <w:t>Multiple-Deliverable Revenue Arrangements</w:t>
      </w:r>
      <w:r>
        <w:rPr>
          <w:rFonts w:ascii="Arial" w:cs="Arial" w:eastAsia="Arial" w:hAnsi="Arial"/>
          <w:sz w:val="18"/>
          <w:szCs w:val="18"/>
          <w:color w:val="auto"/>
        </w:rPr>
        <w:t>. FASB ASU 2009-13 establishes a selling price hierarchy for determining the selling price of a deliverable, which includes: (1) vendor-specific objective evidence (“VSOE”) if available; (2) third-party evidence (“TPE”) if VSOE is not available; and (3) best estimated selling price (“BESP”), if neither VSOE nor TPE is available. Additionally, FASB ASU 2009-13 expands the disclosure requirements related to a vendor’s multiple-deliverable revenue arrangements.</w:t>
      </w:r>
    </w:p>
    <w:p>
      <w:pPr>
        <w:spacing w:after="0" w:line="5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enters into multiple-deliverable arrangements that may include a combination of hardware components, related integration or other services. These arrangements generally do not include any performance-, cancellation-, termination- or refund-type provisions. Total revenue recognized under multiple-deliverable revenue arrangements in fiscal 2013, 2012 and 2011 was 34%, 39% and 50% of total revenues, respectively.</w:t>
      </w:r>
    </w:p>
    <w:p>
      <w:pPr>
        <w:spacing w:after="0" w:line="3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accordance with the provisions of FASB ASU 2009-13, the Company allocates arrangement consideration to each deliverable in an arrangement based on its relative selling price. The Company generally expects that it will not be able to establish VSOE or TPE due to limited single element transactions and the nature of the markets in which the Company competes, and, as such, the Company typically determines its relative selling price using BESP.</w:t>
      </w:r>
    </w:p>
    <w:p>
      <w:pPr>
        <w:spacing w:after="0" w:line="1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uses BESP in its allocation of arrangement consideration. The objective of BESP is to determine the price at which the Company would transact if the product or service were sold by the Company on a standalone basis.</w:t>
      </w:r>
    </w:p>
    <w:p>
      <w:pPr>
        <w:spacing w:after="0" w:line="3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Company’s determination of BESP involves the consideration of several factors based on the specific facts and circumstances of each arrangement. Specifically, the Company considers the cost to produce the deliverable, the anticipated margin on that deliverable, the selling price and profit margin for similar parts, the Company’s ongoing pricing strategy and policies (as evident from the price list established and updated by management on a regular basis), the value of any enhancements that have been built into the deliverable and the characteristics of the varying markets in which the deliverable is sold.</w:t>
      </w:r>
    </w:p>
    <w:p>
      <w:pPr>
        <w:spacing w:after="0" w:line="1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analyzes the selling prices used in its allocation of arrangement consideration at a minimum on an annual basis. Selling prices will be analyzed on a more frequent basis if a significant change in the Company’s business necessitates a more timely analysis or if the Company experiences significant variances in its selling prices.</w:t>
      </w:r>
    </w:p>
    <w:p>
      <w:pPr>
        <w:spacing w:after="0" w:line="4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Each deliverable within the Company’s multiple-deliverable revenue arrangements is accounted for as a separate unit of accounting under the guidance of FASB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the control of the Company. The Company’s revenue arrangements generally do not include a general right of return relative to delivered products. The Company considers a deliverable to have standalone value if the item is sold separately by the Company or another vendor or if the item could be resold by the customer.</w:t>
      </w:r>
    </w:p>
    <w:p>
      <w:pPr>
        <w:spacing w:after="0" w:line="5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35"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The Company also engages in long-term contracts for development, production and services activities which it accounts for consistent with FASB ASC 605-35, </w:t>
      </w:r>
      <w:r>
        <w:rPr>
          <w:rFonts w:ascii="Arial" w:cs="Arial" w:eastAsia="Arial" w:hAnsi="Arial"/>
          <w:sz w:val="17"/>
          <w:szCs w:val="17"/>
          <w:i w:val="1"/>
          <w:iCs w:val="1"/>
          <w:color w:val="auto"/>
        </w:rPr>
        <w:t>Accounting for Performance of Construction-Type and Certain Production-Type Contracts</w:t>
      </w:r>
      <w:r>
        <w:rPr>
          <w:rFonts w:ascii="Arial" w:cs="Arial" w:eastAsia="Arial" w:hAnsi="Arial"/>
          <w:sz w:val="17"/>
          <w:szCs w:val="17"/>
          <w:color w:val="auto"/>
        </w:rPr>
        <w:t>, and other relevant revenue recognition accounting literature. The Company considers the nature of these contracts and the types of products and services provided when determining the proper accounting for a particular contract. Generally for fixed-price contracts, other than service-type contracts, revenue is recognized primarily under the percentage of completion method or, for certain short-term contracts, by the completed contract method. Revenue from service-type fixed-price contracts is recognized ratably over the contract period or by other appropriate input or output methods to measure service provided, and contract costs are expensed as incurred. The Company establishes billing terms at the time project deliverables and milestones are agreed. Revenues recognized in excess of the amounts invoiced to clients are classified as unbilled receivables. The risk to the Company on a fixed-price contract is that if estimates to complete the contract change from one period to the next, profit levels will vary from period to period. For time and materials contracts, revenue reflects the number of direct labor hours expended in the performance of a contract multiplied by the contract billing rate, as well as reimbursement of other billable direct costs. For all types of contracts, the Company recognizes anticipated contract losses as soon as they become known and estimable.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use of contract accounting requires significant judgment relative to estimating total contract revenues and costs, including assumptions relative to the length of time to complete the contract, the nature and complexity of the work to be performed, anticipated increases in wages and prices for subcontractor services and materials, and the availability of subcontractor services and materials. The Company’s estimates are based upon the professional knowledge and experience of its engineers, program managers and other personnel, who review each long-term contract monthly to assess the contract’s schedule, performance, technical matters and estimated cost at completion. Changes in estimates are applied retrospectively and when adjustments in estimated contract costs are identified, such revisions may result in current period adjustments to earnings applicable to performance in prior periods.</w:t>
      </w:r>
    </w:p>
    <w:p>
      <w:pPr>
        <w:spacing w:after="0" w:line="3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Contract costs also may include estimated contract recoveries for matters such as contract changes and claims for unanticipated contract costs. The Company records revenue associated with these matters only when the amount of recovery can be estimated reliably and realization is probable. Assumed recoveries for claims included in contracts in process were not material on June 30, 2012 or 2013.</w:t>
      </w:r>
    </w:p>
    <w:p>
      <w:pPr>
        <w:spacing w:after="0" w:line="46"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does not provide its customers with rights of product return, other than those related to warranty provisions that permit repair or replacement of defective goods. The Company accrues for anticipated warranty costs upon product shipment. Revenues from product royalties are recognized upon invoice by the Company. Additionally, all revenues are reported net of government assessed taxes (e.g. sales taxes or value-added taxes).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QUIVALENTS</w:t>
      </w:r>
    </w:p>
    <w:p>
      <w:pPr>
        <w:spacing w:after="0" w:line="108"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Cash equivalents, consisting of highly liquid money market funds and U.S. government and U.S. government agency issues with remaining maturities of 90 days or less at the date of purchase, are carried at fair market value which approximates cost. The Company also has restricted cash which is classified as a non-current asset due to the length of the restriction.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ASH</w:t>
      </w:r>
    </w:p>
    <w:p>
      <w:pPr>
        <w:spacing w:after="0" w:line="18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had restricted cash balances of $546 and $3,281 as of June 30, 2013 and 2012, respectively. The balances are classified as restricted cash on the accompanying consolidated balance sheet and are reflected in non-current assets. The balances at June 30, 2013 and 2012 included restrictions related to certain contracts with foreign customers that require a certificate of deposit to be held at a commercial bank until performance of the contracts have been completed. In addition, at June 30, 2012, the restricted cash balance included a deposit of $3,000 with its bank as collateral for the landlord pursuant to the sale-lease back transaction entered in April 2007 for the Company’s headquarters in Chelmsford, MA. During fiscal 2013, the restrictions on the $3,000 cash collateral were lifted, as the Company and the landlord for the Company's headquarters in Chelmsford, MA agreed to collateralize its headquarters with a senior unsecured revolving line of credit (see Note 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ONCENTRATION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ISK</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principally of cash, cash equivalents and accounts receivable. The Company places its cash and cash equivalents with financial institutions that management believes are of high credit quality. At June 30, 2013 and 2012, the Company had $39,118 and $115,958, respectively, of cash and cash equivalents on deposit or invested with its financial and lending institutions.</w:t>
      </w:r>
    </w:p>
    <w:p>
      <w:pPr>
        <w:spacing w:after="0" w:line="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provides credit to customers in the normal course of business. The Company performs ongoing credit evaluations of its customers’ financial condition and limits the amount of credit extended when deemed necessary but generally does not require collateral. At June 30, 2013, five customers accounted for 40% of the Company's receivables, unbilled receivables and cost in excess of billings. At June 30, 2012, five customers accounted for 59% of the Company’s receivables, unbilled receivables and cost in excess of billings.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NVENTORY</w:t>
      </w:r>
    </w:p>
    <w:p>
      <w:pPr>
        <w:spacing w:after="0" w:line="10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Inventory is stated at the lower of cost (first-in, first-out) or market value, and consists of materials, labor and overhead. On a quarterly basis, the Company uses consistent methodologies to evaluate inventory for net realizable value. Once an item is written down, the value becomes the new inventory cost basis. The Company reduces the value of inventory for excess and obsolete inventory, consisting of on-hand and non-cancelable on-order inventory in excess of estimated usage. The excess and obsolete inventory evaluation is based upon assumptions about future demand, product mix and possible alternative uses.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OODWILL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CQUIRED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Goodwill is the amount by which the cost of the acquired net assets in a business acquisition exceeded the fair values of the net identifiable assets on the date of purchase. Goodwill is not amortized in accordance with the requirements of FASB ASC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(“FASB ASC 350”). Goodwill is assessed for impairment at least annually, on a reporting unit basis, or more frequently when events and circumstances occur indicating that the recorded goodwill may be impaired. If the book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value of a reporting unit exceeds its fair value, the implied fair value of goodwill is compared with the carrying amount of goodwill. If the carrying amount of goodwill exceeds the implied fair value, an impairment loss is recorded in an amount equal to that excess.</w:t>
      </w:r>
    </w:p>
    <w:p>
      <w:pPr>
        <w:spacing w:after="0" w:line="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For the year ended June 30, 2012, the Company elected to adopt FASB ASU 2011-8, </w:t>
      </w:r>
      <w:r>
        <w:rPr>
          <w:rFonts w:ascii="Arial" w:cs="Arial" w:eastAsia="Arial" w:hAnsi="Arial"/>
          <w:sz w:val="18"/>
          <w:szCs w:val="18"/>
          <w:i w:val="1"/>
          <w:iCs w:val="1"/>
          <w:color w:val="auto"/>
        </w:rPr>
        <w:t>Intangibles—Goodwill and Other (Topic 350): Testing 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for Impairment (“ASU 2011-8”)</w:t>
      </w:r>
      <w:r>
        <w:rPr>
          <w:rFonts w:ascii="Arial" w:cs="Arial" w:eastAsia="Arial" w:hAnsi="Arial"/>
          <w:sz w:val="18"/>
          <w:szCs w:val="18"/>
          <w:color w:val="auto"/>
        </w:rPr>
        <w:t>. Under ASU 2011-8, the Company has the option to assess qualitative factors to determine whether the existence of events or</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leads to a determination that it is more likely than not that the fair value of a reporting unit is less than its carrying amount to determine whether further impairment testing is necessary.</w:t>
      </w:r>
    </w:p>
    <w:p>
      <w:pPr>
        <w:spacing w:after="0" w:line="5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January 1, 2013, the Company internally reorganized its product and service offerings in order to align itself with the way management currently manages its business. The internal reorganization affected the Company's reporting units which constituted a triggering event and resulted in interim testing of goodwill. The results of the Company's step one goodwill impairment test indicated that the fair values of the Company's reporting units were in excess of book values. The Company performed its annual impairment analysis during the fourth quarter of fiscal year 2013. The Company performed its analysis in accordance with FASB ASC 350 and utilized the discounted cashflow method to test for goodwill impairment and did not identify any indicators of impairment as of June 30, 2013. See Note G of the Notes to Consolidated Financial Statements for further discussion.</w:t>
      </w:r>
    </w:p>
    <w:p>
      <w:pPr>
        <w:spacing w:after="0" w:line="4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Acquired intangible assets result from the Company’s various business acquisitions (see Note H) and certain licensed technologies, and consist of identifiable intangible assets, including completed technology, licensing agreements, customer relationships, trademarks, backlog, and non-compete agreements. Acquired intangible assets are reported at cost, net of accumulated amortization and are either amortized on a straight-line basis over their estimated useful lives of up to seven years or over the period the economic benefits of the intangible asset are consumed.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ONG</w:t>
      </w:r>
      <w:r>
        <w:rPr>
          <w:rFonts w:ascii="Arial" w:cs="Arial" w:eastAsia="Arial" w:hAnsi="Arial"/>
          <w:sz w:val="18"/>
          <w:szCs w:val="18"/>
          <w:b w:val="1"/>
          <w:bCs w:val="1"/>
          <w:color w:val="auto"/>
        </w:rPr>
        <w:t>-</w:t>
      </w:r>
      <w:r>
        <w:rPr>
          <w:rFonts w:ascii="Arial" w:cs="Arial" w:eastAsia="Arial" w:hAnsi="Arial"/>
          <w:sz w:val="14"/>
          <w:szCs w:val="14"/>
          <w:b w:val="1"/>
          <w:bCs w:val="1"/>
          <w:color w:val="auto"/>
        </w:rPr>
        <w:t>LIVED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10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Long-lived assets primarily include property and equipment and acquired intangible assets. The Company periodically evaluates its long-lived assets for events and circumstances that indicate a potential impairment in accordance with FASB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(“FASB ASC 360”). The Company reviews long-lived assets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of the asset as compared to the recorded value of the asset. If impairment is indicated, the asset is written down to its estimated fair value.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ROPERTY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QUIPMENT</w:t>
      </w:r>
    </w:p>
    <w:p>
      <w:pPr>
        <w:spacing w:after="0" w:line="10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Property and equipment are the long-lived, physical assets of the Company acquired for use in the Company’s normal business operations and are not intended for resale by the Company. These assets are recorded at cost. Renewals and betterments that increase the useful lives of the assets are capitalized. Repair and maintenance expenditures that increase the efficiency of the assets are expensed as incurred. Equipment under capital lease is recorded at the present value of the minimum lease payments required during the lease period. Depreciation is based on the estimated useful lives of the assets using the straight-line method (see Note F).</w:t>
      </w:r>
    </w:p>
    <w:p>
      <w:pPr>
        <w:spacing w:after="0" w:line="5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assets are retired or sold, the related cost and accumulated depreciation are removed from the accounts and any resulting gain or loss is included in the results of operations.</w:t>
      </w:r>
    </w:p>
    <w:p>
      <w:pPr>
        <w:spacing w:after="0" w:line="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Expenditures for major software purchases and software developed for internal use are capitalized and depreciated using the straight-line method over the estimated useful lives of the related assets, which are generally three years. For software developed for internal use, all external direct costs for material and services and certain payroll and related fringe benefit costs are capitalized in accordance with FASB ASC 350. During fiscal 2013, 2012 and 2011, the Company capitalized $91, $1,092 and $1,000 of software development costs.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EFERRED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EVENUES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USTOMER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DVANCES</w:t>
      </w:r>
    </w:p>
    <w:p>
      <w:pPr>
        <w:spacing w:after="0" w:line="10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Deferred revenues consist of deferred product revenue, billings in excess of revenues, and deferred service revenue. Deferred product revenue represents amounts that have been invoiced to customers, but are not yet recognizable as revenue because one or more of the conditions for revenue recognition have not been met. Billings in excess of revenues represents milestone billing arrangements on percentage of completion projects where the billings of the contract exceed recognized revenues. Deferred service revenue primarily represents amounts invoiced to customers for annual maintenance contracts or extended warranty concessions, which are recognized ratably over the term of the arrangements. Customer advances represent deposits received from customers on an order.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AXES</w:t>
      </w:r>
    </w:p>
    <w:p>
      <w:pPr>
        <w:spacing w:after="0" w:line="10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The Company accounts for income taxes under FASB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(“FASB ASC 740”). The Company recognizes deferred tax assets and liabilities for the expected future tax consequences of events that have been included in the Company’s consolidated financial statements. Under this method, deferred tax assets and liabilities are determined based on the difference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between the financial statement and tax basis of assets and liabilities using enacted tax rates for the year in which the differences are expected to reverse. The Company records a valuation allowance against net deferred tax assets if, based upon the available evidence, it is more likely than not that some or all of the deferred tax assets will not be realized.</w:t>
      </w:r>
    </w:p>
    <w:p>
      <w:pPr>
        <w:spacing w:after="0" w:line="4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FASB ASC 740 requires a two-step approach to recognizing and measuring uncertain tax positions. First, the tax position must be evaluated to determine the likelihood that it will be sustained upon external examination.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Company recognizes interest and penalties accrued on any unrecognized tax benefits as a component of income tax expense.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RODUCT</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CCRUAL</w:t>
      </w:r>
    </w:p>
    <w:p>
      <w:pPr>
        <w:spacing w:after="0" w:line="10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Company’s product sales generally include a 12 month standard hardware warranty. At time of product shipment, the Company accrues for the estimated cost to repair or replace potentially defective products. Estimated warranty costs are based upon prior actual warranty costs for substantially similar transactions and any specifically identified warranty requirements. Product warranty accrual is included as part of accrued expenses in the accompanying consolidated balance sheets. The following table presents the changes in the Company's product warranty accrual.</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Fiscal</w:t>
            </w:r>
          </w:p>
        </w:tc>
        <w:tc>
          <w:tcPr>
            <w:tcW w:w="34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Fiscal</w:t>
            </w:r>
          </w:p>
        </w:tc>
        <w:tc>
          <w:tcPr>
            <w:tcW w:w="340" w:type="dxa"/>
            <w:vAlign w:val="bottom"/>
          </w:tcPr>
          <w:p>
            <w:pPr>
              <w:spacing w:after="0"/>
              <w:rPr>
                <w:sz w:val="14"/>
                <w:szCs w:val="14"/>
                <w:color w:val="auto"/>
              </w:rPr>
            </w:pPr>
          </w:p>
        </w:tc>
        <w:tc>
          <w:tcPr>
            <w:tcW w:w="1140" w:type="dxa"/>
            <w:vAlign w:val="bottom"/>
          </w:tcPr>
          <w:p>
            <w:pPr>
              <w:jc w:val="right"/>
              <w:ind w:right="475"/>
              <w:spacing w:after="0"/>
              <w:rPr>
                <w:sz w:val="20"/>
                <w:szCs w:val="20"/>
                <w:color w:val="auto"/>
              </w:rPr>
            </w:pPr>
            <w:r>
              <w:rPr>
                <w:rFonts w:ascii="Arial" w:cs="Arial" w:eastAsia="Arial" w:hAnsi="Arial"/>
                <w:sz w:val="14"/>
                <w:szCs w:val="14"/>
                <w:b w:val="1"/>
                <w:bCs w:val="1"/>
                <w:color w:val="auto"/>
              </w:rPr>
              <w:t>Fiscal</w:t>
            </w:r>
          </w:p>
        </w:tc>
      </w:tr>
      <w:tr>
        <w:trPr>
          <w:trHeight w:val="192"/>
        </w:trPr>
        <w:tc>
          <w:tcPr>
            <w:tcW w:w="6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at July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1,186</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Warranty assumed from Micronetics acquisition</w:t>
            </w:r>
          </w:p>
        </w:tc>
        <w:tc>
          <w:tcPr>
            <w:tcW w:w="3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Accruals for warranties issued during the period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970</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Settlements made during the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(1,262)</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at June 30,</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2,522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894</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10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Research and development costs are expensed as incurred. Research and development costs are primarily made up of labor charges and prototype material and development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w:t>
      </w:r>
      <w:r>
        <w:rPr>
          <w:rFonts w:ascii="Arial" w:cs="Arial" w:eastAsia="Arial" w:hAnsi="Arial"/>
          <w:sz w:val="14"/>
          <w:szCs w:val="14"/>
          <w:b w:val="1"/>
          <w:bCs w:val="1"/>
          <w:color w:val="auto"/>
        </w:rPr>
        <w:t>BASED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p>
    <w:p>
      <w:pPr>
        <w:spacing w:after="0" w:line="10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Stock-based compensation cost is measured at the grant date based on the fair value of the award and is recognized as expense on a straight-line basis over the requisite service period, which generally represents the vesting period, and includes an estimate of the awards that will be forfeited. The Company uses the Black-Scholes valuation model for estimating the fair value on the date of grant of stock options. The fair value of stock option awards is affected by the Company’s stock price as well as valuation assumptions, including the volatility of the Company’s stock price, expected term of the option, risk-free interest rate and expected dividends. The fair value of restricted stock awards are based on the market price on the date of grant.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ARNINGS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w:t>
      </w:r>
    </w:p>
    <w:p>
      <w:pPr>
        <w:spacing w:after="0" w:line="108"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color w:val="auto"/>
        </w:rPr>
        <w:t>Basic net earnings per share is calculated by dividing net income by the weighted-average number of common shares outstanding during the period. Diluted net earnings per share computation includes the effect of shares which would be issuable upon the exercise of outstanding stock options and the vesting of restricted stock, reduced by the number of shares which are assumed to be purchased by the Company under the treasury stock method.</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Basic and diluted weighted average shares outstanding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Years Ended June 30,</w:t>
            </w:r>
          </w:p>
        </w:tc>
        <w:tc>
          <w:tcPr>
            <w:tcW w:w="14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weighted-average shares outstanding</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30,128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29,477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25,322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dilutive equity instruments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887</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30,128</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30,085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26,209</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Weighted average equity instruments to purchase 1,485, 1,244 and 753 shares of common stock were not included in the calculation of diluted net earnings per share for the fiscal years ended June 30, 2013, 2012 and 2011, respectively, because the equity instruments were anti-dilutive.</w:t>
      </w:r>
    </w:p>
    <w:p>
      <w:pPr>
        <w:spacing w:after="0" w:line="1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On February 16, 2011, the Company completed a follow-on public stock offering of 5,578 shares of the Company’s common stock, at a price to the public of $17.75 per share, generating net proceeds, after underwriting fees and expenses, of $93,605. As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result, an additional 5,578, 5,578, and 2,129 weighted average shares outstanding were included in the calculation of basic and diluted net earnings per shares for fiscal 2013, 2012, and 2011.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CCUMULATED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OMPREHENSIVE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NCOME</w:t>
      </w:r>
    </w:p>
    <w:p>
      <w:pPr>
        <w:spacing w:after="0" w:line="10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Accumulated other comprehensive income includes foreign currency translation adjustments and unrealized gains on investments. The components of accumulated other comprehensive income were $962 and $1,306 of accumulated foreign currency translation adjustments at June 30, 2013 and 2012. There were no accumulated net unrealized gains on investments at June 30, 2013 and 2012.</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URRENCY</w:t>
      </w:r>
    </w:p>
    <w:p>
      <w:pPr>
        <w:spacing w:after="0" w:line="10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Local currencies are used as the functional currency for the Company’s subsidiaries in Europe and Japan. The accounts of foreign subsidiaries are translated using exchange rates in effect at period-end for assets and liabilities and at average exchange rates during the period for results of operations. The related translation adjustments are reported in accumulated other comprehensive income in shareholders’ equity. Gains (losses) resulting from foreign currency transactions are included in other income (expense) and were immaterial for all periods presented.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10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In February 2013, the FASB issued ASU No. 2013-02, </w:t>
      </w:r>
      <w:r>
        <w:rPr>
          <w:rFonts w:ascii="Arial" w:cs="Arial" w:eastAsia="Arial" w:hAnsi="Arial"/>
          <w:sz w:val="18"/>
          <w:szCs w:val="18"/>
          <w:i w:val="1"/>
          <w:iCs w:val="1"/>
          <w:color w:val="auto"/>
        </w:rPr>
        <w:t>Other Comprehensive Income (Topic 220): Reporting of Amounts Reclassified Out of</w:t>
      </w:r>
      <w:r>
        <w:rPr>
          <w:rFonts w:ascii="Arial" w:cs="Arial" w:eastAsia="Arial" w:hAnsi="Arial"/>
          <w:sz w:val="18"/>
          <w:szCs w:val="18"/>
          <w:color w:val="auto"/>
        </w:rPr>
        <w:t xml:space="preserve"> </w:t>
      </w:r>
      <w:r>
        <w:rPr>
          <w:rFonts w:ascii="Arial" w:cs="Arial" w:eastAsia="Arial" w:hAnsi="Arial"/>
          <w:sz w:val="18"/>
          <w:szCs w:val="18"/>
          <w:i w:val="1"/>
          <w:iCs w:val="1"/>
          <w:color w:val="auto"/>
        </w:rPr>
        <w:t>Accumulated Other Comprehensive Income</w:t>
      </w:r>
      <w:r>
        <w:rPr>
          <w:rFonts w:ascii="Arial" w:cs="Arial" w:eastAsia="Arial" w:hAnsi="Arial"/>
          <w:sz w:val="18"/>
          <w:szCs w:val="18"/>
          <w:color w:val="auto"/>
        </w:rPr>
        <w:t>, an amendment of the FASB Accounting Standards Codification. The ASU requires an entity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about the amounts reclassified out of accumulated other comprehensive income by component. The entity is also required to disclose significant amounts reclassified out of accumulated other comprehensive income by the respective line items of net income, but only if the amount reclassified is required under U.S. GAAP to be reclassified to net income in its entirety in the same reporting period. For other amounts to be reclassified in their entirety to net income not required by U.S. GAAP, the entity is required to cross-reference details to other disclosures required by U.S. GAAP that provide detail about those amounts. The ASU is effective prospectively for annual reporting periods beginning after December 15, 2012. This pronouncement is not expected to have a material impact to our consolidated financial statements.</w:t>
      </w:r>
    </w:p>
    <w:p>
      <w:pPr>
        <w:spacing w:after="0" w:line="161" w:lineRule="exact"/>
        <w:rPr>
          <w:sz w:val="20"/>
          <w:szCs w:val="20"/>
          <w:color w:val="auto"/>
        </w:rPr>
      </w:pPr>
    </w:p>
    <w:p>
      <w:pPr>
        <w:ind w:left="840" w:hanging="832"/>
        <w:spacing w:after="0"/>
        <w:tabs>
          <w:tab w:leader="none" w:pos="8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ICRONETICS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CQUISITION</w:t>
      </w:r>
    </w:p>
    <w:p>
      <w:pPr>
        <w:spacing w:after="0" w:line="10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On June 8, 2012, the Company and Wildcat Merger Sub Inc., a newly formed, wholly-owned subsidiary of the Company (the “Merger Sub”), entered into an Agreement and Plan of Merger (the “Merger Agreement”) with Micronetics, Inc. (“Micronetics”). On August 8, 2012, the transaction was closed. The Merger Sub merged with and into Micronetics with Micronetics continuing as the surviving company and wholly-owned subsidiary of the Company.</w:t>
      </w:r>
    </w:p>
    <w:p>
      <w:pPr>
        <w:spacing w:after="0" w:line="1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Headquartered in Hudson, NH, Micronetics is a leading designer and manufacturer of microwave and radio frequency ("RF") subsystems and components for defense and commercial customers.</w:t>
      </w:r>
    </w:p>
    <w:p>
      <w:pPr>
        <w:spacing w:after="0" w:line="3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Pursuant to the terms of the Merger Agreement, at the closing of the merger on August 8, 2012, each share of common stock of Micronetics issued and outstanding immediately prior to the closing was converted into the right to receive $14.80 in cash, without interest (the “Merger Consideration”). All outstanding options to acquire shares of Micronetics common stock that were vested as of the closing were canceled and the holders of such options were entitled to receive an amount of cash equal to the product of the total number of shares previously subject to such vested options and the excess of the Merger Consideration over the exercise price per share. All outstanding Micronetics stock options that were unvested at the closing were replaced by Mercury. The replacement stock options granted were determined based on a conversion ratio provided in the Merger Agreement. Micronetics existing bank debt was paid in full by Mercury on the closing date. Mercury funded the acquisition with cash on hand.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net purchase price and the preliminary fair values of the assets and liabilities of Micronetics:</w:t>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60" w:type="dxa"/>
            <w:vAlign w:val="bottom"/>
          </w:tcPr>
          <w:p>
            <w:pPr>
              <w:jc w:val="right"/>
              <w:ind w:right="113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7"/>
        </w:trPr>
        <w:tc>
          <w:tcPr>
            <w:tcW w:w="7200" w:type="dxa"/>
            <w:vAlign w:val="bottom"/>
            <w:vMerge w:val="restart"/>
          </w:tcPr>
          <w:p>
            <w:pPr>
              <w:ind w:left="20"/>
              <w:spacing w:after="0"/>
              <w:rPr>
                <w:sz w:val="20"/>
                <w:szCs w:val="20"/>
                <w:color w:val="auto"/>
              </w:rPr>
            </w:pPr>
            <w:r>
              <w:rPr>
                <w:rFonts w:ascii="Arial" w:cs="Arial" w:eastAsia="Arial" w:hAnsi="Arial"/>
                <w:sz w:val="18"/>
                <w:szCs w:val="18"/>
                <w:color w:val="auto"/>
              </w:rPr>
              <w:t>Consideration transferred</w:t>
            </w:r>
          </w:p>
        </w:tc>
        <w:tc>
          <w:tcPr>
            <w:tcW w:w="6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0" w:type="dxa"/>
            <w:vAlign w:val="bottom"/>
            <w:vMerge w:val="continue"/>
          </w:tcPr>
          <w:p>
            <w:pPr>
              <w:spacing w:after="0"/>
              <w:rPr>
                <w:sz w:val="20"/>
                <w:szCs w:val="20"/>
                <w:color w:val="auto"/>
              </w:rPr>
            </w:pPr>
          </w:p>
        </w:tc>
        <w:tc>
          <w:tcPr>
            <w:tcW w:w="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paid to shareholders and to settle vested options</w:t>
            </w: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2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69,830</w:t>
            </w:r>
          </w:p>
        </w:tc>
        <w:tc>
          <w:tcPr>
            <w:tcW w:w="0" w:type="dxa"/>
            <w:vAlign w:val="bottom"/>
          </w:tcPr>
          <w:p>
            <w:pPr>
              <w:spacing w:after="0"/>
              <w:rPr>
                <w:sz w:val="1"/>
                <w:szCs w:val="1"/>
                <w:color w:val="auto"/>
              </w:rPr>
            </w:pP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Value allocated to unvested options</w:t>
            </w:r>
          </w:p>
        </w:tc>
        <w:tc>
          <w:tcPr>
            <w:tcW w:w="620" w:type="dxa"/>
            <w:vAlign w:val="bottom"/>
          </w:tcPr>
          <w:p>
            <w:pPr>
              <w:spacing w:after="0"/>
              <w:rPr>
                <w:sz w:val="21"/>
                <w:szCs w:val="21"/>
                <w:color w:val="auto"/>
              </w:rPr>
            </w:pPr>
          </w:p>
        </w:tc>
        <w:tc>
          <w:tcPr>
            <w:tcW w:w="2460" w:type="dxa"/>
            <w:vAlign w:val="bottom"/>
          </w:tcPr>
          <w:p>
            <w:pPr>
              <w:jc w:val="right"/>
              <w:ind w:right="1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Less cash acquired</w:t>
            </w:r>
          </w:p>
        </w:tc>
        <w:tc>
          <w:tcPr>
            <w:tcW w:w="620" w:type="dxa"/>
            <w:vAlign w:val="bottom"/>
            <w:tcBorders>
              <w:bottom w:val="single" w:sz="8" w:color="CCEEFF"/>
            </w:tcBorders>
            <w:shd w:val="clear" w:color="auto" w:fill="CCEEFF"/>
          </w:tcPr>
          <w:p>
            <w:pPr>
              <w:spacing w:after="0"/>
              <w:rPr>
                <w:sz w:val="23"/>
                <w:szCs w:val="23"/>
                <w:color w:val="auto"/>
              </w:rPr>
            </w:pP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97"/>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purchase price</w:t>
            </w: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2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68,234</w:t>
            </w:r>
          </w:p>
        </w:tc>
        <w:tc>
          <w:tcPr>
            <w:tcW w:w="0" w:type="dxa"/>
            <w:vAlign w:val="bottom"/>
          </w:tcPr>
          <w:p>
            <w:pPr>
              <w:spacing w:after="0"/>
              <w:rPr>
                <w:sz w:val="1"/>
                <w:szCs w:val="1"/>
                <w:color w:val="auto"/>
              </w:rPr>
            </w:pPr>
          </w:p>
        </w:tc>
      </w:tr>
      <w:tr>
        <w:trPr>
          <w:trHeight w:val="257"/>
        </w:trPr>
        <w:tc>
          <w:tcPr>
            <w:tcW w:w="72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Estimated fair value of tangible assets acquired and liabilities assumed</w:t>
            </w:r>
          </w:p>
        </w:tc>
        <w:tc>
          <w:tcPr>
            <w:tcW w:w="6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2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620" w:type="dxa"/>
            <w:vAlign w:val="bottom"/>
          </w:tcPr>
          <w:p>
            <w:pPr>
              <w:spacing w:after="0"/>
              <w:rPr>
                <w:sz w:val="21"/>
                <w:szCs w:val="21"/>
                <w:color w:val="auto"/>
              </w:rPr>
            </w:pPr>
          </w:p>
        </w:tc>
        <w:tc>
          <w:tcPr>
            <w:tcW w:w="2460" w:type="dxa"/>
            <w:vAlign w:val="bottom"/>
          </w:tcPr>
          <w:p>
            <w:pPr>
              <w:jc w:val="right"/>
              <w:ind w:right="10"/>
              <w:spacing w:after="0"/>
              <w:rPr>
                <w:sz w:val="20"/>
                <w:szCs w:val="20"/>
                <w:color w:val="auto"/>
              </w:rPr>
            </w:pPr>
            <w:r>
              <w:rPr>
                <w:rFonts w:ascii="Arial" w:cs="Arial" w:eastAsia="Arial" w:hAnsi="Arial"/>
                <w:sz w:val="18"/>
                <w:szCs w:val="18"/>
                <w:color w:val="auto"/>
              </w:rPr>
              <w:t>3,635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6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12,080</w:t>
            </w:r>
          </w:p>
        </w:tc>
        <w:tc>
          <w:tcPr>
            <w:tcW w:w="0" w:type="dxa"/>
            <w:vAlign w:val="bottom"/>
          </w:tcPr>
          <w:p>
            <w:pPr>
              <w:spacing w:after="0"/>
              <w:rPr>
                <w:sz w:val="1"/>
                <w:szCs w:val="1"/>
                <w:color w:val="auto"/>
              </w:rPr>
            </w:pP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Fixed assets</w:t>
            </w:r>
          </w:p>
        </w:tc>
        <w:tc>
          <w:tcPr>
            <w:tcW w:w="620" w:type="dxa"/>
            <w:vAlign w:val="bottom"/>
          </w:tcPr>
          <w:p>
            <w:pPr>
              <w:spacing w:after="0"/>
              <w:rPr>
                <w:sz w:val="21"/>
                <w:szCs w:val="21"/>
                <w:color w:val="auto"/>
              </w:rPr>
            </w:pPr>
          </w:p>
        </w:tc>
        <w:tc>
          <w:tcPr>
            <w:tcW w:w="2460" w:type="dxa"/>
            <w:vAlign w:val="bottom"/>
          </w:tcPr>
          <w:p>
            <w:pPr>
              <w:jc w:val="right"/>
              <w:ind w:right="10"/>
              <w:spacing w:after="0"/>
              <w:rPr>
                <w:sz w:val="20"/>
                <w:szCs w:val="20"/>
                <w:color w:val="auto"/>
              </w:rPr>
            </w:pPr>
            <w:r>
              <w:rPr>
                <w:rFonts w:ascii="Arial" w:cs="Arial" w:eastAsia="Arial" w:hAnsi="Arial"/>
                <w:sz w:val="18"/>
                <w:szCs w:val="18"/>
                <w:color w:val="auto"/>
              </w:rPr>
              <w:t>5,712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Current and non-current deferred tax assets</w:t>
            </w:r>
          </w:p>
        </w:tc>
        <w:tc>
          <w:tcPr>
            <w:tcW w:w="6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Other current and non-current assets</w:t>
            </w:r>
          </w:p>
        </w:tc>
        <w:tc>
          <w:tcPr>
            <w:tcW w:w="620" w:type="dxa"/>
            <w:vAlign w:val="bottom"/>
          </w:tcPr>
          <w:p>
            <w:pPr>
              <w:spacing w:after="0"/>
              <w:rPr>
                <w:sz w:val="21"/>
                <w:szCs w:val="21"/>
                <w:color w:val="auto"/>
              </w:rPr>
            </w:pPr>
          </w:p>
        </w:tc>
        <w:tc>
          <w:tcPr>
            <w:tcW w:w="2460" w:type="dxa"/>
            <w:vAlign w:val="bottom"/>
          </w:tcPr>
          <w:p>
            <w:pPr>
              <w:jc w:val="right"/>
              <w:ind w:right="1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6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(6,090)</w:t>
            </w:r>
          </w:p>
        </w:tc>
        <w:tc>
          <w:tcPr>
            <w:tcW w:w="0" w:type="dxa"/>
            <w:vAlign w:val="bottom"/>
          </w:tcPr>
          <w:p>
            <w:pPr>
              <w:spacing w:after="0"/>
              <w:rPr>
                <w:sz w:val="1"/>
                <w:szCs w:val="1"/>
                <w:color w:val="auto"/>
              </w:rPr>
            </w:pP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Long-term debt</w:t>
            </w:r>
          </w:p>
        </w:tc>
        <w:tc>
          <w:tcPr>
            <w:tcW w:w="620" w:type="dxa"/>
            <w:vAlign w:val="bottom"/>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(6,575)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tax liabilities</w:t>
            </w:r>
          </w:p>
        </w:tc>
        <w:tc>
          <w:tcPr>
            <w:tcW w:w="620" w:type="dxa"/>
            <w:vAlign w:val="bottom"/>
            <w:tcBorders>
              <w:bottom w:val="single" w:sz="8" w:color="CCEEFF"/>
            </w:tcBorders>
            <w:shd w:val="clear" w:color="auto" w:fill="CCEEFF"/>
          </w:tcPr>
          <w:p>
            <w:pPr>
              <w:spacing w:after="0"/>
              <w:rPr>
                <w:sz w:val="23"/>
                <w:szCs w:val="23"/>
                <w:color w:val="auto"/>
              </w:rPr>
            </w:pP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(8,114)</w:t>
            </w:r>
          </w:p>
        </w:tc>
        <w:tc>
          <w:tcPr>
            <w:tcW w:w="0" w:type="dxa"/>
            <w:vAlign w:val="bottom"/>
          </w:tcPr>
          <w:p>
            <w:pPr>
              <w:spacing w:after="0"/>
              <w:rPr>
                <w:sz w:val="1"/>
                <w:szCs w:val="1"/>
                <w:color w:val="auto"/>
              </w:rPr>
            </w:pP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Estimated fair value of net tangible assets acquired</w:t>
            </w:r>
          </w:p>
        </w:tc>
        <w:tc>
          <w:tcPr>
            <w:tcW w:w="620" w:type="dxa"/>
            <w:vAlign w:val="bottom"/>
            <w:tcBorders>
              <w:top w:val="single" w:sz="8" w:color="auto"/>
            </w:tcBorders>
          </w:tcPr>
          <w:p>
            <w:pPr>
              <w:spacing w:after="0"/>
              <w:rPr>
                <w:sz w:val="20"/>
                <w:szCs w:val="20"/>
                <w:color w:val="auto"/>
              </w:rPr>
            </w:pPr>
          </w:p>
        </w:tc>
        <w:tc>
          <w:tcPr>
            <w:tcW w:w="2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7,242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fair value of identifiable intangible assets</w:t>
            </w:r>
          </w:p>
        </w:tc>
        <w:tc>
          <w:tcPr>
            <w:tcW w:w="6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18,500</w:t>
            </w: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Estimated fair value of goodwill</w:t>
            </w:r>
          </w:p>
        </w:tc>
        <w:tc>
          <w:tcPr>
            <w:tcW w:w="620" w:type="dxa"/>
            <w:vAlign w:val="bottom"/>
          </w:tcPr>
          <w:p>
            <w:pPr>
              <w:spacing w:after="0"/>
              <w:rPr>
                <w:sz w:val="21"/>
                <w:szCs w:val="21"/>
                <w:color w:val="auto"/>
              </w:rPr>
            </w:pPr>
          </w:p>
        </w:tc>
        <w:tc>
          <w:tcPr>
            <w:tcW w:w="2460" w:type="dxa"/>
            <w:vAlign w:val="bottom"/>
          </w:tcPr>
          <w:p>
            <w:pPr>
              <w:jc w:val="right"/>
              <w:ind w:right="10"/>
              <w:spacing w:after="0"/>
              <w:rPr>
                <w:sz w:val="20"/>
                <w:szCs w:val="20"/>
                <w:color w:val="auto"/>
              </w:rPr>
            </w:pPr>
            <w:r>
              <w:rPr>
                <w:rFonts w:ascii="Arial" w:cs="Arial" w:eastAsia="Arial" w:hAnsi="Arial"/>
                <w:sz w:val="18"/>
                <w:szCs w:val="18"/>
                <w:color w:val="auto"/>
              </w:rPr>
              <w:t>44,601</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fair value of assets acquired</w:t>
            </w: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2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70,343</w:t>
            </w: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Less cash acquired</w:t>
            </w:r>
          </w:p>
        </w:tc>
        <w:tc>
          <w:tcPr>
            <w:tcW w:w="620" w:type="dxa"/>
            <w:vAlign w:val="bottom"/>
          </w:tcPr>
          <w:p>
            <w:pPr>
              <w:spacing w:after="0"/>
              <w:rPr>
                <w:sz w:val="21"/>
                <w:szCs w:val="21"/>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purchase price</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2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68,234</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amounts above represent the preliminary fair value estimates as of June 30, 2013 and are subject to subsequent adjustment during the remainder of the measurement period. Any subsequent adjustments to these fair value estimates occurring during the measurement period will result in an adjustment to goodwill or income, as applicable.</w:t>
      </w:r>
    </w:p>
    <w:p>
      <w:pPr>
        <w:spacing w:after="0" w:line="4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goodwill of $44,601 arising from the Micronetics acquisition largely reflects the potential synergies and expansion of the Company's service offerings across product segments and markets complementary to the Company's existing products and markets. The Micronetics acquisition provides the Company with additional capability and expertise related to microwave and radio frequency technology. The acquisition is directly aligned with the Company's strategy of expanding its capabilities, services and offerings along the sensor processing chain. As of June 30, 2013, the Company did not have any goodwill eligible for tax deduction purposes.</w:t>
      </w:r>
    </w:p>
    <w:p>
      <w:pPr>
        <w:spacing w:after="0" w:line="5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revenue and net loss from Micronetics included in the Company's consolidated statements of operations for the fiscal year ended June 30, 2013 was $35,474 and $(3,764),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summarize the supplemental statements of operations information on an unaudited pro forma basis as if the Micronetics acquisition had occurred on July 1, 2011:</w:t>
      </w:r>
    </w:p>
    <w:p>
      <w:pPr>
        <w:spacing w:after="0" w:line="324" w:lineRule="exact"/>
        <w:rPr>
          <w:sz w:val="20"/>
          <w:szCs w:val="20"/>
          <w:color w:val="auto"/>
        </w:rPr>
      </w:pPr>
    </w:p>
    <w:tbl>
      <w:tblPr>
        <w:tblLayout w:type="fixed"/>
        <w:tblInd w:w="150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96"/>
        </w:trPr>
        <w:tc>
          <w:tcPr>
            <w:tcW w:w="3760" w:type="dxa"/>
            <w:vAlign w:val="bottom"/>
            <w:tcBorders>
              <w:bottom w:val="single" w:sz="8" w:color="CCEEFF"/>
            </w:tcBorders>
          </w:tcPr>
          <w:p>
            <w:pPr>
              <w:spacing w:after="0"/>
              <w:rPr>
                <w:sz w:val="17"/>
                <w:szCs w:val="17"/>
                <w:color w:val="auto"/>
              </w:rPr>
            </w:pPr>
          </w:p>
        </w:tc>
        <w:tc>
          <w:tcPr>
            <w:tcW w:w="23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2012</w:t>
            </w: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revenues</w:t>
            </w:r>
          </w:p>
        </w:tc>
        <w:tc>
          <w:tcPr>
            <w:tcW w:w="2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210,788</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291,467</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Pro forma net (loss) income</w:t>
            </w:r>
          </w:p>
        </w:tc>
        <w:tc>
          <w:tcPr>
            <w:tcW w:w="2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(14,099)</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24,116</w:t>
            </w:r>
          </w:p>
        </w:tc>
      </w:tr>
      <w:tr>
        <w:trPr>
          <w:trHeight w:val="27"/>
        </w:trPr>
        <w:tc>
          <w:tcPr>
            <w:tcW w:w="37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pro forma net (loss) earnings per share</w:t>
            </w:r>
          </w:p>
        </w:tc>
        <w:tc>
          <w:tcPr>
            <w:tcW w:w="2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0.82</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w w:val="99"/>
              </w:rPr>
              <w:t>Diluted pro forma net (loss) earnings per share</w:t>
            </w:r>
          </w:p>
        </w:tc>
        <w:tc>
          <w:tcPr>
            <w:tcW w:w="2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(0.47)</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0.80</w:t>
            </w:r>
          </w:p>
        </w:tc>
      </w:tr>
      <w:tr>
        <w:trPr>
          <w:trHeight w:val="702"/>
        </w:trPr>
        <w:tc>
          <w:tcPr>
            <w:tcW w:w="3760" w:type="dxa"/>
            <w:vAlign w:val="bottom"/>
          </w:tcPr>
          <w:p>
            <w:pPr>
              <w:spacing w:after="0"/>
              <w:rPr>
                <w:sz w:val="24"/>
                <w:szCs w:val="24"/>
                <w:color w:val="auto"/>
              </w:rPr>
            </w:pPr>
          </w:p>
        </w:tc>
        <w:tc>
          <w:tcPr>
            <w:tcW w:w="2300" w:type="dxa"/>
            <w:vAlign w:val="bottom"/>
          </w:tcPr>
          <w:p>
            <w:pPr>
              <w:jc w:val="right"/>
              <w:ind w:right="1670"/>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pro forma results presented above are for illustrative purposes only for the applicable periods and do not purport to be indicative of the actual results which would have occurred had the transaction been completed as of the beginning of the period, nor are they indicative of results of operations which may occur in the future.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KOR </w:t>
      </w:r>
      <w:r>
        <w:rPr>
          <w:rFonts w:ascii="Arial" w:cs="Arial" w:eastAsia="Arial" w:hAnsi="Arial"/>
          <w:sz w:val="12"/>
          <w:szCs w:val="12"/>
          <w:b w:val="1"/>
          <w:bCs w:val="1"/>
          <w:color w:val="auto"/>
        </w:rPr>
        <w:t>AND</w:t>
      </w:r>
      <w:r>
        <w:rPr>
          <w:rFonts w:ascii="Arial" w:cs="Arial" w:eastAsia="Arial" w:hAnsi="Arial"/>
          <w:sz w:val="18"/>
          <w:szCs w:val="18"/>
          <w:b w:val="1"/>
          <w:bCs w:val="1"/>
          <w:color w:val="auto"/>
        </w:rPr>
        <w:t xml:space="preserve"> PDI A</w:t>
      </w:r>
      <w:r>
        <w:rPr>
          <w:rFonts w:ascii="Arial" w:cs="Arial" w:eastAsia="Arial" w:hAnsi="Arial"/>
          <w:sz w:val="12"/>
          <w:szCs w:val="12"/>
          <w:b w:val="1"/>
          <w:bCs w:val="1"/>
          <w:color w:val="auto"/>
        </w:rPr>
        <w:t>CQUISITION</w:t>
      </w:r>
    </w:p>
    <w:p>
      <w:pPr>
        <w:spacing w:after="0" w:line="18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On December 22, 2011, the Company and King Merger Inc., a newly formed, wholly-owned subsidiary of the Company (the “Merger Sub”), entered into an Agreement and Plan of Merger (the “Merger Agreement”) with KOR Electronics (“KOR”), and Shareholder Representative Services LLC, as the securityholders' representative. On December 30, 2011, the transaction closed with the Merger Sub being merged with and into KOR with KOR continuing as the surviving company and wholly-owned subsidiary of the Company (the “Merger”). By operation of the Merger, the Company acquired both KOR and its wholly-owned subsidiary, Paragon Dynamics, Inc. (“PDI”). For segment reporting, KOR and PDI are included in the MDIS business segment.</w:t>
      </w:r>
    </w:p>
    <w:p>
      <w:pPr>
        <w:spacing w:after="0" w:line="23" w:lineRule="exact"/>
        <w:rPr>
          <w:sz w:val="20"/>
          <w:szCs w:val="20"/>
          <w:color w:val="auto"/>
        </w:rPr>
      </w:pPr>
    </w:p>
    <w:p>
      <w:pPr>
        <w:jc w:val="both"/>
        <w:ind w:firstLine="432"/>
        <w:spacing w:after="0" w:line="305" w:lineRule="auto"/>
        <w:rPr>
          <w:sz w:val="20"/>
          <w:szCs w:val="20"/>
          <w:color w:val="auto"/>
        </w:rPr>
      </w:pPr>
      <w:r>
        <w:rPr>
          <w:rFonts w:ascii="Arial" w:cs="Arial" w:eastAsia="Arial" w:hAnsi="Arial"/>
          <w:sz w:val="16"/>
          <w:szCs w:val="16"/>
          <w:color w:val="auto"/>
        </w:rPr>
        <w:t>The Company acquired KOR and PDI for a net purchase price of $71,000 paid in cash. The Company funded the purchase price with cash on hand. The Company acquired KOR and PDI free of bank debt. The purchase price was subject to post-closing adjustment based on a determination of KOR's closing net working capital. In accordance with the Merger Agreement, $10,650 of the purchase price was placed into escrow to support the post-closing working capital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adjustment and the sellers' indemnification obligations. The escrow is available for indemnification claims through December 30, 2013.</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purchase price provisional amounts were adjusted based on the final fair value estimates as of the end of the December 30, 2012 measurement period. During fiscal 2013, the Company made final adjustments to accounts receivable and cost in excess of billings, other current and non current assets, deferred income taxes and goodwill by $126, $810, $(235) and $(701), respectively. Any subsequent adjustments to these fair value estimates will result in an adjustment to income. As of June 30, 2013, there have been no material adjustments to the initial fair value estimates.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LNX A</w:t>
      </w:r>
      <w:r>
        <w:rPr>
          <w:rFonts w:ascii="Arial" w:cs="Arial" w:eastAsia="Arial" w:hAnsi="Arial"/>
          <w:sz w:val="12"/>
          <w:szCs w:val="12"/>
          <w:b w:val="1"/>
          <w:bCs w:val="1"/>
          <w:color w:val="auto"/>
        </w:rPr>
        <w:t>CQUISITION</w:t>
      </w:r>
    </w:p>
    <w:p>
      <w:pPr>
        <w:spacing w:after="0" w:line="18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January 12, 2011, the Company entered into a stock purchase agreement (the “Stock Purchase Agreement”) with LNX, the holders of the equity interests of LNX, and Lamberto Raffaelli, as the sellers' representative (collectively, the “Sellers”). Pursuant to the Stock Purchase Agreement, the Company completed its purchase of all of the outstanding equity interests in LNX, and LNX became a wholly-owned subsidiary of the Company. Based in Salem, NH, LNX designs and builds next generation radio frequency receivers for signal intelligence, communication intelligence as well as electronic attack applications. LNX is included in the MCE business segment.</w:t>
      </w:r>
    </w:p>
    <w:p>
      <w:pPr>
        <w:spacing w:after="0" w:line="5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 acquired LNX for a purchase price of $31,000 paid in cash, plus an earn-out of up to $5,000 payable in cash, based upon achievement of financial targets during calendar years 2011 and 2012. The purchase price was subject to post-closing adjustment based on a determination of LNX's closing net working capital. The Company funded the purchase price with cash on hand. The Company acquired LNX free of bank debt. Immediately prior to the consummation of the acquisition, LNX divested its non-defense global procurement business. The Company determined the fair value of the earn-out contingent consideration as part of the LNX acquisition based on the probability of LNX attaining the specified financial targets and assigned a fair value of $4,828 to the liability. In accordance with the Stock Purchase Agreement, $6,200 of the purchase price was placed into escrow to support the post-closing working capital adjustment and the sellers' indemnification obligations, of which $1,523 was released to the Sellers and $27 was released to the Company in March 2011, upon the final calculation of net working capital. The remaining escrow was available for indemnification claims through August 31, 2012 upon which it was released to the Sellers.</w:t>
      </w:r>
    </w:p>
    <w:p>
      <w:pPr>
        <w:spacing w:after="0" w:line="4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of June 30, 2012, the Company determined that it was probable that the earn-out related to the LNX acquisition would not be achieved. During the fourth quarter of fiscal 2012, the Company did not receive a purchase order for long lead-time materials. Therefore, the Company no longer expected to meet the specified revenue targets for the LNX earn-out due to the long-lead time necessary to generate these revenues and determined it did not expect to pay the earn-out. As a result, the Company adjusted the fair value of the earn-out contingent consideration and recorded $4,938 as a change in fair value of the liability in June 2012. The adjustment is separately classified in the consolidated statements of operations as an offset to operating expenses. Subsequently, in fiscal 2013, the LNX earn-out window expired with no further adjustments required.</w:t>
      </w:r>
    </w:p>
    <w:p>
      <w:pPr>
        <w:spacing w:after="0" w:line="147" w:lineRule="exact"/>
        <w:rPr>
          <w:sz w:val="20"/>
          <w:szCs w:val="20"/>
          <w:color w:val="auto"/>
        </w:rPr>
      </w:pPr>
    </w:p>
    <w:p>
      <w:pPr>
        <w:ind w:left="840" w:hanging="832"/>
        <w:spacing w:after="0"/>
        <w:tabs>
          <w:tab w:leader="none" w:pos="8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8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 xml:space="preserve">The Company measures at fair value certain financial assets and liabilities, including cash equivalents, restricted cash and contingent consideration. FASB ASC 820, </w:t>
      </w:r>
      <w:r>
        <w:rPr>
          <w:rFonts w:ascii="Arial" w:cs="Arial" w:eastAsia="Arial" w:hAnsi="Arial"/>
          <w:sz w:val="17"/>
          <w:szCs w:val="17"/>
          <w:i w:val="1"/>
          <w:iCs w:val="1"/>
          <w:color w:val="auto"/>
        </w:rPr>
        <w:t>Fair Value Measurement and Disclosures</w:t>
      </w:r>
      <w:r>
        <w:rPr>
          <w:rFonts w:ascii="Arial" w:cs="Arial" w:eastAsia="Arial" w:hAnsi="Arial"/>
          <w:sz w:val="17"/>
          <w:szCs w:val="17"/>
          <w:color w:val="auto"/>
        </w:rPr>
        <w:t>,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fair-value hierarchy:</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1—Quoted prices for identical instruments in active markets;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3—Valuations derived from valuation techniques in which one or more significant inputs or significant value drivers are unobservable.</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financial assets measured at fair value on a recurring basis at June 30, 2013:</w:t>
      </w:r>
    </w:p>
    <w:p>
      <w:pPr>
        <w:spacing w:after="0" w:line="163"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2013</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U.S. Treasury bills and 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27,023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27,023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cash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39,672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39,672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carrying values of cash and cash equivalents, including U.S. Treasury bills and money market funds, accounts receivable and payable, and accrued liabilities approximate fair value due to the short-term maturities of these assets and liabilities.</w:t>
      </w:r>
    </w:p>
    <w:p>
      <w:pPr>
        <w:spacing w:after="0" w:line="3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determined the fair value of the contingent consideration related to the LNX acquisition based on the probability of LNX attaining specific financial targets using an appropriate discount rate to present value the liability. As of June 30, 2012, the Company determined that it is probable that the earn-out related to the LNX acquisition would not be achieved (see Note C). As a result, the Company adjusted the fair value of the LNX earn-out contingent consideration and recorded $(4,938) as a change in fair value in June 2012. The adjustment is separately classified on the statement of operations and is reflected as an offset to operating expenses. The following table provides a rollforward of the fair value of the contingent consideration, whose fair values were determined by Level 3 inputs: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60" w:type="dxa"/>
            <w:vAlign w:val="bottom"/>
            <w:tcBorders>
              <w:bottom w:val="single" w:sz="8" w:color="CCEEFF"/>
            </w:tcBorders>
          </w:tcPr>
          <w:p>
            <w:pPr>
              <w:spacing w:after="0"/>
              <w:rPr>
                <w:sz w:val="16"/>
                <w:szCs w:val="16"/>
                <w:color w:val="auto"/>
              </w:rPr>
            </w:pPr>
          </w:p>
        </w:tc>
        <w:tc>
          <w:tcPr>
            <w:tcW w:w="84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1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7"/>
              </w:rPr>
              <w:t>Balance at June 30,</w:t>
            </w:r>
          </w:p>
        </w:tc>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4,854</w:t>
            </w:r>
          </w:p>
        </w:tc>
      </w:tr>
      <w:tr>
        <w:trPr>
          <w:trHeight w:val="243"/>
        </w:trPr>
        <w:tc>
          <w:tcPr>
            <w:tcW w:w="9940" w:type="dxa"/>
            <w:vAlign w:val="bottom"/>
            <w:gridSpan w:val="2"/>
          </w:tcPr>
          <w:p>
            <w:pPr>
              <w:ind w:left="380"/>
              <w:spacing w:after="0"/>
              <w:rPr>
                <w:sz w:val="20"/>
                <w:szCs w:val="20"/>
                <w:color w:val="auto"/>
              </w:rPr>
            </w:pPr>
            <w:r>
              <w:rPr>
                <w:rFonts w:ascii="Arial" w:cs="Arial" w:eastAsia="Arial" w:hAnsi="Arial"/>
                <w:sz w:val="18"/>
                <w:szCs w:val="18"/>
                <w:color w:val="auto"/>
              </w:rPr>
              <w:t>Recognition of accretion expense in operating expenses</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84</w:t>
            </w:r>
          </w:p>
        </w:tc>
      </w:tr>
      <w:tr>
        <w:trPr>
          <w:trHeight w:val="27"/>
        </w:trPr>
        <w:tc>
          <w:tcPr>
            <w:tcW w:w="99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Change in the fair value of the liability related to the LNX earn-out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(4,938)</w:t>
            </w:r>
          </w:p>
        </w:tc>
      </w:tr>
      <w:tr>
        <w:trPr>
          <w:trHeight w:val="237"/>
        </w:trPr>
        <w:tc>
          <w:tcPr>
            <w:tcW w:w="1460" w:type="dxa"/>
            <w:vAlign w:val="bottom"/>
          </w:tcPr>
          <w:p>
            <w:pPr>
              <w:ind w:left="40"/>
              <w:spacing w:after="0"/>
              <w:rPr>
                <w:sz w:val="20"/>
                <w:szCs w:val="20"/>
                <w:color w:val="auto"/>
              </w:rPr>
            </w:pPr>
            <w:r>
              <w:rPr>
                <w:rFonts w:ascii="Arial" w:cs="Arial" w:eastAsia="Arial" w:hAnsi="Arial"/>
                <w:sz w:val="18"/>
                <w:szCs w:val="18"/>
                <w:color w:val="auto"/>
                <w:w w:val="87"/>
              </w:rPr>
              <w:t>Balance at June 30,</w:t>
            </w:r>
          </w:p>
        </w:tc>
        <w:tc>
          <w:tcPr>
            <w:tcW w:w="8480" w:type="dxa"/>
            <w:vAlign w:val="bottom"/>
          </w:tcPr>
          <w:p>
            <w:pPr>
              <w:ind w:left="20"/>
              <w:spacing w:after="0"/>
              <w:rPr>
                <w:sz w:val="20"/>
                <w:szCs w:val="20"/>
                <w:color w:val="auto"/>
              </w:rPr>
            </w:pPr>
            <w:r>
              <w:rPr>
                <w:rFonts w:ascii="Arial" w:cs="Arial" w:eastAsia="Arial" w:hAnsi="Arial"/>
                <w:sz w:val="18"/>
                <w:szCs w:val="18"/>
                <w:color w:val="auto"/>
              </w:rPr>
              <w:t>2012 and 2013</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1460" w:type="dxa"/>
            <w:vAlign w:val="bottom"/>
          </w:tcPr>
          <w:p>
            <w:pPr>
              <w:spacing w:after="0"/>
              <w:rPr>
                <w:sz w:val="2"/>
                <w:szCs w:val="2"/>
                <w:color w:val="auto"/>
              </w:rPr>
            </w:pPr>
          </w:p>
        </w:tc>
        <w:tc>
          <w:tcPr>
            <w:tcW w:w="8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146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financial assets measured at fair value on a recurring basis at June 30, 2012:</w:t>
      </w:r>
    </w:p>
    <w:p>
      <w:pPr>
        <w:spacing w:after="0" w:line="379"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2012</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U.S. Treasury bills and 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97,049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97,049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cash</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18,915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3,281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3,281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119,245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119,245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E.</w:t>
            </w:r>
          </w:p>
        </w:tc>
        <w:tc>
          <w:tcPr>
            <w:tcW w:w="8060" w:type="dxa"/>
            <w:vAlign w:val="bottom"/>
          </w:tcPr>
          <w:p>
            <w:pPr>
              <w:ind w:left="540"/>
              <w:spacing w:after="0"/>
              <w:rPr>
                <w:sz w:val="20"/>
                <w:szCs w:val="20"/>
                <w:color w:val="auto"/>
              </w:rPr>
            </w:pPr>
            <w:r>
              <w:rPr>
                <w:rFonts w:ascii="Arial" w:cs="Arial" w:eastAsia="Arial" w:hAnsi="Arial"/>
                <w:sz w:val="18"/>
                <w:szCs w:val="18"/>
                <w:b w:val="1"/>
                <w:bCs w:val="1"/>
                <w:color w:val="auto"/>
              </w:rPr>
              <w:t>Inventory</w:t>
            </w: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92"/>
        </w:trPr>
        <w:tc>
          <w:tcPr>
            <w:tcW w:w="280" w:type="dxa"/>
            <w:vAlign w:val="bottom"/>
          </w:tcPr>
          <w:p>
            <w:pPr>
              <w:spacing w:after="0"/>
              <w:rPr>
                <w:sz w:val="24"/>
                <w:szCs w:val="24"/>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Inventory was comprised of the following:</w:t>
            </w: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2"/>
        </w:trPr>
        <w:tc>
          <w:tcPr>
            <w:tcW w:w="28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24"/>
                <w:szCs w:val="24"/>
                <w:color w:val="auto"/>
              </w:rPr>
            </w:pPr>
          </w:p>
        </w:tc>
      </w:tr>
      <w:tr>
        <w:trPr>
          <w:trHeight w:val="264"/>
        </w:trPr>
        <w:tc>
          <w:tcPr>
            <w:tcW w:w="280" w:type="dxa"/>
            <w:vAlign w:val="bottom"/>
            <w:tcBorders>
              <w:bottom w:val="single" w:sz="8" w:color="CCEEFF"/>
            </w:tcBorders>
          </w:tcPr>
          <w:p>
            <w:pPr>
              <w:spacing w:after="0"/>
              <w:rPr>
                <w:sz w:val="22"/>
                <w:szCs w:val="22"/>
                <w:color w:val="auto"/>
              </w:rPr>
            </w:pPr>
          </w:p>
        </w:tc>
        <w:tc>
          <w:tcPr>
            <w:tcW w:w="80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7"/>
              </w:rPr>
              <w:t>17,512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11,246</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Work in process</w:t>
            </w:r>
          </w:p>
        </w:tc>
        <w:tc>
          <w:tcPr>
            <w:tcW w:w="90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w w:val="87"/>
              </w:rPr>
              <w:t>13,432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8,979</w:t>
            </w:r>
          </w:p>
        </w:tc>
      </w:tr>
      <w:tr>
        <w:trPr>
          <w:trHeight w:val="27"/>
        </w:trPr>
        <w:tc>
          <w:tcPr>
            <w:tcW w:w="834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6,488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5,620</w:t>
            </w:r>
          </w:p>
        </w:tc>
      </w:tr>
      <w:tr>
        <w:trPr>
          <w:trHeight w:val="237"/>
        </w:trPr>
        <w:tc>
          <w:tcPr>
            <w:tcW w:w="280" w:type="dxa"/>
            <w:vAlign w:val="bottom"/>
          </w:tcPr>
          <w:p>
            <w:pPr>
              <w:spacing w:after="0"/>
              <w:rPr>
                <w:sz w:val="20"/>
                <w:szCs w:val="20"/>
                <w:color w:val="auto"/>
              </w:rPr>
            </w:pPr>
          </w:p>
        </w:tc>
        <w:tc>
          <w:tcPr>
            <w:tcW w:w="8060" w:type="dxa"/>
            <w:vAlign w:val="bottom"/>
          </w:tcPr>
          <w:p>
            <w:pPr>
              <w:ind w:left="10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87"/>
              </w:rPr>
              <w:t>37,432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25,845</w:t>
            </w:r>
          </w:p>
        </w:tc>
      </w:tr>
      <w:tr>
        <w:trPr>
          <w:trHeight w:val="27"/>
        </w:trPr>
        <w:tc>
          <w:tcPr>
            <w:tcW w:w="2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28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$11,587 increase in inventory was primarily due to the inclusion of inventory from the Micronetics acquisition and inventory purchased in fiscal 2013 related to last time buys of inventories nearing the end of their production life to be able to support certain products and the related customers into the foreseeable future. There are no amounts in inventory relating to contracts having production cycles longer than one year.</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F.</w:t>
            </w:r>
          </w:p>
        </w:tc>
        <w:tc>
          <w:tcPr>
            <w:tcW w:w="4740" w:type="dxa"/>
            <w:vAlign w:val="bottom"/>
          </w:tcPr>
          <w:p>
            <w:pPr>
              <w:ind w:left="500"/>
              <w:spacing w:after="0"/>
              <w:rPr>
                <w:sz w:val="20"/>
                <w:szCs w:val="20"/>
                <w:color w:val="auto"/>
              </w:rPr>
            </w:pPr>
            <w:r>
              <w:rPr>
                <w:rFonts w:ascii="Arial" w:cs="Arial" w:eastAsia="Arial" w:hAnsi="Arial"/>
                <w:sz w:val="18"/>
                <w:szCs w:val="18"/>
                <w:b w:val="1"/>
                <w:bCs w:val="1"/>
                <w:color w:val="auto"/>
              </w:rPr>
              <w:t>Property and Equipment</w:t>
            </w: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Property and equipment consisted of the following:</w:t>
            </w: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Estimated Useful Lives</w:t>
            </w:r>
          </w:p>
        </w:tc>
        <w:tc>
          <w:tcPr>
            <w:tcW w:w="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300" w:type="dxa"/>
            <w:vAlign w:val="bottom"/>
          </w:tcPr>
          <w:p>
            <w:pPr>
              <w:spacing w:after="0"/>
              <w:rPr>
                <w:sz w:val="6"/>
                <w:szCs w:val="6"/>
                <w:color w:val="auto"/>
              </w:rPr>
            </w:pPr>
          </w:p>
        </w:tc>
        <w:tc>
          <w:tcPr>
            <w:tcW w:w="4740" w:type="dxa"/>
            <w:vAlign w:val="bottom"/>
          </w:tcPr>
          <w:p>
            <w:pPr>
              <w:spacing w:after="0"/>
              <w:rPr>
                <w:sz w:val="6"/>
                <w:szCs w:val="6"/>
                <w:color w:val="auto"/>
              </w:rPr>
            </w:pPr>
          </w:p>
        </w:tc>
        <w:tc>
          <w:tcPr>
            <w:tcW w:w="29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08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28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53,403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51,372</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Furniture and fixtures</w:t>
            </w:r>
          </w:p>
        </w:tc>
        <w:tc>
          <w:tcPr>
            <w:tcW w:w="28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7,232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7,110</w:t>
            </w:r>
          </w:p>
        </w:tc>
        <w:tc>
          <w:tcPr>
            <w:tcW w:w="0" w:type="dxa"/>
            <w:vAlign w:val="bottom"/>
          </w:tcPr>
          <w:p>
            <w:pPr>
              <w:spacing w:after="0"/>
              <w:rPr>
                <w:sz w:val="1"/>
                <w:szCs w:val="1"/>
                <w:color w:val="auto"/>
              </w:rPr>
            </w:pPr>
          </w:p>
        </w:tc>
      </w:tr>
      <w:tr>
        <w:trPr>
          <w:trHeight w:val="27"/>
        </w:trPr>
        <w:tc>
          <w:tcPr>
            <w:tcW w:w="5040" w:type="dxa"/>
            <w:vAlign w:val="bottom"/>
            <w:gridSpan w:val="2"/>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Building and leasehold improvements</w:t>
            </w:r>
          </w:p>
        </w:tc>
        <w:tc>
          <w:tcPr>
            <w:tcW w:w="2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lesser of estimated useful life or lease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bottom w:val="single" w:sz="8" w:color="CCEEFF"/>
            </w:tcBorders>
            <w:shd w:val="clear" w:color="auto" w:fill="CCEEFF"/>
          </w:tcPr>
          <w:p>
            <w:pPr>
              <w:spacing w:after="0"/>
              <w:rPr>
                <w:sz w:val="20"/>
                <w:szCs w:val="20"/>
                <w:color w:val="auto"/>
              </w:rPr>
            </w:pPr>
          </w:p>
        </w:tc>
        <w:tc>
          <w:tcPr>
            <w:tcW w:w="4740" w:type="dxa"/>
            <w:vAlign w:val="bottom"/>
            <w:tcBorders>
              <w:bottom w:val="single" w:sz="8" w:color="CCEEFF"/>
            </w:tcBorders>
            <w:shd w:val="clear" w:color="auto" w:fill="CCEEFF"/>
          </w:tcPr>
          <w:p>
            <w:pPr>
              <w:spacing w:after="0"/>
              <w:rPr>
                <w:sz w:val="20"/>
                <w:szCs w:val="20"/>
                <w:color w:val="auto"/>
              </w:rPr>
            </w:pPr>
          </w:p>
        </w:tc>
        <w:tc>
          <w:tcPr>
            <w:tcW w:w="2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term</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2,900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Machinery and equipment</w:t>
            </w:r>
          </w:p>
        </w:tc>
        <w:tc>
          <w:tcPr>
            <w:tcW w:w="28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11,201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7,838</w:t>
            </w:r>
          </w:p>
        </w:tc>
        <w:tc>
          <w:tcPr>
            <w:tcW w:w="0" w:type="dxa"/>
            <w:vAlign w:val="bottom"/>
          </w:tcPr>
          <w:p>
            <w:pPr>
              <w:spacing w:after="0"/>
              <w:rPr>
                <w:sz w:val="1"/>
                <w:szCs w:val="1"/>
                <w:color w:val="auto"/>
              </w:rPr>
            </w:pPr>
          </w:p>
        </w:tc>
      </w:tr>
      <w:tr>
        <w:trPr>
          <w:trHeight w:val="27"/>
        </w:trPr>
        <w:tc>
          <w:tcPr>
            <w:tcW w:w="5040" w:type="dxa"/>
            <w:vAlign w:val="bottom"/>
            <w:gridSpan w:val="2"/>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Vehicles</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74,824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68,721</w:t>
            </w:r>
          </w:p>
        </w:tc>
        <w:tc>
          <w:tcPr>
            <w:tcW w:w="0" w:type="dxa"/>
            <w:vAlign w:val="bottom"/>
          </w:tcPr>
          <w:p>
            <w:pPr>
              <w:spacing w:after="0"/>
              <w:rPr>
                <w:sz w:val="1"/>
                <w:szCs w:val="1"/>
                <w:color w:val="auto"/>
              </w:rPr>
            </w:pPr>
          </w:p>
        </w:tc>
      </w:tr>
      <w:tr>
        <w:trPr>
          <w:trHeight w:val="27"/>
        </w:trPr>
        <w:tc>
          <w:tcPr>
            <w:tcW w:w="5040" w:type="dxa"/>
            <w:vAlign w:val="bottom"/>
            <w:gridSpan w:val="2"/>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(59,805)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(52,792)</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15,019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15,929</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fiscal 2013 and 2012, the Company retired $1,199 and $2,058, respectively, of fully depreciated computer equipment and software assets that were no longer in use by the Company. The retirement was part of an on-going effort by the Company to review and identify all assets that are still in use by the Company, and to retire those that are not.</w:t>
      </w:r>
    </w:p>
    <w:p>
      <w:pPr>
        <w:spacing w:after="0" w:line="4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Depreciation and amortization expense related to property and equipment for the fiscal years ended June 30, 2013, 2012 and 2011 was $8,492, $7,859 and $6,364, respectively.</w:t>
      </w:r>
    </w:p>
    <w:p>
      <w:pPr>
        <w:spacing w:after="0" w:line="3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On June 27, 2013, the Company entered into a sales agreement and a separate short-term lease agreement in connection with the Company’s Hudson, NH, facility. Pursuant to the sale agreement, the Company sold all land, land improvements, buildings and building improvements related to the facility. The loss on the sale of the facility was approximately $1,091 and is recorded in restructuring and other charges in the accompanying consolidated statement of operations. The Company is temporarily leasing back the facility through February 2014.</w:t>
      </w:r>
    </w:p>
    <w:p>
      <w:pPr>
        <w:spacing w:after="0" w:line="3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April 20, 2007, the Company entered into a sales agreement and a lease agreement in connection with a sale-leaseback of the Company’s headquarters in Chelmsford, Massachusetts. Pursuant to the agreements, the Company sold all land, land improvements, buildings and building improvements related to the facilities and leased back those assets. The term of the lease is ten years and includes two five year options to renew. Under the provisions of sale-leaseback accounting, the transaction was considered a normal leaseback; thus the realized gain of $11,569 was deferred and will be amortized to other income on a straight-line basis over the initial lease term.</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unamortized deferred gain consisted of the following of which the current portion is included in accrued expenses and the non-current portion is separately classified in the accompanying consolidated balance sheets: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1,157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Non-current portion</w:t>
            </w:r>
          </w:p>
        </w:tc>
        <w:tc>
          <w:tcPr>
            <w:tcW w:w="94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3,242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4,399</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unamortized deferred gain</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4,399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5,556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840" w:hanging="832"/>
        <w:spacing w:after="0"/>
        <w:tabs>
          <w:tab w:leader="none" w:pos="8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8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following table sets forth the changes in the carrying amount of goodwill prior to the internal reorganization for the six months ended December 31, 2012: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ACS</w:t>
            </w:r>
          </w:p>
        </w:tc>
        <w:tc>
          <w:tcPr>
            <w:tcW w:w="34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MFS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79,558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Goodwill arising from the KOR acquisition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33,913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19,150</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53,063</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2012</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113,471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19,150</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132,621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Goodwill arising from the Micronetics acquisition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46,509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46,509</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adjustment for the KOR acquisition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Balance at December 31, 2012</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159,279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19,150</w:t>
            </w:r>
          </w:p>
        </w:tc>
        <w:tc>
          <w:tcPr>
            <w:tcW w:w="14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178,429</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goodwill adjustment for the KOR acquisition is the result of changes in fair value estimates derived from additional information obtained during the measurement period which ended December 30, 2012.</w:t>
      </w:r>
    </w:p>
    <w:p>
      <w:pPr>
        <w:spacing w:after="0" w:line="3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Following a series of acquisitions that expanded the Company’s capabilities, the Company initiated a reorganization to group its product and service offerings in order to align itself with the way management currently manages its business. The following reporting units were determined based upon the nature of the products offered to customers and the market characteristics of each reporting unit: MCE, MDS and MIS. As defined by FASB ASC 350 —“Intangibles—Goodwill and Other” “FASB ASC 350”, goodwill is tested on an interim basis at the occurrence of certain triggering events. Events affecting reporting units such as a change in the composition or carrying amount of its net assets constitute a triggering event and require interim testing of goodwill. The Company performed interim testing on the ACS and MFS reporting units prior to the reorganization.</w:t>
      </w:r>
    </w:p>
    <w:p>
      <w:pPr>
        <w:spacing w:after="0" w:line="43"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Company determined the fair values of the ACS and MFS reporting units as of January 1, 2013. Consistent with prior years, the valuation was based upon a discounted cash flow analysis and corroborated by two market-based analyses: one comparing the trading multiples of public companies in similar lines of business and another based on exchange prices in actual business combinations. The results of the Company’s step one interim goodwill impairment test indicated that the fair values of both the ACS and MFS reporting units were in excess of its book values. As such, step two of the goodwill impairment testing was not required and no impairment charge was recorded. The Company acknowledges that the assumptions used during its fair value analysis are subject to management judgment and have a direct impact to the valuation results. The discount rate utilized in the discounted cash flow analysis was increased from historical measures due to the current economic uncertainty in the defense industry, including current government fiscal year federal budget sequestration and the potential for a continuing budget resolution for the next government fiscal year. The Company’s updated financial projections were used in the discounted cash flow analysis in consideration of current economic factors. The Company believes that the assumptions and projections used in its analyses for ACS and MFS were reasonable; however, using different assumptions could lead to different results. For example, a 1% increase in the discount rate used in the discounted cash flow analysis of the ACS reporting unit, would have resulted in the failure of the step one interim goodwill impairment test.</w:t>
      </w:r>
    </w:p>
    <w:p>
      <w:pPr>
        <w:spacing w:after="0" w:line="4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reviewed its analysis of its internally reorganized business in order to determine its reporting units in accordance with FASB ASC 350. A reporting unit is considered to be an operating segment or one level below an operating segment also known as a component. The Company’s operating segments subsequent to the internal reorganization are MCE, MDS and MIS.</w:t>
      </w:r>
    </w:p>
    <w:p>
      <w:pPr>
        <w:spacing w:after="0" w:line="4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MCE has three components with discrete financial information available which are reviewed by their segment manager; however, those three components are economically similar in nature and thus have been aggregated into a single reporting unit at the operating segment level. MDS and MIS each have sole components and the reporting units are at the operating segment level.</w:t>
      </w:r>
    </w:p>
    <w:p>
      <w:pPr>
        <w:spacing w:after="0" w:line="4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allocated the total carrying value of goodwill to each of the new reporting units based on the relative fair value of the reporting units calculated using a discounted cash flow analysis and in accordance with FASB ASC 350. There was no impairment of goodwill indicated subsequent to the allocation.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51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560" w:type="dxa"/>
            <w:vAlign w:val="bottom"/>
            <w:gridSpan w:val="8"/>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80"/>
        </w:trPr>
        <w:tc>
          <w:tcPr>
            <w:tcW w:w="8840" w:type="dxa"/>
            <w:vAlign w:val="bottom"/>
            <w:gridSpan w:val="9"/>
          </w:tcPr>
          <w:p>
            <w:pPr>
              <w:ind w:left="420"/>
              <w:spacing w:after="0"/>
              <w:rPr>
                <w:sz w:val="20"/>
                <w:szCs w:val="20"/>
                <w:color w:val="auto"/>
              </w:rPr>
            </w:pPr>
            <w:r>
              <w:rPr>
                <w:rFonts w:ascii="Arial" w:cs="Arial" w:eastAsia="Arial" w:hAnsi="Arial"/>
                <w:sz w:val="18"/>
                <w:szCs w:val="18"/>
                <w:color w:val="auto"/>
                <w:w w:val="91"/>
              </w:rPr>
              <w:t>The following table summarizes the changes in goodwill for the six months ended June 30, 2013, after reallocation:</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b w:val="1"/>
                <w:bCs w:val="1"/>
                <w:color w:val="auto"/>
              </w:rPr>
              <w:t>MCE</w:t>
            </w:r>
          </w:p>
        </w:tc>
        <w:tc>
          <w:tcPr>
            <w:tcW w:w="340" w:type="dxa"/>
            <w:vAlign w:val="bottom"/>
          </w:tcPr>
          <w:p>
            <w:pPr>
              <w:spacing w:after="0"/>
              <w:rPr>
                <w:sz w:val="24"/>
                <w:szCs w:val="24"/>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MDS</w:t>
            </w:r>
          </w:p>
        </w:tc>
        <w:tc>
          <w:tcPr>
            <w:tcW w:w="480" w:type="dxa"/>
            <w:vAlign w:val="bottom"/>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MIS</w:t>
            </w:r>
          </w:p>
        </w:tc>
        <w:tc>
          <w:tcPr>
            <w:tcW w:w="340" w:type="dxa"/>
            <w:vAlign w:val="bottom"/>
          </w:tcPr>
          <w:p>
            <w:pPr>
              <w:spacing w:after="0"/>
              <w:rPr>
                <w:sz w:val="24"/>
                <w:szCs w:val="24"/>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128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January 1, 2013</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135,691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178,429</w:t>
            </w:r>
          </w:p>
        </w:tc>
      </w:tr>
      <w:tr>
        <w:trPr>
          <w:trHeight w:val="229"/>
        </w:trPr>
        <w:tc>
          <w:tcPr>
            <w:tcW w:w="5160" w:type="dxa"/>
            <w:vAlign w:val="bottom"/>
            <w:gridSpan w:val="2"/>
          </w:tcPr>
          <w:p>
            <w:pPr>
              <w:ind w:left="40"/>
              <w:spacing w:after="0"/>
              <w:rPr>
                <w:sz w:val="20"/>
                <w:szCs w:val="20"/>
                <w:color w:val="auto"/>
              </w:rPr>
            </w:pPr>
            <w:r>
              <w:rPr>
                <w:rFonts w:ascii="Arial" w:cs="Arial" w:eastAsia="Arial" w:hAnsi="Arial"/>
                <w:sz w:val="18"/>
                <w:szCs w:val="18"/>
                <w:color w:val="auto"/>
                <w:w w:val="95"/>
              </w:rPr>
              <w:t>Subsequent recognition of deferred tax assets from the Micronetics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acquisition</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7"/>
        </w:trPr>
        <w:tc>
          <w:tcPr>
            <w:tcW w:w="12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Subsequent decrease of deferred tax liabilities from the Micronetics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Other goodwill adjustments from the Micronetics acquisition</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(1,118)</w:t>
            </w:r>
          </w:p>
        </w:tc>
      </w:tr>
      <w:tr>
        <w:trPr>
          <w:trHeight w:val="27"/>
        </w:trPr>
        <w:tc>
          <w:tcPr>
            <w:tcW w:w="128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June 30, 2013</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133,783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33,768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176,521</w:t>
            </w:r>
          </w:p>
        </w:tc>
      </w:tr>
      <w:tr>
        <w:trPr>
          <w:trHeight w:val="20"/>
        </w:trPr>
        <w:tc>
          <w:tcPr>
            <w:tcW w:w="12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 performs its annual goodwill impairment test in the fourth quarter of each fiscal year. The Company follows FASB ASC 350 to determine whether the fair value of a reporting unit is less than its carrying amount. As of June 30, 2013, MCE, MDS, and MIS had goodwill balances; as such, the annual impairment analysis was performed for each reporting unit in the fourth quarter of fiscal 2013. The valuation was based upon a discounted cash flow analysis and corroborated by two market-based analyses: one comparing the trading multiples of public companies in similar lines of business and another based on exchange prices in actual business combinations. The results of the Company's step one interim goodwill impairment test indicated that the fair values of the MCE, MDS and MIS reporting units were in excess of its book values. As such, no impairment charge was recorded for fiscal 2013.</w:t>
      </w:r>
    </w:p>
    <w:p>
      <w:pPr>
        <w:spacing w:after="0" w:line="11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also evaluated its market capitalization as of June 30, 2013 which approximated the fair value of the Company at that time when considering an appropriate control premium. The Company's market capitalization and stock price have steadily increased since the third quarter of fiscal 2013 providing objective evidence that the previous decline in these metrics were temporary and the decline of its market capitalization to be a temporary reaction to the uncertainty that federal budget sequestration was having on the defense industry. The projections used by the Company in determining the fair values of its reporting units did not include cash flows from any recent cancellations of any key defense programs in which it participates. While the Company has seen delays in certain programs, it believes these delays are temporary. Furthermore, the Company believes a short term decline in its market capitalization is not indicative of a permanent trend.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H.</w:t>
            </w:r>
          </w:p>
        </w:tc>
        <w:tc>
          <w:tcPr>
            <w:tcW w:w="4420" w:type="dxa"/>
            <w:vAlign w:val="bottom"/>
          </w:tcPr>
          <w:p>
            <w:pPr>
              <w:ind w:left="100"/>
              <w:spacing w:after="0"/>
              <w:rPr>
                <w:sz w:val="20"/>
                <w:szCs w:val="20"/>
                <w:color w:val="auto"/>
              </w:rPr>
            </w:pPr>
            <w:r>
              <w:rPr>
                <w:rFonts w:ascii="Arial" w:cs="Arial" w:eastAsia="Arial" w:hAnsi="Arial"/>
                <w:sz w:val="18"/>
                <w:szCs w:val="18"/>
                <w:b w:val="1"/>
                <w:bCs w:val="1"/>
                <w:color w:val="auto"/>
              </w:rPr>
              <w:t>Acquired Intangible Assets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160" w:type="dxa"/>
            <w:vAlign w:val="bottom"/>
            <w:gridSpan w:val="2"/>
          </w:tcPr>
          <w:p>
            <w:pPr>
              <w:ind w:left="440"/>
              <w:spacing w:after="0"/>
              <w:rPr>
                <w:sz w:val="20"/>
                <w:szCs w:val="20"/>
                <w:color w:val="auto"/>
              </w:rPr>
            </w:pPr>
            <w:r>
              <w:rPr>
                <w:rFonts w:ascii="Arial" w:cs="Arial" w:eastAsia="Arial" w:hAnsi="Arial"/>
                <w:sz w:val="18"/>
                <w:szCs w:val="18"/>
                <w:color w:val="auto"/>
              </w:rPr>
              <w:t>Acquired intangible assets consisted of the following:</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right="213"/>
              <w:spacing w:after="0" w:line="14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Useful</w:t>
            </w:r>
          </w:p>
        </w:tc>
        <w:tc>
          <w:tcPr>
            <w:tcW w:w="0" w:type="dxa"/>
            <w:vAlign w:val="bottom"/>
          </w:tcPr>
          <w:p>
            <w:pPr>
              <w:spacing w:after="0"/>
              <w:rPr>
                <w:sz w:val="1"/>
                <w:szCs w:val="1"/>
                <w:color w:val="auto"/>
              </w:rPr>
            </w:pPr>
          </w:p>
        </w:tc>
      </w:tr>
      <w:tr>
        <w:trPr>
          <w:trHeight w:val="192"/>
        </w:trPr>
        <w:tc>
          <w:tcPr>
            <w:tcW w:w="7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6"/>
                <w:szCs w:val="16"/>
                <w:color w:val="auto"/>
              </w:rPr>
            </w:pPr>
          </w:p>
        </w:tc>
        <w:tc>
          <w:tcPr>
            <w:tcW w:w="1180" w:type="dxa"/>
            <w:vAlign w:val="bottom"/>
          </w:tcPr>
          <w:p>
            <w:pPr>
              <w:jc w:val="center"/>
              <w:ind w:right="193"/>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June 30, 2013</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36,570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(7,187)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29,383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 years</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Licensing agreements and patents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 years</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Completed technologies</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5,570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3,486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 years</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years</w:t>
            </w:r>
          </w:p>
        </w:tc>
        <w:tc>
          <w:tcPr>
            <w:tcW w:w="0" w:type="dxa"/>
            <w:vAlign w:val="bottom"/>
          </w:tcPr>
          <w:p>
            <w:pPr>
              <w:spacing w:after="0"/>
              <w:rPr>
                <w:sz w:val="1"/>
                <w:szCs w:val="1"/>
                <w:color w:val="auto"/>
              </w:rPr>
            </w:pPr>
          </w:p>
        </w:tc>
      </w:tr>
      <w:tr>
        <w:trPr>
          <w:trHeight w:val="243"/>
        </w:trPr>
        <w:tc>
          <w:tcPr>
            <w:tcW w:w="740" w:type="dxa"/>
            <w:vAlign w:val="bottom"/>
          </w:tcPr>
          <w:p>
            <w:pPr>
              <w:ind w:left="40"/>
              <w:spacing w:after="0"/>
              <w:rPr>
                <w:sz w:val="20"/>
                <w:szCs w:val="20"/>
                <w:color w:val="auto"/>
              </w:rPr>
            </w:pPr>
            <w:r>
              <w:rPr>
                <w:rFonts w:ascii="Arial" w:cs="Arial" w:eastAsia="Arial" w:hAnsi="Arial"/>
                <w:sz w:val="18"/>
                <w:szCs w:val="18"/>
                <w:color w:val="auto"/>
              </w:rPr>
              <w:t>Backlog</w:t>
            </w:r>
          </w:p>
        </w:tc>
        <w:tc>
          <w:tcPr>
            <w:tcW w:w="4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 year</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years</w:t>
            </w:r>
          </w:p>
        </w:tc>
        <w:tc>
          <w:tcPr>
            <w:tcW w:w="0" w:type="dxa"/>
            <w:vAlign w:val="bottom"/>
          </w:tcPr>
          <w:p>
            <w:pPr>
              <w:spacing w:after="0"/>
              <w:rPr>
                <w:sz w:val="1"/>
                <w:szCs w:val="1"/>
                <w:color w:val="auto"/>
              </w:rPr>
            </w:pPr>
          </w:p>
        </w:tc>
      </w:tr>
      <w:tr>
        <w:trPr>
          <w:trHeight w:val="237"/>
        </w:trPr>
        <w:tc>
          <w:tcPr>
            <w:tcW w:w="7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48,726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(13,860)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34,866</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gridSpan w:val="2"/>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June 30, 2012</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26,770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(9,217)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17,553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 years</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Licensing agreements and patents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years</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Completed technologies</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5,570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4,563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 years</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years</w:t>
            </w:r>
          </w:p>
        </w:tc>
        <w:tc>
          <w:tcPr>
            <w:tcW w:w="0" w:type="dxa"/>
            <w:vAlign w:val="bottom"/>
          </w:tcPr>
          <w:p>
            <w:pPr>
              <w:spacing w:after="0"/>
              <w:rPr>
                <w:sz w:val="1"/>
                <w:szCs w:val="1"/>
                <w:color w:val="auto"/>
              </w:rPr>
            </w:pPr>
          </w:p>
        </w:tc>
      </w:tr>
      <w:tr>
        <w:trPr>
          <w:trHeight w:val="243"/>
        </w:trPr>
        <w:tc>
          <w:tcPr>
            <w:tcW w:w="740" w:type="dxa"/>
            <w:vAlign w:val="bottom"/>
          </w:tcPr>
          <w:p>
            <w:pPr>
              <w:ind w:left="40"/>
              <w:spacing w:after="0"/>
              <w:rPr>
                <w:sz w:val="20"/>
                <w:szCs w:val="20"/>
                <w:color w:val="auto"/>
              </w:rPr>
            </w:pPr>
            <w:r>
              <w:rPr>
                <w:rFonts w:ascii="Arial" w:cs="Arial" w:eastAsia="Arial" w:hAnsi="Arial"/>
                <w:sz w:val="18"/>
                <w:szCs w:val="18"/>
                <w:color w:val="auto"/>
              </w:rPr>
              <w:t>Backlog</w:t>
            </w:r>
          </w:p>
        </w:tc>
        <w:tc>
          <w:tcPr>
            <w:tcW w:w="4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 years</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years</w:t>
            </w:r>
          </w:p>
        </w:tc>
        <w:tc>
          <w:tcPr>
            <w:tcW w:w="0" w:type="dxa"/>
            <w:vAlign w:val="bottom"/>
          </w:tcPr>
          <w:p>
            <w:pPr>
              <w:spacing w:after="0"/>
              <w:rPr>
                <w:sz w:val="1"/>
                <w:szCs w:val="1"/>
                <w:color w:val="auto"/>
              </w:rPr>
            </w:pPr>
          </w:p>
        </w:tc>
      </w:tr>
      <w:tr>
        <w:trPr>
          <w:trHeight w:val="237"/>
        </w:trPr>
        <w:tc>
          <w:tcPr>
            <w:tcW w:w="7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38,725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(13,642)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25,083</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3"/>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40"/>
              <w:spacing w:after="0"/>
              <w:rPr>
                <w:sz w:val="20"/>
                <w:szCs w:val="20"/>
                <w:color w:val="auto"/>
              </w:rPr>
            </w:pPr>
            <w:r>
              <w:rPr>
                <w:rFonts w:ascii="Arial" w:cs="Arial" w:eastAsia="Arial" w:hAnsi="Arial"/>
                <w:sz w:val="18"/>
                <w:szCs w:val="18"/>
                <w:color w:val="auto"/>
              </w:rPr>
              <w:t>Estimated future amortization expense for acquired intangible assets remaining at June 30, 2013 is as follows: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8"/>
        </w:trPr>
        <w:tc>
          <w:tcPr>
            <w:tcW w:w="9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274"/>
              <w:spacing w:after="0"/>
              <w:rPr>
                <w:sz w:val="20"/>
                <w:szCs w:val="20"/>
                <w:color w:val="auto"/>
              </w:rPr>
            </w:pPr>
            <w:r>
              <w:rPr>
                <w:rFonts w:ascii="Arial" w:cs="Arial" w:eastAsia="Arial" w:hAnsi="Arial"/>
                <w:sz w:val="14"/>
                <w:szCs w:val="14"/>
                <w:b w:val="1"/>
                <w:bCs w:val="1"/>
                <w:color w:val="auto"/>
              </w:rPr>
              <w:t>Year Ending</w:t>
            </w:r>
          </w:p>
        </w:tc>
      </w:tr>
      <w:tr>
        <w:trPr>
          <w:trHeight w:val="192"/>
        </w:trPr>
        <w:tc>
          <w:tcPr>
            <w:tcW w:w="99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June 30,</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7,797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7,503</w:t>
            </w:r>
          </w:p>
        </w:tc>
      </w:tr>
      <w:tr>
        <w:trPr>
          <w:trHeight w:val="27"/>
        </w:trPr>
        <w:tc>
          <w:tcPr>
            <w:tcW w:w="9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7,018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5,537</w:t>
            </w:r>
          </w:p>
        </w:tc>
      </w:tr>
      <w:tr>
        <w:trPr>
          <w:trHeight w:val="27"/>
        </w:trPr>
        <w:tc>
          <w:tcPr>
            <w:tcW w:w="9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4,799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2,212</w:t>
            </w:r>
          </w:p>
        </w:tc>
      </w:tr>
      <w:tr>
        <w:trPr>
          <w:trHeight w:val="27"/>
        </w:trPr>
        <w:tc>
          <w:tcPr>
            <w:tcW w:w="9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amortization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34,866</w:t>
            </w:r>
          </w:p>
        </w:tc>
      </w:tr>
      <w:tr>
        <w:trPr>
          <w:trHeight w:val="20"/>
        </w:trPr>
        <w:tc>
          <w:tcPr>
            <w:tcW w:w="9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preliminary estimated fair value of acquired intangible assets arising as a result of the Micronetics acquisition.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assets are included in the Company’s gross and net carrying amounts as of June 30, 2013.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Useful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6"/>
                <w:szCs w:val="16"/>
                <w:color w:val="auto"/>
              </w:rPr>
            </w:pPr>
          </w:p>
        </w:tc>
        <w:tc>
          <w:tcPr>
            <w:tcW w:w="1180" w:type="dxa"/>
            <w:vAlign w:val="bottom"/>
          </w:tcPr>
          <w:p>
            <w:pPr>
              <w:jc w:val="center"/>
              <w:ind w:right="199"/>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17,000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14,456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years</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Backlog</w:t>
            </w:r>
          </w:p>
        </w:tc>
        <w:tc>
          <w:tcPr>
            <w:tcW w:w="28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 year</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18,500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14,609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years</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780" w:hanging="772"/>
        <w:spacing w:after="0"/>
        <w:tabs>
          <w:tab w:leader="none" w:pos="7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Plan</w:t>
      </w:r>
    </w:p>
    <w:p>
      <w:pPr>
        <w:spacing w:after="0" w:line="18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the first quarter of fiscal 2013, the Company announced a restructuring plan (“2013 Plan”). The 2013 Plan was implemented to cope with reduced defense revenues and the near term uncertainties in the defense industry driven by the potential for defense budget sequestration. The 2013 Plan primarily consisted of involuntary separation costs related to the reduction in force which eliminated 142 positions largely in engineering, manufacturing and administrative functions, as well as reductions associated with the first phase of integration of Micronetics. The 2013 Plan's restructuring expenses affect the MCE reportable segment. Future restructuring expenses are expected to be immaterial.</w:t>
      </w:r>
    </w:p>
    <w:p>
      <w:pPr>
        <w:spacing w:after="0" w:line="11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the fourth quarter of fiscal 2013, the Company initiated a second restructuring plan primarily affecting the MCE reportable segment. In the fourth quarter of fiscal 2013, as a result of the integration activities surrounding our recent acquisitions, the Company eliminated 17 positions, primarily in operations, and incurred facility costs related to the loss on the sale of the Company's Hudson, NH facility of approximately $1,109. Restructuring expenses of $7,056 were recognized for the year ended June 30, 2013. Future restructuring expenses are expected to be immaterial.</w:t>
      </w:r>
    </w:p>
    <w:p>
      <w:pPr>
        <w:spacing w:after="0" w:line="3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fiscal 2012, the Company announced a restructuring plan (“2012 Plan”) affecting both the MCE and MDIS reportable segments. The 2012 Plan primarily consisted of involuntary separation costs related to the reduction in force which eliminated 41 positions largely in engineering and manufacturing functions and facility costs related to outsourcing of certain manufacturing activities at the Company’s Huntsville, Alabama site. The 2012 Plan for which expense of $2,821 was recorded in fiscal 2012 was implemented to cope with the near term uncertainties in the defense industry and improve the Company’s overall business scalability.</w:t>
      </w:r>
    </w:p>
    <w:p>
      <w:pPr>
        <w:spacing w:after="0" w:line="53"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All of the restructuring charges are classified as operating expenses in the consolidated statements of operations and any remaining obligations are expected to be paid within the next twelve months. The remaining restructuring liability is classified as accrued expenses in the consolidated balance sheets.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2" w:name="page63"/>
    <w:bookmarkEnd w:id="62"/>
    <w:p>
      <w:pPr>
        <w:ind w:left="440"/>
        <w:spacing w:after="0"/>
        <w:rPr>
          <w:sz w:val="20"/>
          <w:szCs w:val="20"/>
          <w:color w:val="auto"/>
        </w:rPr>
      </w:pPr>
      <w:r>
        <w:rPr>
          <w:rFonts w:ascii="Arial" w:cs="Arial" w:eastAsia="Arial" w:hAnsi="Arial"/>
          <w:sz w:val="18"/>
          <w:szCs w:val="18"/>
          <w:color w:val="auto"/>
        </w:rPr>
        <w:t>The following table presents the detail of expenses by business segment for the Company’s restructuring plans: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Severance &amp; Related</w:t>
            </w:r>
          </w:p>
        </w:tc>
        <w:tc>
          <w:tcPr>
            <w:tcW w:w="22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Facilities &amp; Other</w:t>
            </w:r>
          </w:p>
        </w:tc>
        <w:tc>
          <w:tcPr>
            <w:tcW w:w="440" w:type="dxa"/>
            <w:vAlign w:val="bottom"/>
          </w:tcPr>
          <w:p>
            <w:pPr>
              <w:spacing w:after="0"/>
              <w:rPr>
                <w:sz w:val="16"/>
                <w:szCs w:val="16"/>
                <w:color w:val="auto"/>
              </w:rPr>
            </w:pPr>
          </w:p>
        </w:tc>
        <w:tc>
          <w:tcPr>
            <w:tcW w:w="1360" w:type="dxa"/>
            <w:vAlign w:val="bottom"/>
          </w:tcPr>
          <w:p>
            <w:pPr>
              <w:jc w:val="right"/>
              <w:ind w:right="652"/>
              <w:spacing w:after="0"/>
              <w:rPr>
                <w:sz w:val="20"/>
                <w:szCs w:val="20"/>
                <w:color w:val="auto"/>
              </w:rPr>
            </w:pPr>
            <w:r>
              <w:rPr>
                <w:rFonts w:ascii="Arial" w:cs="Arial" w:eastAsia="Arial" w:hAnsi="Arial"/>
                <w:sz w:val="14"/>
                <w:szCs w:val="14"/>
                <w:b w:val="1"/>
                <w:bCs w:val="1"/>
                <w:color w:val="auto"/>
              </w:rPr>
              <w:t>Total</w:t>
            </w:r>
          </w:p>
        </w:tc>
      </w:tr>
      <w:tr>
        <w:trPr>
          <w:trHeight w:val="250"/>
        </w:trPr>
        <w:tc>
          <w:tcPr>
            <w:tcW w:w="56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MCE restructuring charges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2,712</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MDIS restructuring charges</w:t>
            </w:r>
          </w:p>
        </w:tc>
        <w:tc>
          <w:tcPr>
            <w:tcW w:w="18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109</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2012 provision</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Cash paid</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liability at June 30, 2012</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2,698</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MCE restructuring charges</w:t>
            </w:r>
          </w:p>
        </w:tc>
        <w:tc>
          <w:tcPr>
            <w:tcW w:w="18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5,939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7,513</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Non-cash</w:t>
            </w:r>
          </w:p>
        </w:tc>
        <w:tc>
          <w:tcPr>
            <w:tcW w:w="18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(1,109)</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Reversals (*)</w:t>
            </w: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Restructuring liability at June 30, 2013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720</w:t>
            </w:r>
          </w:p>
        </w:tc>
      </w:tr>
      <w:tr>
        <w:trPr>
          <w:trHeight w:val="27"/>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Reversals result from the finalization of severance agreements and unused outplacement services.</w:t>
      </w:r>
    </w:p>
    <w:p>
      <w:pPr>
        <w:spacing w:after="0" w:line="194" w:lineRule="exact"/>
        <w:rPr>
          <w:sz w:val="20"/>
          <w:szCs w:val="20"/>
          <w:color w:val="auto"/>
        </w:rPr>
      </w:pPr>
    </w:p>
    <w:p>
      <w:pPr>
        <w:ind w:left="800" w:hanging="792"/>
        <w:spacing w:after="0"/>
        <w:tabs>
          <w:tab w:leader="none" w:pos="8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income (loss) before income taxes and income tax expense (benefit)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June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(23,639)</w:t>
            </w:r>
          </w:p>
        </w:tc>
        <w:tc>
          <w:tcPr>
            <w:tcW w:w="100" w:type="dxa"/>
            <w:vAlign w:val="bottom"/>
          </w:tcPr>
          <w:p>
            <w:pPr>
              <w:spacing w:after="0"/>
              <w:rPr>
                <w:sz w:val="21"/>
                <w:szCs w:val="21"/>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31,277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26,007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w:t>
            </w: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(23,162)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31,771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26,502</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provision:</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Federal:</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Deferred</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1,992</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Deferred</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Deferred</w:t>
            </w: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(9,954)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9,152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8,060</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665" w:right="2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the reconciliation between the statutory federal income tax rate and the Company’s effective income tax (benefit) rate:</w:t>
      </w:r>
    </w:p>
    <w:p>
      <w:pPr>
        <w:spacing w:after="0" w:line="163"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23495</wp:posOffset>
            </wp:positionV>
            <wp:extent cx="31299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2011</w:t>
            </w: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provision at federal statutory rates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State income tax, net of federal tax benefit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2.2</w:t>
            </w:r>
          </w:p>
        </w:tc>
      </w:tr>
      <w:tr>
        <w:trPr>
          <w:trHeight w:val="27"/>
        </w:trPr>
        <w:tc>
          <w:tcPr>
            <w:tcW w:w="6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 credits</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(6.9)</w:t>
            </w: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Domestic manufacturing deduction</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(2.6)</w:t>
            </w:r>
          </w:p>
        </w:tc>
      </w:tr>
      <w:tr>
        <w:trPr>
          <w:trHeight w:val="27"/>
        </w:trPr>
        <w:tc>
          <w:tcPr>
            <w:tcW w:w="6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w:t>
            </w:r>
          </w:p>
        </w:tc>
        <w:tc>
          <w:tcPr>
            <w:tcW w:w="11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w:t>
            </w: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Change in the fair value of the liability related to the LNX earn-out</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costs</w:t>
            </w:r>
          </w:p>
        </w:tc>
        <w:tc>
          <w:tcPr>
            <w:tcW w:w="11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0.6</w:t>
            </w: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Valuation allowance</w:t>
            </w: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1.7</w:t>
            </w:r>
          </w:p>
        </w:tc>
      </w:tr>
      <w:tr>
        <w:trPr>
          <w:trHeight w:val="27"/>
        </w:trPr>
        <w:tc>
          <w:tcPr>
            <w:tcW w:w="6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w:t>
            </w:r>
          </w:p>
        </w:tc>
      </w:tr>
      <w:tr>
        <w:trPr>
          <w:trHeight w:val="237"/>
        </w:trPr>
        <w:tc>
          <w:tcPr>
            <w:tcW w:w="65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30.3 %</w:t>
            </w:r>
          </w:p>
        </w:tc>
      </w:tr>
      <w:tr>
        <w:trPr>
          <w:trHeight w:val="27"/>
        </w:trPr>
        <w:tc>
          <w:tcPr>
            <w:tcW w:w="65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13"/>
        </w:trPr>
        <w:tc>
          <w:tcPr>
            <w:tcW w:w="6900" w:type="dxa"/>
            <w:vAlign w:val="bottom"/>
            <w:gridSpan w:val="2"/>
          </w:tcPr>
          <w:p>
            <w:pPr>
              <w:ind w:left="440"/>
              <w:spacing w:after="0"/>
              <w:rPr>
                <w:sz w:val="20"/>
                <w:szCs w:val="20"/>
                <w:color w:val="auto"/>
              </w:rPr>
            </w:pPr>
            <w:r>
              <w:rPr>
                <w:rFonts w:ascii="Arial" w:cs="Arial" w:eastAsia="Arial" w:hAnsi="Arial"/>
                <w:sz w:val="18"/>
                <w:szCs w:val="18"/>
                <w:color w:val="auto"/>
                <w:w w:val="93"/>
              </w:rPr>
              <w:t>The components of the Company’s net deferred tax assets (liabilities) were as follows: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2"/>
        </w:trPr>
        <w:tc>
          <w:tcPr>
            <w:tcW w:w="6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24"/>
                <w:szCs w:val="24"/>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gridSpan w:val="2"/>
          </w:tcPr>
          <w:p>
            <w:pPr>
              <w:ind w:left="380"/>
              <w:spacing w:after="0"/>
              <w:rPr>
                <w:sz w:val="20"/>
                <w:szCs w:val="20"/>
                <w:color w:val="auto"/>
              </w:rPr>
            </w:pPr>
            <w:r>
              <w:rPr>
                <w:rFonts w:ascii="Arial" w:cs="Arial" w:eastAsia="Arial" w:hAnsi="Arial"/>
                <w:sz w:val="18"/>
                <w:szCs w:val="18"/>
                <w:color w:val="auto"/>
              </w:rPr>
              <w:t>Inventory valuation and receivable allowances</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8,805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4,788</w:t>
            </w:r>
          </w:p>
        </w:tc>
      </w:tr>
      <w:tr>
        <w:trPr>
          <w:trHeight w:val="27"/>
        </w:trPr>
        <w:tc>
          <w:tcPr>
            <w:tcW w:w="690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1,367</w:t>
            </w:r>
          </w:p>
        </w:tc>
      </w:tr>
      <w:tr>
        <w:trPr>
          <w:trHeight w:val="243"/>
        </w:trPr>
        <w:tc>
          <w:tcPr>
            <w:tcW w:w="6900" w:type="dxa"/>
            <w:vAlign w:val="bottom"/>
            <w:gridSpan w:val="2"/>
          </w:tcPr>
          <w:p>
            <w:pPr>
              <w:ind w:left="380"/>
              <w:spacing w:after="0"/>
              <w:rPr>
                <w:sz w:val="20"/>
                <w:szCs w:val="20"/>
                <w:color w:val="auto"/>
              </w:rPr>
            </w:pPr>
            <w:r>
              <w:rPr>
                <w:rFonts w:ascii="Arial" w:cs="Arial" w:eastAsia="Arial" w:hAnsi="Arial"/>
                <w:sz w:val="18"/>
                <w:szCs w:val="18"/>
                <w:color w:val="auto"/>
              </w:rPr>
              <w:t>Equity compensation</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6,290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6,036</w:t>
            </w:r>
          </w:p>
        </w:tc>
      </w:tr>
      <w:tr>
        <w:trPr>
          <w:trHeight w:val="27"/>
        </w:trPr>
        <w:tc>
          <w:tcPr>
            <w:tcW w:w="690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Federal and state research and development tax credit carryforwards</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8,569</w:t>
            </w:r>
          </w:p>
        </w:tc>
      </w:tr>
      <w:tr>
        <w:trPr>
          <w:trHeight w:val="243"/>
        </w:trPr>
        <w:tc>
          <w:tcPr>
            <w:tcW w:w="6900" w:type="dxa"/>
            <w:vAlign w:val="bottom"/>
            <w:gridSpan w:val="2"/>
          </w:tcPr>
          <w:p>
            <w:pPr>
              <w:ind w:left="380"/>
              <w:spacing w:after="0"/>
              <w:rPr>
                <w:sz w:val="20"/>
                <w:szCs w:val="20"/>
                <w:color w:val="auto"/>
              </w:rPr>
            </w:pPr>
            <w:r>
              <w:rPr>
                <w:rFonts w:ascii="Arial" w:cs="Arial" w:eastAsia="Arial" w:hAnsi="Arial"/>
                <w:sz w:val="18"/>
                <w:szCs w:val="18"/>
                <w:color w:val="auto"/>
              </w:rPr>
              <w:t>Gain on sale-leaseback</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2,116</w:t>
            </w:r>
          </w:p>
        </w:tc>
      </w:tr>
      <w:tr>
        <w:trPr>
          <w:trHeight w:val="27"/>
        </w:trPr>
        <w:tc>
          <w:tcPr>
            <w:tcW w:w="690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accruals</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w:t>
            </w:r>
          </w:p>
        </w:tc>
      </w:tr>
      <w:tr>
        <w:trPr>
          <w:trHeight w:val="243"/>
        </w:trPr>
        <w:tc>
          <w:tcPr>
            <w:tcW w:w="6900" w:type="dxa"/>
            <w:vAlign w:val="bottom"/>
            <w:gridSpan w:val="2"/>
          </w:tcPr>
          <w:p>
            <w:pPr>
              <w:ind w:left="380"/>
              <w:spacing w:after="0"/>
              <w:rPr>
                <w:sz w:val="20"/>
                <w:szCs w:val="20"/>
                <w:color w:val="auto"/>
              </w:rPr>
            </w:pPr>
            <w:r>
              <w:rPr>
                <w:rFonts w:ascii="Arial" w:cs="Arial" w:eastAsia="Arial" w:hAnsi="Arial"/>
                <w:sz w:val="18"/>
                <w:szCs w:val="18"/>
                <w:color w:val="auto"/>
              </w:rPr>
              <w:t>Other temporary differences</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1,333</w:t>
            </w:r>
          </w:p>
        </w:tc>
      </w:tr>
      <w:tr>
        <w:trPr>
          <w:trHeight w:val="27"/>
        </w:trPr>
        <w:tc>
          <w:tcPr>
            <w:tcW w:w="65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31,839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25,128</w:t>
            </w:r>
          </w:p>
        </w:tc>
      </w:tr>
      <w:tr>
        <w:trPr>
          <w:trHeight w:val="243"/>
        </w:trPr>
        <w:tc>
          <w:tcPr>
            <w:tcW w:w="6900" w:type="dxa"/>
            <w:vAlign w:val="bottom"/>
            <w:gridSpan w:val="2"/>
          </w:tcPr>
          <w:p>
            <w:pPr>
              <w:ind w:left="380"/>
              <w:spacing w:after="0"/>
              <w:rPr>
                <w:sz w:val="20"/>
                <w:szCs w:val="20"/>
                <w:color w:val="auto"/>
              </w:rPr>
            </w:pPr>
            <w:r>
              <w:rPr>
                <w:rFonts w:ascii="Arial" w:cs="Arial" w:eastAsia="Arial" w:hAnsi="Arial"/>
                <w:sz w:val="18"/>
                <w:szCs w:val="18"/>
                <w:color w:val="auto"/>
              </w:rPr>
              <w:t>Valuation allowance</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(9,032)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(8,682)</w:t>
            </w:r>
          </w:p>
        </w:tc>
      </w:tr>
      <w:tr>
        <w:trPr>
          <w:trHeight w:val="27"/>
        </w:trPr>
        <w:tc>
          <w:tcPr>
            <w:tcW w:w="6900" w:type="dxa"/>
            <w:vAlign w:val="bottom"/>
            <w:tcBorders>
              <w:bottom w:val="single" w:sz="8" w:color="CCEEFF"/>
            </w:tcBorders>
            <w:gridSpan w:val="2"/>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deferred tax assets</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16,446</w:t>
            </w: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90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(3,488)</w:t>
            </w:r>
          </w:p>
        </w:tc>
      </w:tr>
      <w:tr>
        <w:trPr>
          <w:trHeight w:val="243"/>
        </w:trPr>
        <w:tc>
          <w:tcPr>
            <w:tcW w:w="6900" w:type="dxa"/>
            <w:vAlign w:val="bottom"/>
            <w:gridSpan w:val="2"/>
          </w:tcPr>
          <w:p>
            <w:pPr>
              <w:ind w:left="380"/>
              <w:spacing w:after="0"/>
              <w:rPr>
                <w:sz w:val="20"/>
                <w:szCs w:val="20"/>
                <w:color w:val="auto"/>
              </w:rPr>
            </w:pPr>
            <w:r>
              <w:rPr>
                <w:rFonts w:ascii="Arial" w:cs="Arial" w:eastAsia="Arial" w:hAnsi="Arial"/>
                <w:sz w:val="18"/>
                <w:szCs w:val="18"/>
                <w:color w:val="auto"/>
              </w:rPr>
              <w:t>Property and equipment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(3,122)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(3,995)</w:t>
            </w:r>
          </w:p>
        </w:tc>
      </w:tr>
      <w:tr>
        <w:trPr>
          <w:trHeight w:val="27"/>
        </w:trPr>
        <w:tc>
          <w:tcPr>
            <w:tcW w:w="690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Acquired intangible assets</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(12,342)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(8,507)</w:t>
            </w:r>
          </w:p>
        </w:tc>
      </w:tr>
      <w:tr>
        <w:trPr>
          <w:trHeight w:val="243"/>
        </w:trPr>
        <w:tc>
          <w:tcPr>
            <w:tcW w:w="6900" w:type="dxa"/>
            <w:vAlign w:val="bottom"/>
            <w:gridSpan w:val="2"/>
          </w:tcPr>
          <w:p>
            <w:pPr>
              <w:ind w:left="380"/>
              <w:spacing w:after="0"/>
              <w:rPr>
                <w:sz w:val="20"/>
                <w:szCs w:val="20"/>
                <w:color w:val="auto"/>
              </w:rPr>
            </w:pPr>
            <w:r>
              <w:rPr>
                <w:rFonts w:ascii="Arial" w:cs="Arial" w:eastAsia="Arial" w:hAnsi="Arial"/>
                <w:sz w:val="18"/>
                <w:szCs w:val="18"/>
                <w:color w:val="auto"/>
              </w:rPr>
              <w:t>Other temporary differences</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900" w:type="dxa"/>
            <w:vAlign w:val="bottom"/>
            <w:tcBorders>
              <w:bottom w:val="single" w:sz="8" w:color="CCEEFF"/>
            </w:tcBorders>
            <w:gridSpan w:val="2"/>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deferred tax liabilities</w:t>
            </w: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(18,856)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(15,990)</w:t>
            </w:r>
          </w:p>
        </w:tc>
      </w:tr>
      <w:tr>
        <w:trPr>
          <w:trHeight w:val="237"/>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Net deferred tax assets</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3,951</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456</w:t>
            </w:r>
          </w:p>
        </w:tc>
      </w:tr>
      <w:tr>
        <w:trPr>
          <w:trHeight w:val="27"/>
        </w:trPr>
        <w:tc>
          <w:tcPr>
            <w:tcW w:w="6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At June 30, 2013, the Company evaluated the need for a valuation allowance on deferred tax assets. In assessing whether the deferred tax assets are realizable, management considered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The Company continues to conclude that it was more likely than not that most domestic deferred tax assets would be realizable based on the financial performance in fiscal year 2013, projected future taxable income and the reversal of existing deferred tax liabilities.</w:t>
      </w:r>
    </w:p>
    <w:p>
      <w:pPr>
        <w:spacing w:after="0" w:line="3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continues to record a full valuation allowance on Massachusetts research and development (“R&amp;D”) and investment tax credits as of June 30, 2013 as management continues to believe that it is not more likely than not that these deferred tax assets would be realized. Any future reversals of the valuation allowance will impact income tax expense.</w:t>
      </w:r>
    </w:p>
    <w:p>
      <w:pPr>
        <w:spacing w:after="0" w:line="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had state research and development credit carryforwards of $8,719, which will expire 2018 through 2027. The Company also had state investment tax credits carryforwards of $312 that will expire in 2015. As of June 30, 2013, the Company also had approximately $399 in foreign operating loss carryforwards. Net operating losses of $933 will expire in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Upon consideration of changing business conditions and cash position in its foreign subsidiaries, management has determined that it would no longer need to indefinitely reinvest the earnings of certain foreign subsidiaries. Therefore, the Company has accrued deferred taxes in association with the $1,300 in undistributed earnings and profits.</w:t>
      </w:r>
    </w:p>
    <w:p>
      <w:pPr>
        <w:spacing w:after="0" w:line="46"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files income tax returns in all jurisdictions in which it operates. The Company has established reserves to provide for additional income taxes that may be due in future years as these previously filed tax returns are audited. These reserves have been established based upon management’s assessment as to the potential exposures. All tax reserves are analyzed quarterly and adjustments are made as events occur and warrant modification.</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the Company’s reserves for unrecognized income tax benefits are summarized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Year Ended June 30,</w:t>
            </w:r>
          </w:p>
        </w:tc>
        <w:tc>
          <w:tcPr>
            <w:tcW w:w="8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beginning of period</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Increases for previously recognized positions</w:t>
            </w:r>
          </w:p>
        </w:tc>
        <w:tc>
          <w:tcPr>
            <w:tcW w:w="90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716</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of previously recognized positions</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Decreases for previously recognized positions</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for currently recognized positions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Unrecognized tax benefits, end of period</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2,923</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2,642</w:t>
            </w: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$2,923 of unrecognized tax benefits as of June 30, 2013, if released, would reduce income tax expense.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major tax jurisdiction is the U.S. and the open tax years are fiscal 2010 through 2012.</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 expects that there will not be any material changes in its reserves for unrecognized tax benefits within the next 12 months. Currently there are no significant tax audits underway.</w:t>
      </w:r>
    </w:p>
    <w:p>
      <w:pPr>
        <w:spacing w:after="0" w:line="139" w:lineRule="exact"/>
        <w:rPr>
          <w:sz w:val="20"/>
          <w:szCs w:val="20"/>
          <w:color w:val="auto"/>
        </w:rPr>
      </w:pPr>
    </w:p>
    <w:p>
      <w:pPr>
        <w:ind w:left="840" w:hanging="832"/>
        <w:spacing w:after="0"/>
        <w:tabs>
          <w:tab w:leader="none" w:pos="8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EGAL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LAIMS</w:t>
      </w:r>
    </w:p>
    <w:p>
      <w:pPr>
        <w:spacing w:after="0" w:line="10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U.S. Department of Justice (“DOJ”) conducted an investigation into the conduct of certain former employees of Paragon Dynamics, Inc. (“PDI”) (which was acquired by the Company in connection with the acquisition of KOR Electronics on December 30, 2011) in the 2008-2009 time frame, asserting, among other things, that such conduct may have constituted a violation of the Procurement Integrity Act. On August 31, 2012, the DOJ and PDI entered into a settlement agreement related to the investigation pursuant to which the DOJ released PDI and its affiliates from any civil monetary claims relating to the alleged conduct. PDI did not admit liability for the alleged conduct in the settlement. We were fully indemnified with respect to this matter by the former shareholders of KOR Electronics pursuant to the Company's merger agreement with KOR dated December 22, 2011.</w:t>
      </w:r>
    </w:p>
    <w:p>
      <w:pPr>
        <w:spacing w:after="0" w:line="3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to the foregoing, the Company is subject to litigation, claims, investigations and audits arising from time to time in the ordinary course of our business. Although legal proceedings are inherently unpredictable, the Company believes that it has valid defenses with respect to any matters currently pending against the Company and intends to defend itself vigorously. The outcome of these matters, individually and in the aggregate, is not expected to have a material impact on the Company's cash flows, results of operations, or financial position.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NDEMNIFICATION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p>
    <w:p>
      <w:pPr>
        <w:spacing w:after="0" w:line="10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OMMITMENTS</w:t>
      </w:r>
    </w:p>
    <w:p>
      <w:pPr>
        <w:spacing w:after="0" w:line="108"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As of June 30, 2013, the Company has entered into non-cancelable purchase commitments for certain inventory components and services used in its normal operations. The purchase commitments covered by these agreements are for less than one year and aggregate to $18,289.</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EASE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OMMITMENTS</w:t>
      </w:r>
    </w:p>
    <w:p>
      <w:pPr>
        <w:spacing w:after="0" w:line="10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leases certain facilities, machinery and equipment under various cancelable and non-cancelable operating leases that expire at various dates through fiscal 2023. The leases contain various renewal options. Rental charges are subject to escalation for increases in certain operating costs of the lessor. For tenant improvement allowances and rent holidays, the Company records a deferred rent liability on the consolidated balance sheets and amortizes the deferred rent over the terms of the leases as reductions to rent expense on the consolidated statements of operations. Rental expense during the fiscal years ended June 30, 2013, 2012 and 2011 was $4,698, $3,803 and $3,369, respectively. Minimum lease payments under the Company’s non-cancelable operating leases are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274"/>
              <w:spacing w:after="0"/>
              <w:rPr>
                <w:sz w:val="20"/>
                <w:szCs w:val="20"/>
                <w:color w:val="auto"/>
              </w:rPr>
            </w:pPr>
            <w:r>
              <w:rPr>
                <w:rFonts w:ascii="Arial" w:cs="Arial" w:eastAsia="Arial" w:hAnsi="Arial"/>
                <w:sz w:val="14"/>
                <w:szCs w:val="14"/>
                <w:b w:val="1"/>
                <w:bCs w:val="1"/>
                <w:color w:val="auto"/>
              </w:rPr>
              <w:t>Year Ending</w:t>
            </w:r>
          </w:p>
        </w:tc>
        <w:tc>
          <w:tcPr>
            <w:tcW w:w="0" w:type="dxa"/>
            <w:vAlign w:val="bottom"/>
          </w:tcPr>
          <w:p>
            <w:pPr>
              <w:spacing w:after="0"/>
              <w:rPr>
                <w:sz w:val="1"/>
                <w:szCs w:val="1"/>
                <w:color w:val="auto"/>
              </w:rPr>
            </w:pPr>
          </w:p>
        </w:tc>
      </w:tr>
      <w:tr>
        <w:trPr>
          <w:trHeight w:val="192"/>
        </w:trPr>
        <w:tc>
          <w:tcPr>
            <w:tcW w:w="600" w:type="dxa"/>
            <w:vAlign w:val="bottom"/>
            <w:tcBorders>
              <w:bottom w:val="single" w:sz="8" w:color="CCEEFF"/>
            </w:tcBorders>
          </w:tcPr>
          <w:p>
            <w:pPr>
              <w:spacing w:after="0"/>
              <w:rPr>
                <w:sz w:val="16"/>
                <w:szCs w:val="16"/>
                <w:color w:val="auto"/>
              </w:rPr>
            </w:pPr>
          </w:p>
        </w:tc>
        <w:tc>
          <w:tcPr>
            <w:tcW w:w="9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50"/>
        </w:trPr>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9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4,494</w:t>
            </w:r>
          </w:p>
        </w:tc>
        <w:tc>
          <w:tcPr>
            <w:tcW w:w="0" w:type="dxa"/>
            <w:vAlign w:val="bottom"/>
          </w:tcPr>
          <w:p>
            <w:pPr>
              <w:spacing w:after="0"/>
              <w:rPr>
                <w:sz w:val="1"/>
                <w:szCs w:val="1"/>
                <w:color w:val="auto"/>
              </w:rPr>
            </w:pPr>
          </w:p>
        </w:tc>
      </w:tr>
      <w:tr>
        <w:trPr>
          <w:trHeight w:val="243"/>
        </w:trPr>
        <w:tc>
          <w:tcPr>
            <w:tcW w:w="600" w:type="dxa"/>
            <w:vAlign w:val="bottom"/>
          </w:tcPr>
          <w:p>
            <w:pPr>
              <w:ind w:left="40"/>
              <w:spacing w:after="0"/>
              <w:rPr>
                <w:sz w:val="20"/>
                <w:szCs w:val="20"/>
                <w:color w:val="auto"/>
              </w:rPr>
            </w:pPr>
            <w:r>
              <w:rPr>
                <w:rFonts w:ascii="Arial" w:cs="Arial" w:eastAsia="Arial" w:hAnsi="Arial"/>
                <w:sz w:val="18"/>
                <w:szCs w:val="18"/>
                <w:color w:val="auto"/>
              </w:rPr>
              <w:t>2015</w:t>
            </w:r>
          </w:p>
        </w:tc>
        <w:tc>
          <w:tcPr>
            <w:tcW w:w="9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3,654</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9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9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3,431</w:t>
            </w:r>
          </w:p>
        </w:tc>
        <w:tc>
          <w:tcPr>
            <w:tcW w:w="0" w:type="dxa"/>
            <w:vAlign w:val="bottom"/>
          </w:tcPr>
          <w:p>
            <w:pPr>
              <w:spacing w:after="0"/>
              <w:rPr>
                <w:sz w:val="1"/>
                <w:szCs w:val="1"/>
                <w:color w:val="auto"/>
              </w:rPr>
            </w:pPr>
          </w:p>
        </w:tc>
      </w:tr>
      <w:tr>
        <w:trPr>
          <w:trHeight w:val="243"/>
        </w:trPr>
        <w:tc>
          <w:tcPr>
            <w:tcW w:w="600" w:type="dxa"/>
            <w:vAlign w:val="bottom"/>
          </w:tcPr>
          <w:p>
            <w:pPr>
              <w:ind w:left="40"/>
              <w:spacing w:after="0"/>
              <w:rPr>
                <w:sz w:val="20"/>
                <w:szCs w:val="20"/>
                <w:color w:val="auto"/>
              </w:rPr>
            </w:pPr>
            <w:r>
              <w:rPr>
                <w:rFonts w:ascii="Arial" w:cs="Arial" w:eastAsia="Arial" w:hAnsi="Arial"/>
                <w:sz w:val="18"/>
                <w:szCs w:val="18"/>
                <w:color w:val="auto"/>
              </w:rPr>
              <w:t>2017</w:t>
            </w:r>
          </w:p>
        </w:tc>
        <w:tc>
          <w:tcPr>
            <w:tcW w:w="9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2,984</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9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9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9340" w:type="dxa"/>
            <w:vAlign w:val="bottom"/>
          </w:tcPr>
          <w:p>
            <w:pPr>
              <w:ind w:left="8580"/>
              <w:spacing w:after="0"/>
              <w:rPr>
                <w:sz w:val="20"/>
                <w:szCs w:val="20"/>
                <w:color w:val="auto"/>
              </w:rPr>
            </w:pPr>
            <w:r>
              <w:rPr>
                <w:rFonts w:ascii="Arial" w:cs="Arial" w:eastAsia="Arial" w:hAnsi="Arial"/>
                <w:sz w:val="18"/>
                <w:szCs w:val="18"/>
                <w:color w:val="auto"/>
                <w:w w:val="89"/>
              </w:rPr>
              <w:t>Thereafter</w:t>
            </w: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4,692</w:t>
            </w:r>
          </w:p>
        </w:tc>
        <w:tc>
          <w:tcPr>
            <w:tcW w:w="0" w:type="dxa"/>
            <w:vAlign w:val="bottom"/>
          </w:tcPr>
          <w:p>
            <w:pPr>
              <w:spacing w:after="0"/>
              <w:rPr>
                <w:sz w:val="1"/>
                <w:szCs w:val="1"/>
                <w:color w:val="auto"/>
              </w:rPr>
            </w:pPr>
          </w:p>
        </w:tc>
      </w:tr>
      <w:tr>
        <w:trPr>
          <w:trHeight w:val="27"/>
        </w:trPr>
        <w:tc>
          <w:tcPr>
            <w:tcW w:w="994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20,084</w:t>
            </w:r>
          </w:p>
        </w:tc>
        <w:tc>
          <w:tcPr>
            <w:tcW w:w="0" w:type="dxa"/>
            <w:vAlign w:val="bottom"/>
          </w:tcPr>
          <w:p>
            <w:pPr>
              <w:spacing w:after="0"/>
              <w:rPr>
                <w:sz w:val="1"/>
                <w:szCs w:val="1"/>
                <w:color w:val="auto"/>
              </w:rPr>
            </w:pPr>
          </w:p>
        </w:tc>
      </w:tr>
      <w:tr>
        <w:trPr>
          <w:trHeight w:val="20"/>
        </w:trPr>
        <w:tc>
          <w:tcPr>
            <w:tcW w:w="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L.</w:t>
            </w:r>
          </w:p>
        </w:tc>
        <w:tc>
          <w:tcPr>
            <w:tcW w:w="93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b w:val="1"/>
                <w:bCs w:val="1"/>
                <w:color w:val="auto"/>
              </w:rPr>
              <w:t>Debt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00" w:type="dxa"/>
            <w:vAlign w:val="bottom"/>
            <w:vMerge w:val="continue"/>
          </w:tcPr>
          <w:p>
            <w:pPr>
              <w:spacing w:after="0"/>
              <w:rPr>
                <w:sz w:val="24"/>
                <w:szCs w:val="24"/>
                <w:color w:val="auto"/>
              </w:rPr>
            </w:pPr>
          </w:p>
        </w:tc>
        <w:tc>
          <w:tcPr>
            <w:tcW w:w="9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ENIOR</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NSECURED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ACILITY</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October 12, 2012, the Company entered into a credit agreement (the “Credit Agreement”) with a syndicate of commercial banks, with KeyBank National Association acting as the administrative agent. The Credit Agreement provides for a $200,000 senior unsecured revolving line of credit (the “Revolver”). The Company can borrow up to $200,000 based on its consolidated EBITDA for the prior trailing four quarters and subject to compliance with the financial covenants discussed below. The Revolver is available for working capital, acquisitions, and general corporate purposes of the Company and its subsidiaries. The Revolver is available for borrowing during a five year period, with interest payable periodically during such period as provided in the Credit Agreement and principal due at the maturity of the Revolver.</w:t>
      </w:r>
    </w:p>
    <w:p>
      <w:pPr>
        <w:spacing w:after="0" w:line="5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Credit Agreement has an accordion feature permitting the Company to request from the lenders an increase in the aggregate amount of the credit facility in the form of an incremental revolver or term loan in an amount not to exceed $50,000. Any such increase would require only the consent of the lenders increasing their respective commitments under the credit facility.</w:t>
      </w:r>
    </w:p>
    <w:p>
      <w:pPr>
        <w:spacing w:after="0" w:line="4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interest rates applicable to borrowings under the Credit Agreement involve various rate options that are available to the Company. The rates are calculated using a combination of conventional base rate measures plus a margin over those rates. The base rates consist of LIBOR rates or prime rates. The actual rates will depend on the level of these underlying rates plus a margin based on the Company's leverage at the time of borrowing.</w:t>
      </w:r>
    </w:p>
    <w:p>
      <w:pPr>
        <w:spacing w:after="0" w:line="3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Borrowings under the Credit Agreement are senior unsecured loans. Each of the Company's domestic subsidiaries is a guarantor under the Credit Agreement.</w:t>
      </w:r>
    </w:p>
    <w:p>
      <w:pPr>
        <w:spacing w:after="0" w:line="3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Credit Agreement provides for conventional affirmative and negative covenants, including a maximum leverage ratio of 3.50x and a minimum interest coverage ratio of 3.0x. Each of the two ratios referred to above is calculated based on consolidated EBITDA, as defined in the Credit Agreement, for each consecutive four fiscal quarter period, after giving pro forma effect for any acquisitions or dispositions. Acquisitions are permitted under the Credit Agreement without any dollar limitation so long as, among other requirements, no default or event of default exists or would result; as of June 30, 2013, the Company is in compliance with the covenants in the Credit Agreement . In addition, the Credit Agreement contains certain customary representations and warranties, and events of default.</w:t>
      </w:r>
    </w:p>
    <w:p>
      <w:pPr>
        <w:spacing w:after="0" w:line="5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30, 2013, there was $35,780 of borrowing capacity available based on our consolidated EBITDA for the trailing four quarters ended June 30, 2013. There were no borrowings outstanding on the Credit Agreement; however, there were outstanding letters of credit of $3,853. The Company was in compliance with all covenants and conditions under the Credit Agreement.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ENIOR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ACILITY</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connection with entering into the Credit Agreement, on October 12, 2012, the Company terminated its Loan and Security Agreement with Silicon Valley Bank dated February 12, 2010, as amended on March 30, 2011 (the “Loan Agreement”). The Loan Agreement provided for a $35,000 revolving line of credit. The Company terminated the Loan Agreement early without penalty. Silicon Valley Bank released its security interests in the Company's assets in connection with the termination of the Loan Agreement.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Original Loan Agreement</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February 12, 2010, the Company entered into the Loan Agreement with Silicon Valley Bank (the “Lender”). The Loan Agreement provided for a $15,000 revolving line of credit (the “Revolver”) and a $20,000 acquisition line (the “Term Loan”). The Revolver was available for borrowing during a two-year period, with interest payable monthly and the principal due at the February 11, 2012 maturity of the Revolver. The Term Loan was available for up to three separate borrowings, with total borrowings not to exceed $20,000, until February 11, 2012. The Term Loan had monthly interest and principal payments through the February 11, 2014 maturity of the Term Loan.</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interest rates included various rate options that were available to the Company. The rates were calculated using a combination of conventional base rate measures plus a margin over those rates. The base rates consisted of LIBOR rates and prime rates. The actual rates depended on the level of these underlying rates plus a margin based on the Company’s leverage at the time of borrowing.</w:t>
      </w:r>
    </w:p>
    <w:p>
      <w:pPr>
        <w:spacing w:after="0" w:line="4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Borrowings were secured by a first-priority security interest in all of the Company’s domestic assets, including intellectual property, but limited to 65% of the voting stock of foreign subsidiaries.</w:t>
      </w:r>
    </w:p>
    <w:p>
      <w:pPr>
        <w:spacing w:after="0" w:line="3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Loan Agreement provided for conventional affirmative and negative covenants, including a minimum quick ratio of 1.5 to 1.0. If the Company had less than $10,000 of cash equivalents in accounts with the Lender in excess of the Company’s borrowings, the Company had to satisfy a $15,000 minimum trailing-four-quarter cash-flow covenant. The minimum cash flow covenant was calculated as the Company’s trailing-four quarter adjusted EBITDA as defined in the Loan Agreement. In addition, the Loan Agreement contained certain customary representations and warranties and limited the Company’s and its subsidiaries’ ability to incur liens, dispose of assets, carry out certain mergers and acquisitions, make investments and capital expenditures and defined events of default and limitations on the Company and its subsidiaries to incur additional debt.</w:t>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Amended Loan Agreement</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March 30, 2011, the Company entered into an amendment to the Loan Agreement (as amended, the “Amended Loan Agreement”) with the Lender. The amendment extended the term of the Revolver for an additional two years, to February 11, 2014, terminated the $20,000 Term Loan under the original Loan Agreement, increased the original $15,000 Revolver to $35,000. The amendment also included modifications to the financial covenants as summarized below.</w:t>
      </w:r>
    </w:p>
    <w:p>
      <w:pPr>
        <w:spacing w:after="0" w:line="52"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Amended Loan Agreement provided for conventional affirmative and negative covenants, including a minimum quick ratio of 1.0 to 1.0 and a $15,000 minimum trailing four quarter cash flow covenant through and including June 30, 2012 (with $17,500 of minimum cash flow required thereafter).</w:t>
      </w:r>
    </w:p>
    <w:p>
      <w:pPr>
        <w:spacing w:after="0" w:line="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connection with entering into the Credit Agreement lead by Key Bank in October, 2012, we terminated the Loan Agreement with Silicon Valley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180" w:lineRule="exact"/>
        <w:rPr>
          <w:sz w:val="20"/>
          <w:szCs w:val="20"/>
          <w:color w:val="auto"/>
        </w:rPr>
      </w:pPr>
    </w:p>
    <w:p>
      <w:pPr>
        <w:ind w:left="880" w:hanging="872"/>
        <w:spacing w:after="0"/>
        <w:tabs>
          <w:tab w:leader="none" w:pos="8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OLLOW</w:t>
      </w:r>
      <w:r>
        <w:rPr>
          <w:rFonts w:ascii="Arial" w:cs="Arial" w:eastAsia="Arial" w:hAnsi="Arial"/>
          <w:sz w:val="18"/>
          <w:szCs w:val="18"/>
          <w:b w:val="1"/>
          <w:bCs w:val="1"/>
          <w:color w:val="auto"/>
        </w:rPr>
        <w:t>-</w:t>
      </w:r>
      <w:r>
        <w:rPr>
          <w:rFonts w:ascii="Arial" w:cs="Arial" w:eastAsia="Arial" w:hAnsi="Arial"/>
          <w:sz w:val="14"/>
          <w:szCs w:val="14"/>
          <w:b w:val="1"/>
          <w:bCs w:val="1"/>
          <w:color w:val="auto"/>
        </w:rPr>
        <w:t>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UBLIC</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FFERING</w:t>
      </w:r>
    </w:p>
    <w:p>
      <w:pPr>
        <w:spacing w:after="0" w:line="108"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On February 16, 2011, the Company completed a follow-on public stock offering of 5,578 shares of common stock, which were sold at a price to the public of $17.75 per share. The follow-on public stock offering resulted in $93,605 of net proceeds to the Company. The underwriting discount of $4,950 and other expenses of $446 related to the follow-on public stock offering were recorded as an offset to additional paid-in-capital.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REFERRED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is authorized to issue 1,000 shares of preferred stock with a par value of $0.01 per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HAREHOLDER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0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has adopted a Shareholder Rights Plan, the purpose of which is, among other things, to enhance the Board’s ability to protect the shareholder interests and to ensure that shareholders receive fair treatment in the event any coercive takeover attempt of the Company is made in the future. The following summary description of the Shareholder Rights Plan does not purport to be complete and is qualified in its entirety by reference to the Company’s Shareholder Rights Plan, which has been previously filed with the Securities and Exchange Commission as an exhibit to a Registration Statement on Form 8-A.</w:t>
      </w:r>
    </w:p>
    <w:p>
      <w:pPr>
        <w:spacing w:after="0" w:line="5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connection with the adoption of the Shareholder Rights Plan, the Board of Directors of the Company declared a dividend distribution of one preferred stock purchase right (a “Right”) for each outstanding share of common stock to shareholders of record as of the close of business on December 23, 2005. The Rights currently are not exercisable and are attached to and trade with the outstanding shares of common stock. Under the Shareholder Rights Plan, the Rights become exercisable if a person becomes an “acquiring person” by acquiring 15% or more of the outstanding shares of common stock or if a person commences a tender offer that would result in that person owning 15% or more of the common stock. If a person becomes an “acquiring person,” each holder of a Right (other than the acquiring person) would be entitled to purchase, at the then-current exercise price, such number of shares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7" w:name="page68"/>
    <w:bookmarkEnd w:id="67"/>
    <w:p>
      <w:pPr>
        <w:jc w:val="both"/>
        <w:spacing w:after="0" w:line="286" w:lineRule="auto"/>
        <w:rPr>
          <w:sz w:val="20"/>
          <w:szCs w:val="20"/>
          <w:color w:val="auto"/>
        </w:rPr>
      </w:pPr>
      <w:r>
        <w:rPr>
          <w:rFonts w:ascii="Arial" w:cs="Arial" w:eastAsia="Arial" w:hAnsi="Arial"/>
          <w:sz w:val="17"/>
          <w:szCs w:val="17"/>
          <w:color w:val="auto"/>
        </w:rPr>
        <w:t>of the Company’s preferred stock which are equivalent to shares of common stock having a value of twice the exercise price of the Right. If the Company is acquired in a merger or other business combination transaction after any such event, each holder of a Right would then be entitled to purchase, at the then-current exercise price, shares of the acquiring company’s common stock having a value of twice the exercise price of the Right.</w:t>
      </w:r>
    </w:p>
    <w:p>
      <w:pPr>
        <w:spacing w:after="0" w:line="135" w:lineRule="exact"/>
        <w:rPr>
          <w:sz w:val="20"/>
          <w:szCs w:val="20"/>
          <w:color w:val="auto"/>
        </w:rPr>
      </w:pPr>
    </w:p>
    <w:p>
      <w:pPr>
        <w:ind w:left="840" w:hanging="832"/>
        <w:spacing w:after="0"/>
        <w:tabs>
          <w:tab w:leader="none" w:pos="8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8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maintains a qualified 401(k) plan (the “401(k) Plan”) for its U.S. employees. The 401(k) Plan covers U.S. employees who have attained the age of 21. During fiscal 2013, 2012 and 2011, the Company matched employee contributions up to 3% of eligible compensation. The Company may also make optional contributions to the plan for any plan year at its discretion. Expense recognized by the Company for matching contributions related to the 401(k) plan was $2,158, $2,196 and $1,762 during the fiscal years ended June 30, 2013, 2012 and 2011, respectively.</w:t>
      </w:r>
    </w:p>
    <w:p>
      <w:pPr>
        <w:spacing w:after="0" w:line="140" w:lineRule="exact"/>
        <w:rPr>
          <w:sz w:val="20"/>
          <w:szCs w:val="20"/>
          <w:color w:val="auto"/>
        </w:rPr>
      </w:pPr>
    </w:p>
    <w:p>
      <w:pPr>
        <w:ind w:left="840" w:hanging="832"/>
        <w:spacing w:after="0"/>
        <w:tabs>
          <w:tab w:leader="none" w:pos="8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LANS</w:t>
      </w:r>
    </w:p>
    <w:p>
      <w:pPr>
        <w:spacing w:after="0" w:line="10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number of shares authorized for issuance under the Company’s 2005 Stock Incentive Plan, as amended and restated (the “2005 Plan”), is 7,764 shares at June 30, 2013. On October 17, 2012, the Company's shareholders approved an increase in the number of authorized shares for issuance under the 2005 Plan to 7,592 shares, an increase of 1,500 shares. The 2005 Plan will be increased by any future cancellations, forfeitures or terminations (other than by exercise) under the Company’s 1997 Stock Option Plan (the “1997 Plan”).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2,258 shares available for future grant under the 2005 Plan at June 30, 2013.</w:t>
      </w:r>
    </w:p>
    <w:p>
      <w:pPr>
        <w:spacing w:after="0" w:line="25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number of shares authorized for issuance under the 1997 Plan was 8,650 shares, of which 100 shares could be issued pursuant to restricted stock grants. The 1997 Plan provided for the grant of non-qualified and incentive stock options and restricted stock to employees and non-employees. All stock options were granted with an exercise price of not less than 100% of the fair value of the Company’s common stock at the date of grant. The options typically vest over periods of zero to four years and have a maximum term of 10 years. Following shareholder approval of the 2005 Plan on November 14, 2005, the Company’s Board of Directors determined that no further grants of stock options or other awards would be made under the 1997 Plan, and the 1997 Plan subsequently expired in June 2007. The foregoing does not affect any outstanding awards under the 1997 Plan, which remain in full force and effect in accordance with their terms.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0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number of shares authorized for issuance under the Company’s 1997 Employee Stock Purchase Plan, as amended and restated (“ESPP”), is 1,400 shares, including a 300 share increase approved by the Company’s shareholders on October 21, 2011. Under the ESPP, rights are granted to purchase shares of common stock at 85% of the lesser of the market value of such shares at either the beginning or the end of each six-month offering period. The ESPP permits employees to purchase common stock through payroll deductions, which may not exceed 10% of an employee’s compensation as defined in the ESPP. The number of shares issued under the ESPP during fiscal years 2013, 2012 and 2011 was 104, 104 and 89, respectively. Shares available for future purchase under the ESPP totaled 256 at June 30, 2013.</w:t>
      </w:r>
    </w:p>
    <w:p>
      <w:pPr>
        <w:sectPr>
          <w:pgSz w:w="11900" w:h="16838" w:orient="portrait"/>
          <w:cols w:equalWidth="0" w:num="1">
            <w:col w:w="11420"/>
          </w:cols>
          <w:pgMar w:left="240" w:top="665" w:right="2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CTIVITY</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activity of the Company’s stock option plans since June 30, 2011: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Options Outstanding</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3"/>
                <w:szCs w:val="13"/>
                <w:color w:val="auto"/>
              </w:rPr>
            </w:pPr>
          </w:p>
        </w:tc>
        <w:tc>
          <w:tcPr>
            <w:tcW w:w="140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 Average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Contractual Term</w:t>
            </w:r>
          </w:p>
        </w:tc>
        <w:tc>
          <w:tcPr>
            <w:tcW w:w="200" w:type="dxa"/>
            <w:vAlign w:val="bottom"/>
          </w:tcPr>
          <w:p>
            <w:pPr>
              <w:spacing w:after="0"/>
              <w:rPr>
                <w:sz w:val="12"/>
                <w:szCs w:val="12"/>
                <w:color w:val="auto"/>
              </w:rPr>
            </w:pPr>
          </w:p>
        </w:tc>
        <w:tc>
          <w:tcPr>
            <w:tcW w:w="14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3"/>
              </w:rPr>
              <w:t>Intrinsic Value as</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3"/>
              </w:rPr>
              <w:t>of 6/30/2013</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2011</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2,293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14.35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Cancelled</w:t>
            </w:r>
          </w:p>
        </w:tc>
        <w:tc>
          <w:tcPr>
            <w:tcW w:w="16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23.70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2012</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2,185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14.46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Cancelled</w:t>
            </w:r>
          </w:p>
        </w:tc>
        <w:tc>
          <w:tcPr>
            <w:tcW w:w="160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2013</w:t>
            </w: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2,070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13.44</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1,668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Vested and expected to vest at June 30, 2013</w:t>
            </w:r>
          </w:p>
        </w:tc>
        <w:tc>
          <w:tcPr>
            <w:tcW w:w="1600" w:type="dxa"/>
            <w:vAlign w:val="bottom"/>
          </w:tcPr>
          <w:p>
            <w:pPr>
              <w:jc w:val="right"/>
              <w:ind w:right="33"/>
              <w:spacing w:after="0"/>
              <w:rPr>
                <w:sz w:val="20"/>
                <w:szCs w:val="20"/>
                <w:color w:val="auto"/>
              </w:rPr>
            </w:pPr>
            <w:r>
              <w:rPr>
                <w:rFonts w:ascii="Arial" w:cs="Arial" w:eastAsia="Arial" w:hAnsi="Arial"/>
                <w:sz w:val="18"/>
                <w:szCs w:val="18"/>
                <w:b w:val="1"/>
                <w:bCs w:val="1"/>
                <w:color w:val="auto"/>
              </w:rPr>
              <w:t>2,060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34"/>
              <w:spacing w:after="0"/>
              <w:rPr>
                <w:sz w:val="20"/>
                <w:szCs w:val="20"/>
                <w:color w:val="auto"/>
              </w:rPr>
            </w:pPr>
            <w:r>
              <w:rPr>
                <w:rFonts w:ascii="Arial" w:cs="Arial" w:eastAsia="Arial" w:hAnsi="Arial"/>
                <w:sz w:val="18"/>
                <w:szCs w:val="18"/>
                <w:b w:val="1"/>
                <w:bCs w:val="1"/>
                <w:color w:val="auto"/>
              </w:rPr>
              <w:t>13.47</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2.58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ind w:right="19"/>
              <w:spacing w:after="0"/>
              <w:rPr>
                <w:sz w:val="20"/>
                <w:szCs w:val="20"/>
                <w:color w:val="auto"/>
              </w:rPr>
            </w:pPr>
            <w:r>
              <w:rPr>
                <w:rFonts w:ascii="Arial" w:cs="Arial" w:eastAsia="Arial" w:hAnsi="Arial"/>
                <w:sz w:val="18"/>
                <w:szCs w:val="18"/>
                <w:b w:val="1"/>
                <w:bCs w:val="1"/>
                <w:color w:val="auto"/>
              </w:rPr>
              <w:t>1,628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Exercisable at June 30, 2013</w:t>
            </w: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1,955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13.93</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1,175</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intrinsic value of the options exercised during fiscal years 2013, 2012 and 2011 was $90, $534 and $2,979, respectively. Non-vested stock options are subject to the risk of forfeiture until the fulfillment of specified conditions. As of June 30, 2013, there was $354 of total unrecognized compensation cost related to non-vested options granted under the Company’s stock plans that is expected to be recognized over a weighted-average period of 1.66 years from June 30, 2013. As of June 30, 2012, there was $110 of total unrecognized compensation cost related to non-vested options granted under the Company’s stock plans that was expected to be recognized over a weighted-average period of 0.3 years from June 30, 2012.</w:t>
      </w:r>
    </w:p>
    <w:p>
      <w:pPr>
        <w:spacing w:after="0" w:line="3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August 8, 2012, the Company completed its acquisition of Micronetics. Pursuant to the terms of the Merger Agreement, all outstanding options to acquire shares of Micronetics common stock that were vested at the closing were cancelled and the holders of such options received an amount of cash equal to the product of the total number of shares previously subject to such vested options and the excess of the merger consideration over the exercise price per share. All outstanding Micronetics stock options that were unvested at the closing were replaced with stock options in the Company's common stock. The replacement stock options granted were determined based on a conversion ratio provided in the Merger Agreement. The 271 stock options granted in the table above reflect the replacement of the unvested Micronetics stock options as of August 8, 2012.</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status of the Company’s non-vested restricted stock awards since June 30, 2011:</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30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Non-Vested Restricted Stock Awards</w:t>
            </w:r>
          </w:p>
        </w:tc>
        <w:tc>
          <w:tcPr>
            <w:tcW w:w="0" w:type="dxa"/>
            <w:vAlign w:val="bottom"/>
          </w:tcPr>
          <w:p>
            <w:pPr>
              <w:spacing w:after="0"/>
              <w:rPr>
                <w:sz w:val="1"/>
                <w:szCs w:val="1"/>
                <w:color w:val="auto"/>
              </w:rPr>
            </w:pPr>
          </w:p>
        </w:tc>
      </w:tr>
      <w:tr>
        <w:trPr>
          <w:trHeight w:val="152"/>
        </w:trPr>
        <w:tc>
          <w:tcPr>
            <w:tcW w:w="8120" w:type="dxa"/>
            <w:vAlign w:val="bottom"/>
          </w:tcPr>
          <w:p>
            <w:pPr>
              <w:spacing w:after="0"/>
              <w:rPr>
                <w:sz w:val="13"/>
                <w:szCs w:val="13"/>
                <w:color w:val="auto"/>
              </w:rPr>
            </w:pPr>
          </w:p>
        </w:tc>
        <w:tc>
          <w:tcPr>
            <w:tcW w:w="16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center"/>
              <w:ind w:right="94"/>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2011</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1,187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11.23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2012</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1,275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12.71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2013</w:t>
            </w:r>
          </w:p>
        </w:tc>
        <w:tc>
          <w:tcPr>
            <w:tcW w:w="16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2,007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10.82</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An aggregate of 144 shares of restricted stock that were granted to employees of KOR and PDI joining the Company in connection with the acquisition of KOR in December 2011 are included in the granted figure in the table above.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An aggregate of 70 shares of restricted stock that were granted to employees of Micronetics joining the Company in connection with the acquisition of Micronetics in August 2012 are included in the granted figure in the table above.</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total fair value of restricted stock awards vested during fiscal year 2013, 2012 and 2011 was $4,488, $5,848 and $4,175, respectively.</w:t>
      </w:r>
    </w:p>
    <w:p>
      <w:pPr>
        <w:spacing w:after="0" w:line="1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Non-vested restricted stock awards are subject to the risk of forfeiture until the fulfillment of specified conditions. As of June 30, 2013, there was $11,588 of total unrecognized compensation cost related to non-vested restricted stock awards granted under the Company’s stock plans that is expected to be recognized over a weighted-average period of 2.6 years from June 30, 2013. As of June 30, 2012, there was $10,515 of total unrecognized compensation cost related to non-vested restricted stock awards granted under the Company’s stock plans that is expected to be recognized over a weighted-average period of 2.4 years from June 30, 2012.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w:t>
      </w:r>
      <w:r>
        <w:rPr>
          <w:rFonts w:ascii="Arial" w:cs="Arial" w:eastAsia="Arial" w:hAnsi="Arial"/>
          <w:sz w:val="14"/>
          <w:szCs w:val="14"/>
          <w:b w:val="1"/>
          <w:bCs w:val="1"/>
          <w:color w:val="auto"/>
        </w:rPr>
        <w:t>BASED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SSUMPTIONS</w:t>
      </w:r>
    </w:p>
    <w:p>
      <w:pPr>
        <w:spacing w:after="0" w:line="10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recognized the full expense of its share-based payment plans in the consolidated statements of operations for the fiscal years 2013, 2012 and 2011 in accordance with FASB ASC 718 and did not capitalize any such costs on the consolidated balance sheets, as such costs that qualified for capitalization were not material. Under the fair value recognition provisions of FASB ASC 718, stock-based compensation cost is measured at the grant date based on the value of the award and is recognized as expense over the service period. The following table presents share-based compensation expenses from continuing operations included in the Company’s consolidated statement of operations: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June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6,460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5,309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4,609</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Share-based compensation expense before tax</w:t>
            </w:r>
          </w:p>
        </w:tc>
        <w:tc>
          <w:tcPr>
            <w:tcW w:w="9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7,940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6,616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5,580</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(2,910)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Share-based compensation expense, net of income taxes</w:t>
            </w: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5,030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4,259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3,614</w:t>
            </w:r>
          </w:p>
        </w:tc>
      </w:tr>
      <w:tr>
        <w:trPr>
          <w:trHeight w:val="27"/>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were no options granted during fiscal year 2012. The only stock options granted during fiscal year 2013 were related to the Micronetics stock option rollover at the acquisition date. The following table sets forth the weighted-average key assumptions and fair value results for stock options granted during fiscal years 2013, 2012 and 2011:</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Years Ended June 30,</w:t>
            </w:r>
          </w:p>
        </w:tc>
        <w:tc>
          <w:tcPr>
            <w:tcW w:w="1160" w:type="dxa"/>
            <w:vAlign w:val="bottom"/>
            <w:tcBorders>
              <w:bottom w:val="single" w:sz="8" w:color="auto"/>
            </w:tcBorders>
          </w:tcPr>
          <w:p>
            <w:pPr>
              <w:spacing w:after="0"/>
              <w:rPr>
                <w:sz w:val="16"/>
                <w:szCs w:val="16"/>
                <w:color w:val="auto"/>
              </w:rPr>
            </w:pPr>
          </w:p>
        </w:tc>
      </w:tr>
      <w:tr>
        <w:trPr>
          <w:trHeight w:val="264"/>
        </w:trPr>
        <w:tc>
          <w:tcPr>
            <w:tcW w:w="65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2011</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of options granted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gridSpan w:val="3"/>
            <w:shd w:val="clear" w:color="auto" w:fill="CCEEFF"/>
          </w:tcPr>
          <w:p>
            <w:pPr>
              <w:ind w:left="1040"/>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7.25</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Option life(1)</w:t>
            </w:r>
          </w:p>
        </w:tc>
        <w:tc>
          <w:tcPr>
            <w:tcW w:w="380" w:type="dxa"/>
            <w:vAlign w:val="bottom"/>
          </w:tcPr>
          <w:p>
            <w:pPr>
              <w:spacing w:after="0"/>
              <w:rPr>
                <w:sz w:val="21"/>
                <w:szCs w:val="21"/>
                <w:color w:val="auto"/>
              </w:rPr>
            </w:pPr>
          </w:p>
        </w:tc>
        <w:tc>
          <w:tcPr>
            <w:tcW w:w="1280" w:type="dxa"/>
            <w:vAlign w:val="bottom"/>
            <w:gridSpan w:val="2"/>
          </w:tcPr>
          <w:p>
            <w:pPr>
              <w:ind w:left="320"/>
              <w:spacing w:after="0"/>
              <w:rPr>
                <w:sz w:val="20"/>
                <w:szCs w:val="20"/>
                <w:color w:val="auto"/>
              </w:rPr>
            </w:pPr>
            <w:r>
              <w:rPr>
                <w:rFonts w:ascii="Arial" w:cs="Arial" w:eastAsia="Arial" w:hAnsi="Arial"/>
                <w:sz w:val="18"/>
                <w:szCs w:val="18"/>
                <w:color w:val="auto"/>
              </w:rPr>
              <w:t>4.5 years</w:t>
            </w:r>
          </w:p>
        </w:tc>
        <w:tc>
          <w:tcPr>
            <w:tcW w:w="120" w:type="dxa"/>
            <w:vAlign w:val="bottom"/>
          </w:tcPr>
          <w:p>
            <w:pPr>
              <w:spacing w:after="0"/>
              <w:rPr>
                <w:sz w:val="21"/>
                <w:szCs w:val="21"/>
                <w:color w:val="auto"/>
              </w:rPr>
            </w:pPr>
          </w:p>
        </w:tc>
        <w:tc>
          <w:tcPr>
            <w:tcW w:w="1420" w:type="dxa"/>
            <w:vAlign w:val="bottom"/>
          </w:tcPr>
          <w:p>
            <w:pPr>
              <w:ind w:left="11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5.0 years</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rate(2)</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Stock volatility(3)</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rate</w:t>
            </w:r>
          </w:p>
        </w:tc>
        <w:tc>
          <w:tcPr>
            <w:tcW w:w="3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90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540" w:hanging="316"/>
        <w:spacing w:after="0"/>
        <w:tabs>
          <w:tab w:leader="none" w:pos="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option life was determined based upon historical option activity.</w:t>
      </w:r>
    </w:p>
    <w:p>
      <w:pPr>
        <w:spacing w:after="0" w:line="23" w:lineRule="exact"/>
        <w:rPr>
          <w:rFonts w:ascii="Arial" w:cs="Arial" w:eastAsia="Arial" w:hAnsi="Arial"/>
          <w:sz w:val="18"/>
          <w:szCs w:val="18"/>
          <w:color w:val="auto"/>
        </w:rPr>
      </w:pPr>
    </w:p>
    <w:p>
      <w:pPr>
        <w:ind w:left="540" w:hanging="316"/>
        <w:spacing w:after="0" w:line="250" w:lineRule="auto"/>
        <w:tabs>
          <w:tab w:leader="none" w:pos="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risk-free interest rate for each grant is equal to the U.S. Treasury yield curve in effect at the time of grant for instruments with a similar expected life.</w:t>
      </w:r>
    </w:p>
    <w:p>
      <w:pPr>
        <w:jc w:val="both"/>
        <w:ind w:left="540" w:hanging="316"/>
        <w:spacing w:after="0" w:line="255" w:lineRule="auto"/>
        <w:tabs>
          <w:tab w:leader="none" w:pos="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stock volatility for each grant is measured using the weighted average of historical daily price changes of the Company’s common stock over the most recent period equal to the expected option life of the grant, the historical short-term trend of the option and other factors, such as expected changes in volatility arising from planned changes in the Company’s business operations.</w:t>
      </w:r>
    </w:p>
    <w:p>
      <w:pPr>
        <w:spacing w:after="0" w:line="159" w:lineRule="exact"/>
        <w:rPr>
          <w:rFonts w:ascii="Arial" w:cs="Arial" w:eastAsia="Arial" w:hAnsi="Arial"/>
          <w:sz w:val="18"/>
          <w:szCs w:val="18"/>
          <w:color w:val="auto"/>
        </w:rPr>
      </w:pPr>
    </w:p>
    <w:p>
      <w:pPr>
        <w:ind w:left="800" w:hanging="792"/>
        <w:spacing w:after="0"/>
        <w:tabs>
          <w:tab w:leader="none" w:pos="8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 Geographic Information and Significant Customers</w:t>
      </w:r>
    </w:p>
    <w:p>
      <w:pPr>
        <w:spacing w:after="0" w:line="18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Operating segments are defined as components of an enterprise evaluated regularly by the Company's chief operating decision maker (“CODM”) in deciding how to allocate resources and assess performance. Prior to the third quarter of fiscal 2013, the Company's operating segments were the same as its reportable segments: Advanced Computing Solutions and Mercury Federal Systems. Following a series of acquisitions that expanded the Company's capabilities, the Company initiated a reorganization to group its product and service offerings in the manner which the Company's CODM manages and evaluates the business. Therefore,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utilized the management approach for determining reportable segments in accordance with the authoritative guidance. Beginning with the third quarter ended March 31, 2013, the Company redefined its operating and reportable segments. The following operating segments were determined based upon the nature of the products offered to customers, the market characteristics of each operating segment and the Company's management structure:</w:t>
      </w:r>
    </w:p>
    <w:p>
      <w:pPr>
        <w:spacing w:after="0" w:line="12" w:lineRule="exact"/>
        <w:rPr>
          <w:sz w:val="20"/>
          <w:szCs w:val="20"/>
          <w:color w:val="auto"/>
        </w:rPr>
      </w:pPr>
    </w:p>
    <w:p>
      <w:pPr>
        <w:jc w:val="both"/>
        <w:ind w:left="660" w:hanging="328"/>
        <w:spacing w:after="0" w:line="259"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Mercury Commercial Electronics (“MCE”): this operating segment delivers innovative, commercially developed, open sensor and Big Data processing systems for critical commercial, defense and intelligence applications. MCE delivers solutions that are secure and based upon open architectures and widely adopted industry standards. MCE delivers rapid time-to-value and world-class service and support to our commercial and defense prime contractor customers.</w:t>
      </w:r>
    </w:p>
    <w:p>
      <w:pPr>
        <w:spacing w:after="0" w:line="51" w:lineRule="exact"/>
        <w:rPr>
          <w:rFonts w:ascii="Arial" w:cs="Arial" w:eastAsia="Arial" w:hAnsi="Arial"/>
          <w:sz w:val="18"/>
          <w:szCs w:val="18"/>
          <w:color w:val="auto"/>
        </w:rPr>
      </w:pPr>
    </w:p>
    <w:p>
      <w:pPr>
        <w:jc w:val="both"/>
        <w:ind w:left="660" w:hanging="355"/>
        <w:spacing w:after="0" w:line="30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Mercury Defense Systems (“MDS”): this operating segment delivers innovative, open sensor processing solutions to key defense prime contractors leveraging commercially available technologies and solutions from our MCE business. MDS leverages this technology to develop integrated sensor processing subsystems, often including classified application-specific software and intellectual property (“IP”) for the C4ISR (command, control, communications, computers, intelligence, surveillance and reconnaissance), U.S. Department of Defense agencies, EW, and ECM markets.</w:t>
      </w:r>
    </w:p>
    <w:p>
      <w:pPr>
        <w:spacing w:after="0" w:line="19" w:lineRule="exact"/>
        <w:rPr>
          <w:rFonts w:ascii="Arial" w:cs="Arial" w:eastAsia="Arial" w:hAnsi="Arial"/>
          <w:sz w:val="16"/>
          <w:szCs w:val="16"/>
          <w:color w:val="auto"/>
        </w:rPr>
      </w:pPr>
    </w:p>
    <w:p>
      <w:pPr>
        <w:ind w:left="660" w:right="20" w:hanging="355"/>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Mercury Intelligence Systems (“MIS”): this operating segment delivers technologically advanced hardware and software data processing solutions and predictive analytics capabilities to address the intelligence community and Department of Defense mission needs.</w:t>
      </w:r>
    </w:p>
    <w:p>
      <w:pPr>
        <w:spacing w:after="0" w:line="1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Company's operating segments were evaluated in accordance with FASB ASC 280- “Segment Reporting” in order to determine which operating segments qualified as reportable segments. The Company considered qualitative factors, including the economic characteristics of each operating segment to determine if any of its three operating segments qualified for aggregation into fewer reportable segments.</w:t>
      </w:r>
    </w:p>
    <w:p>
      <w:pPr>
        <w:spacing w:after="0" w:line="3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evaluation of the economic characteristics of its operating segments included comparisons of revenues and applicable growth rates, gross margins, operating margins, future projections, and additional non-GAAP financial measurements which indicate that MDS and MIS have similar economic characteristics. The Company also evaluated the following qualitative factors in accordance with FASB ASC 280 paragraph 10-50-11: the nature of products and services, the corresponding production processes, the types of customers, distribution methods for products and services and the nature of the corresponding regulatory environment associated with its operating segments. The Company determined each of these factors are similar for both the MDS and MIS operating segments and supports the aggregation of MDS and MIS into one reportable segment, Mercury Defense and Intelligence Systems (“MDIS”).</w:t>
      </w:r>
    </w:p>
    <w:p>
      <w:pPr>
        <w:spacing w:after="0" w:line="5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analyzed quantitative thresholds of each reportable segment including but not limited to reported revenues, including sales to external customers and intersegment sales or transfers, reported profits or losses, and total assets of each operating segment. The Company determined that both MCE and MDIS met the quantitative thresholds for reporting.</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reclassified the segment data for the prior periods presented below to conform to the current year's presentation.</w:t>
      </w:r>
    </w:p>
    <w:p>
      <w:pPr>
        <w:spacing w:after="0" w:line="9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accounting policies of the reportable segments are the same as those described in “Note B: Summary of Significant Accounting Policies.” The profitability measure employed by the Company and its CODM as the basis for allocating resources to segments and assessing segment performance is adjusted EBITDA. The Company believes the adjusted EBITDA financial measure assists in providing an enhanced understanding of its underlying operational measures to manage its business, to evaluate its performance compared to prior periods and the marketplace, and to establish operational goals.</w:t>
      </w:r>
    </w:p>
    <w:p>
      <w:pPr>
        <w:spacing w:after="0" w:line="1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Adjusted EBITDA is defined as net income (loss) before interest income and expense, income taxes, depreciation, amortization of acquired intangible assets, restructuring, impairment of long-lived assets, acquisition costs and other related expenses, fair value adjustments from purchase accounting and stock-based compensation costs. Additionally, asset information by reportable segment is not reported because the Company and its CODM utilize consolidated asset information when making business decisions. The following is a summary of the performance of the Company's operations by reportable segment: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51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642"/>
        </w:trPr>
        <w:tc>
          <w:tcPr>
            <w:tcW w:w="1280" w:type="dxa"/>
            <w:vAlign w:val="bottom"/>
            <w:tcBorders>
              <w:top w:val="single" w:sz="8" w:color="0000FF"/>
            </w:tcBorders>
          </w:tcPr>
          <w:p>
            <w:pPr>
              <w:spacing w:after="0"/>
              <w:rPr>
                <w:sz w:val="24"/>
                <w:szCs w:val="24"/>
                <w:color w:val="auto"/>
              </w:rPr>
            </w:pPr>
          </w:p>
        </w:tc>
        <w:tc>
          <w:tcPr>
            <w:tcW w:w="3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b w:val="1"/>
                <w:bCs w:val="1"/>
                <w:color w:val="auto"/>
              </w:rPr>
              <w:t>MCE</w:t>
            </w:r>
          </w:p>
        </w:tc>
        <w:tc>
          <w:tcPr>
            <w:tcW w:w="320" w:type="dxa"/>
            <w:vAlign w:val="bottom"/>
          </w:tcPr>
          <w:p>
            <w:pPr>
              <w:spacing w:after="0"/>
              <w:rPr>
                <w:sz w:val="24"/>
                <w:szCs w:val="24"/>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MDIS</w:t>
            </w:r>
          </w:p>
        </w:tc>
        <w:tc>
          <w:tcPr>
            <w:tcW w:w="18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Eliminations</w:t>
            </w:r>
          </w:p>
        </w:tc>
        <w:tc>
          <w:tcPr>
            <w:tcW w:w="32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7"/>
        </w:trPr>
        <w:tc>
          <w:tcPr>
            <w:tcW w:w="128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ENDED JUNE 30, 2013</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360"/>
              <w:spacing w:after="0"/>
              <w:rPr>
                <w:sz w:val="20"/>
                <w:szCs w:val="20"/>
                <w:color w:val="auto"/>
              </w:rPr>
            </w:pPr>
            <w:r>
              <w:rPr>
                <w:rFonts w:ascii="Arial" w:cs="Arial" w:eastAsia="Arial" w:hAnsi="Arial"/>
                <w:sz w:val="18"/>
                <w:szCs w:val="18"/>
                <w:color w:val="auto"/>
              </w:rPr>
              <w:t>Net revenues to unaffiliated customers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152,606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56,051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208,791</w:t>
            </w:r>
          </w:p>
        </w:tc>
      </w:tr>
      <w:tr>
        <w:trPr>
          <w:trHeight w:val="27"/>
        </w:trPr>
        <w:tc>
          <w:tcPr>
            <w:tcW w:w="12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Intersegment revenues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13,744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51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166,350</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56,063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(13,622)</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208,791</w:t>
            </w:r>
          </w:p>
        </w:tc>
      </w:tr>
      <w:tr>
        <w:trPr>
          <w:trHeight w:val="237"/>
        </w:trPr>
        <w:tc>
          <w:tcPr>
            <w:tcW w:w="51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11,685</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YEAR ENDED JUNE 30, 2012</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revenues to unaffiliated customers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203,979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244,929</w:t>
            </w:r>
          </w:p>
        </w:tc>
      </w:tr>
      <w:tr>
        <w:trPr>
          <w:trHeight w:val="243"/>
        </w:trPr>
        <w:tc>
          <w:tcPr>
            <w:tcW w:w="5160" w:type="dxa"/>
            <w:vAlign w:val="bottom"/>
            <w:gridSpan w:val="2"/>
          </w:tcPr>
          <w:p>
            <w:pPr>
              <w:ind w:left="360"/>
              <w:spacing w:after="0"/>
              <w:rPr>
                <w:sz w:val="20"/>
                <w:szCs w:val="20"/>
                <w:color w:val="auto"/>
              </w:rPr>
            </w:pPr>
            <w:r>
              <w:rPr>
                <w:rFonts w:ascii="Arial" w:cs="Arial" w:eastAsia="Arial" w:hAnsi="Arial"/>
                <w:sz w:val="18"/>
                <w:szCs w:val="18"/>
                <w:color w:val="auto"/>
              </w:rPr>
              <w:t>Intersegment revenues</w:t>
            </w:r>
          </w:p>
        </w:tc>
        <w:tc>
          <w:tcPr>
            <w:tcW w:w="3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12,476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216,455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40,593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244,929</w:t>
            </w:r>
          </w:p>
        </w:tc>
      </w:tr>
      <w:tr>
        <w:trPr>
          <w:trHeight w:val="20"/>
        </w:trPr>
        <w:tc>
          <w:tcPr>
            <w:tcW w:w="12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0"/>
        </w:trPr>
        <w:tc>
          <w:tcPr>
            <w:tcW w:w="5160" w:type="dxa"/>
            <w:vAlign w:val="bottom"/>
            <w:gridSpan w:val="2"/>
          </w:tcPr>
          <w:p>
            <w:pPr>
              <w:ind w:left="360"/>
              <w:spacing w:after="0"/>
              <w:rPr>
                <w:sz w:val="20"/>
                <w:szCs w:val="20"/>
                <w:color w:val="auto"/>
              </w:rPr>
            </w:pPr>
            <w:r>
              <w:rPr>
                <w:rFonts w:ascii="Arial" w:cs="Arial" w:eastAsia="Arial" w:hAnsi="Arial"/>
                <w:sz w:val="18"/>
                <w:szCs w:val="18"/>
                <w:color w:val="auto"/>
              </w:rPr>
              <w:t>Adjusted EBITDA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40,521</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8,205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48,874</w:t>
            </w:r>
          </w:p>
        </w:tc>
      </w:tr>
      <w:tr>
        <w:trPr>
          <w:trHeight w:val="27"/>
        </w:trPr>
        <w:tc>
          <w:tcPr>
            <w:tcW w:w="12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ENDED JUNE 30, 2011</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360"/>
              <w:spacing w:after="0"/>
              <w:rPr>
                <w:sz w:val="20"/>
                <w:szCs w:val="20"/>
                <w:color w:val="auto"/>
              </w:rPr>
            </w:pPr>
            <w:r>
              <w:rPr>
                <w:rFonts w:ascii="Arial" w:cs="Arial" w:eastAsia="Arial" w:hAnsi="Arial"/>
                <w:sz w:val="18"/>
                <w:szCs w:val="18"/>
                <w:color w:val="auto"/>
              </w:rPr>
              <w:t>Net revenues to unaffiliated customers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217,423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11,415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228,710</w:t>
            </w:r>
          </w:p>
        </w:tc>
      </w:tr>
      <w:tr>
        <w:trPr>
          <w:trHeight w:val="27"/>
        </w:trPr>
        <w:tc>
          <w:tcPr>
            <w:tcW w:w="12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Intersegment revenues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51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223,683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11,467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228,710</w:t>
            </w:r>
          </w:p>
        </w:tc>
      </w:tr>
      <w:tr>
        <w:trPr>
          <w:trHeight w:val="230"/>
        </w:trPr>
        <w:tc>
          <w:tcPr>
            <w:tcW w:w="5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Adjusted EBITDA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42,104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40,883</w:t>
            </w:r>
          </w:p>
        </w:tc>
      </w:tr>
      <w:tr>
        <w:trPr>
          <w:trHeight w:val="27"/>
        </w:trPr>
        <w:tc>
          <w:tcPr>
            <w:tcW w:w="128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reconciles the Company's net (loss) income, the most directly comparable GAAP financial measure, to its adjusted EBITDA: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6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w w:val="89"/>
              </w:rPr>
              <w:t>Year Ended June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 thousands)</w:t>
            </w:r>
          </w:p>
        </w:tc>
        <w:tc>
          <w:tcPr>
            <w:tcW w:w="2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3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37"/>
        </w:trPr>
        <w:tc>
          <w:tcPr>
            <w:tcW w:w="47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(loss) income</w:t>
            </w:r>
          </w:p>
        </w:tc>
        <w:tc>
          <w:tcPr>
            <w:tcW w:w="252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(13,208)</w:t>
            </w:r>
          </w:p>
        </w:tc>
        <w:tc>
          <w:tcPr>
            <w:tcW w:w="3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22,619</w:t>
            </w:r>
          </w:p>
        </w:tc>
        <w:tc>
          <w:tcPr>
            <w:tcW w:w="3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18,507</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4760" w:type="dxa"/>
            <w:vAlign w:val="bottom"/>
          </w:tcPr>
          <w:p>
            <w:pPr>
              <w:ind w:left="360"/>
              <w:spacing w:after="0"/>
              <w:rPr>
                <w:sz w:val="20"/>
                <w:szCs w:val="20"/>
                <w:color w:val="auto"/>
              </w:rPr>
            </w:pPr>
            <w:r>
              <w:rPr>
                <w:rFonts w:ascii="Arial" w:cs="Arial" w:eastAsia="Arial" w:hAnsi="Arial"/>
                <w:sz w:val="18"/>
                <w:szCs w:val="18"/>
                <w:color w:val="auto"/>
              </w:rPr>
              <w:t>Tax (benefit) provision</w:t>
            </w:r>
          </w:p>
        </w:tc>
        <w:tc>
          <w:tcPr>
            <w:tcW w:w="2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(9,954)</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9,152</w:t>
            </w:r>
          </w:p>
        </w:tc>
        <w:tc>
          <w:tcPr>
            <w:tcW w:w="3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8,060</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2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8,492</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7,859</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6,364</w:t>
            </w:r>
          </w:p>
        </w:tc>
        <w:tc>
          <w:tcPr>
            <w:tcW w:w="0" w:type="dxa"/>
            <w:vAlign w:val="bottom"/>
          </w:tcPr>
          <w:p>
            <w:pPr>
              <w:spacing w:after="0"/>
              <w:rPr>
                <w:sz w:val="1"/>
                <w:szCs w:val="1"/>
                <w:color w:val="auto"/>
              </w:rPr>
            </w:pPr>
          </w:p>
        </w:tc>
      </w:tr>
      <w:tr>
        <w:trPr>
          <w:trHeight w:val="243"/>
        </w:trPr>
        <w:tc>
          <w:tcPr>
            <w:tcW w:w="476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2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8,717</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3,799</w:t>
            </w:r>
          </w:p>
        </w:tc>
        <w:tc>
          <w:tcPr>
            <w:tcW w:w="3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Restructuring and other charges</w:t>
            </w:r>
          </w:p>
        </w:tc>
        <w:tc>
          <w:tcPr>
            <w:tcW w:w="2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7,056</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tcPr>
          <w:p>
            <w:pPr>
              <w:ind w:left="360"/>
              <w:spacing w:after="0"/>
              <w:rPr>
                <w:sz w:val="20"/>
                <w:szCs w:val="20"/>
                <w:color w:val="auto"/>
              </w:rPr>
            </w:pPr>
            <w:r>
              <w:rPr>
                <w:rFonts w:ascii="Arial" w:cs="Arial" w:eastAsia="Arial" w:hAnsi="Arial"/>
                <w:sz w:val="18"/>
                <w:szCs w:val="18"/>
                <w:color w:val="auto"/>
              </w:rPr>
              <w:t>Impairment of long-lived assets</w:t>
            </w:r>
          </w:p>
        </w:tc>
        <w:tc>
          <w:tcPr>
            <w:tcW w:w="2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Acquisition costs and other related expenses</w:t>
            </w:r>
          </w:p>
        </w:tc>
        <w:tc>
          <w:tcPr>
            <w:tcW w:w="2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43"/>
        </w:trPr>
        <w:tc>
          <w:tcPr>
            <w:tcW w:w="4760" w:type="dxa"/>
            <w:vAlign w:val="bottom"/>
          </w:tcPr>
          <w:p>
            <w:pPr>
              <w:ind w:left="360"/>
              <w:spacing w:after="0"/>
              <w:rPr>
                <w:sz w:val="20"/>
                <w:szCs w:val="20"/>
                <w:color w:val="auto"/>
              </w:rPr>
            </w:pPr>
            <w:r>
              <w:rPr>
                <w:rFonts w:ascii="Arial" w:cs="Arial" w:eastAsia="Arial" w:hAnsi="Arial"/>
                <w:sz w:val="18"/>
                <w:szCs w:val="18"/>
                <w:color w:val="auto"/>
              </w:rPr>
              <w:t>Fair value adjustments from purchase accounting</w:t>
            </w:r>
          </w:p>
        </w:tc>
        <w:tc>
          <w:tcPr>
            <w:tcW w:w="2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2,293</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(5,238)</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21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7,940</w:t>
            </w:r>
          </w:p>
        </w:tc>
        <w:tc>
          <w:tcPr>
            <w:tcW w:w="3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5,580</w:t>
            </w:r>
          </w:p>
        </w:tc>
        <w:tc>
          <w:tcPr>
            <w:tcW w:w="0" w:type="dxa"/>
            <w:vAlign w:val="bottom"/>
          </w:tcPr>
          <w:p>
            <w:pPr>
              <w:spacing w:after="0"/>
              <w:rPr>
                <w:sz w:val="1"/>
                <w:szCs w:val="1"/>
                <w:color w:val="auto"/>
              </w:rPr>
            </w:pPr>
          </w:p>
        </w:tc>
      </w:tr>
      <w:tr>
        <w:trPr>
          <w:trHeight w:val="257"/>
        </w:trPr>
        <w:tc>
          <w:tcPr>
            <w:tcW w:w="476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1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11,685</w:t>
            </w:r>
          </w:p>
        </w:tc>
        <w:tc>
          <w:tcPr>
            <w:tcW w:w="3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48,874</w:t>
            </w:r>
          </w:p>
        </w:tc>
        <w:tc>
          <w:tcPr>
            <w:tcW w:w="3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40,883</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180" w:type="dxa"/>
            <w:vAlign w:val="bottom"/>
            <w:vMerge w:val="restart"/>
          </w:tcPr>
          <w:p>
            <w:pPr>
              <w:jc w:val="right"/>
              <w:ind w:right="1050"/>
              <w:spacing w:after="0"/>
              <w:rPr>
                <w:sz w:val="20"/>
                <w:szCs w:val="20"/>
                <w:color w:val="auto"/>
              </w:rPr>
            </w:pPr>
            <w:r>
              <w:rPr>
                <w:rFonts w:ascii="Arial" w:cs="Arial" w:eastAsia="Arial" w:hAnsi="Arial"/>
                <w:sz w:val="18"/>
                <w:szCs w:val="18"/>
                <w:color w:val="auto"/>
              </w:rPr>
              <w:t>71</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6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geographic distribution of the Company's revenues is summarized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2"/>
          </w:tcPr>
          <w:p>
            <w:pPr>
              <w:ind w:left="260"/>
              <w:spacing w:after="0"/>
              <w:rPr>
                <w:sz w:val="20"/>
                <w:szCs w:val="20"/>
                <w:color w:val="auto"/>
              </w:rPr>
            </w:pPr>
            <w:r>
              <w:rPr>
                <w:rFonts w:ascii="Arial" w:cs="Arial" w:eastAsia="Arial" w:hAnsi="Arial"/>
                <w:sz w:val="18"/>
                <w:szCs w:val="18"/>
                <w:b w:val="1"/>
                <w:bCs w:val="1"/>
                <w:color w:val="auto"/>
              </w:rPr>
              <w:t>US</w:t>
            </w:r>
          </w:p>
        </w:tc>
        <w:tc>
          <w:tcPr>
            <w:tcW w:w="30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Europe</w:t>
            </w:r>
          </w:p>
        </w:tc>
        <w:tc>
          <w:tcPr>
            <w:tcW w:w="20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Asia Pacific</w:t>
            </w:r>
          </w:p>
        </w:tc>
        <w:tc>
          <w:tcPr>
            <w:tcW w:w="18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Eliminations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JUNE 30, 2013</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360"/>
              <w:spacing w:after="0"/>
              <w:rPr>
                <w:sz w:val="20"/>
                <w:szCs w:val="20"/>
                <w:color w:val="auto"/>
              </w:rPr>
            </w:pPr>
            <w:r>
              <w:rPr>
                <w:rFonts w:ascii="Arial" w:cs="Arial" w:eastAsia="Arial" w:hAnsi="Arial"/>
                <w:sz w:val="18"/>
                <w:szCs w:val="18"/>
                <w:color w:val="auto"/>
              </w:rPr>
              <w:t>Net revenues to unaffiliated customers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197,087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4,632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7,072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208,791</w:t>
            </w: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Inter-geographic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8,734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3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revenues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205,821</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5,017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7,219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208,791</w:t>
            </w:r>
          </w:p>
        </w:tc>
      </w:tr>
      <w:tr>
        <w:trPr>
          <w:trHeight w:val="237"/>
        </w:trPr>
        <w:tc>
          <w:tcPr>
            <w:tcW w:w="3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Identifiable long-lived assets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14,986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15,019</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YEAR ENDED JUNE 30, 2012</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revenues to unaffiliated customers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235,292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244,929</w:t>
            </w:r>
          </w:p>
        </w:tc>
      </w:tr>
      <w:tr>
        <w:trPr>
          <w:trHeight w:val="243"/>
        </w:trPr>
        <w:tc>
          <w:tcPr>
            <w:tcW w:w="3540" w:type="dxa"/>
            <w:vAlign w:val="bottom"/>
          </w:tcPr>
          <w:p>
            <w:pPr>
              <w:ind w:left="360"/>
              <w:spacing w:after="0"/>
              <w:rPr>
                <w:sz w:val="20"/>
                <w:szCs w:val="20"/>
                <w:color w:val="auto"/>
              </w:rPr>
            </w:pPr>
            <w:r>
              <w:rPr>
                <w:rFonts w:ascii="Arial" w:cs="Arial" w:eastAsia="Arial" w:hAnsi="Arial"/>
                <w:sz w:val="18"/>
                <w:szCs w:val="18"/>
                <w:color w:val="auto"/>
              </w:rPr>
              <w:t>Inter-geographic revenues</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5,511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240,803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244,929</w:t>
            </w:r>
          </w:p>
        </w:tc>
      </w:tr>
      <w:tr>
        <w:trPr>
          <w:trHeight w:val="20"/>
        </w:trPr>
        <w:tc>
          <w:tcPr>
            <w:tcW w:w="3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0"/>
        </w:trPr>
        <w:tc>
          <w:tcPr>
            <w:tcW w:w="3540" w:type="dxa"/>
            <w:vAlign w:val="bottom"/>
          </w:tcPr>
          <w:p>
            <w:pPr>
              <w:ind w:left="360"/>
              <w:spacing w:after="0"/>
              <w:rPr>
                <w:sz w:val="20"/>
                <w:szCs w:val="20"/>
                <w:color w:val="auto"/>
              </w:rPr>
            </w:pPr>
            <w:r>
              <w:rPr>
                <w:rFonts w:ascii="Arial" w:cs="Arial" w:eastAsia="Arial" w:hAnsi="Arial"/>
                <w:sz w:val="18"/>
                <w:szCs w:val="18"/>
                <w:color w:val="auto"/>
              </w:rPr>
              <w:t>Identifiable long-lived assets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15,895</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15,929</w:t>
            </w: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JUNE 30, 2011</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360"/>
              <w:spacing w:after="0"/>
              <w:rPr>
                <w:sz w:val="20"/>
                <w:szCs w:val="20"/>
                <w:color w:val="auto"/>
              </w:rPr>
            </w:pPr>
            <w:r>
              <w:rPr>
                <w:rFonts w:ascii="Arial" w:cs="Arial" w:eastAsia="Arial" w:hAnsi="Arial"/>
                <w:sz w:val="18"/>
                <w:szCs w:val="18"/>
                <w:color w:val="auto"/>
              </w:rPr>
              <w:t>Net revenues to unaffiliated customers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219,435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3,665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5,610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228,710</w:t>
            </w: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Inter-geographic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5,637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3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revenues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225,072</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5,942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5,853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228,710</w:t>
            </w:r>
          </w:p>
        </w:tc>
      </w:tr>
      <w:tr>
        <w:trPr>
          <w:trHeight w:val="230"/>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Identifiable long-lived assets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15,390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16,118</w:t>
            </w:r>
          </w:p>
        </w:tc>
      </w:tr>
      <w:tr>
        <w:trPr>
          <w:trHeight w:val="27"/>
        </w:trPr>
        <w:tc>
          <w:tcPr>
            <w:tcW w:w="35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Foreign revenue is based on the country in which the Company's legal subsidiary is domiciled. Identifiable long-lived assets exclude goodwill and intangible assets.</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Customers comprising 10% or more of the Company's revenues for the periods shown below are as follows:</w:t>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3240" w:type="dxa"/>
            <w:vAlign w:val="bottom"/>
            <w:gridSpan w:val="2"/>
          </w:tcPr>
          <w:p>
            <w:pPr>
              <w:ind w:left="1400"/>
              <w:spacing w:after="0"/>
              <w:rPr>
                <w:sz w:val="20"/>
                <w:szCs w:val="20"/>
                <w:color w:val="auto"/>
              </w:rPr>
            </w:pPr>
            <w:r>
              <w:rPr>
                <w:rFonts w:ascii="Arial" w:cs="Arial" w:eastAsia="Arial" w:hAnsi="Arial"/>
                <w:sz w:val="18"/>
                <w:szCs w:val="18"/>
                <w:b w:val="1"/>
                <w:bCs w:val="1"/>
                <w:color w:val="auto"/>
              </w:rPr>
              <w:t>Year Ended June 30,</w:t>
            </w:r>
          </w:p>
        </w:tc>
        <w:tc>
          <w:tcPr>
            <w:tcW w:w="1120" w:type="dxa"/>
            <w:vAlign w:val="bottom"/>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00" w:type="dxa"/>
            <w:vAlign w:val="bottom"/>
          </w:tcPr>
          <w:p>
            <w:pPr>
              <w:spacing w:after="0"/>
              <w:rPr>
                <w:sz w:val="20"/>
                <w:szCs w:val="20"/>
                <w:color w:val="auto"/>
              </w:rPr>
            </w:pPr>
          </w:p>
        </w:tc>
        <w:tc>
          <w:tcPr>
            <w:tcW w:w="1740" w:type="dxa"/>
            <w:vAlign w:val="bottom"/>
          </w:tcPr>
          <w:p>
            <w:pPr>
              <w:ind w:left="560"/>
              <w:spacing w:after="0"/>
              <w:rPr>
                <w:sz w:val="20"/>
                <w:szCs w:val="20"/>
                <w:color w:val="auto"/>
              </w:rPr>
            </w:pPr>
            <w:r>
              <w:rPr>
                <w:rFonts w:ascii="Arial" w:cs="Arial" w:eastAsia="Arial" w:hAnsi="Arial"/>
                <w:sz w:val="18"/>
                <w:szCs w:val="18"/>
                <w:b w:val="1"/>
                <w:bCs w:val="1"/>
                <w:color w:val="auto"/>
              </w:rPr>
              <w:t>2013</w:t>
            </w:r>
          </w:p>
        </w:tc>
        <w:tc>
          <w:tcPr>
            <w:tcW w:w="1500" w:type="dxa"/>
            <w:vAlign w:val="bottom"/>
          </w:tcPr>
          <w:p>
            <w:pPr>
              <w:ind w:left="300"/>
              <w:spacing w:after="0"/>
              <w:rPr>
                <w:sz w:val="20"/>
                <w:szCs w:val="20"/>
                <w:color w:val="auto"/>
              </w:rPr>
            </w:pPr>
            <w:r>
              <w:rPr>
                <w:rFonts w:ascii="Arial" w:cs="Arial" w:eastAsia="Arial" w:hAnsi="Arial"/>
                <w:sz w:val="18"/>
                <w:szCs w:val="18"/>
                <w:b w:val="1"/>
                <w:bCs w:val="1"/>
                <w:color w:val="auto"/>
              </w:rPr>
              <w:t>2012</w:t>
            </w:r>
          </w:p>
        </w:tc>
        <w:tc>
          <w:tcPr>
            <w:tcW w:w="1120" w:type="dxa"/>
            <w:vAlign w:val="bottom"/>
          </w:tcPr>
          <w:p>
            <w:pPr>
              <w:ind w:left="240"/>
              <w:spacing w:after="0"/>
              <w:rPr>
                <w:sz w:val="20"/>
                <w:szCs w:val="20"/>
                <w:color w:val="auto"/>
              </w:rPr>
            </w:pPr>
            <w:r>
              <w:rPr>
                <w:rFonts w:ascii="Arial" w:cs="Arial" w:eastAsia="Arial" w:hAnsi="Arial"/>
                <w:sz w:val="18"/>
                <w:szCs w:val="18"/>
                <w:b w:val="1"/>
                <w:bCs w:val="1"/>
                <w:color w:val="auto"/>
              </w:rPr>
              <w:t>2011</w:t>
            </w:r>
          </w:p>
        </w:tc>
      </w:tr>
      <w:tr>
        <w:trPr>
          <w:trHeight w:val="27"/>
        </w:trPr>
        <w:tc>
          <w:tcPr>
            <w:tcW w:w="59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Lockheed Martin Corporation</w:t>
            </w:r>
          </w:p>
        </w:tc>
        <w:tc>
          <w:tcPr>
            <w:tcW w:w="174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17%</w:t>
            </w:r>
          </w:p>
        </w:tc>
        <w:tc>
          <w:tcPr>
            <w:tcW w:w="15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15%</w:t>
            </w:r>
          </w:p>
        </w:tc>
        <w:tc>
          <w:tcPr>
            <w:tcW w:w="11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w w:val="94"/>
              </w:rPr>
              <w:t>13%</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Raytheon Company</w:t>
            </w:r>
          </w:p>
        </w:tc>
        <w:tc>
          <w:tcPr>
            <w:tcW w:w="1740" w:type="dxa"/>
            <w:vAlign w:val="bottom"/>
          </w:tcPr>
          <w:p>
            <w:pPr>
              <w:ind w:left="1120"/>
              <w:spacing w:after="0"/>
              <w:rPr>
                <w:sz w:val="20"/>
                <w:szCs w:val="20"/>
                <w:color w:val="auto"/>
              </w:rPr>
            </w:pPr>
            <w:r>
              <w:rPr>
                <w:rFonts w:ascii="Arial" w:cs="Arial" w:eastAsia="Arial" w:hAnsi="Arial"/>
                <w:sz w:val="18"/>
                <w:szCs w:val="18"/>
                <w:color w:val="auto"/>
              </w:rPr>
              <w:t>10</w:t>
            </w:r>
          </w:p>
        </w:tc>
        <w:tc>
          <w:tcPr>
            <w:tcW w:w="1500" w:type="dxa"/>
            <w:vAlign w:val="bottom"/>
          </w:tcPr>
          <w:p>
            <w:pPr>
              <w:ind w:left="860"/>
              <w:spacing w:after="0"/>
              <w:rPr>
                <w:sz w:val="20"/>
                <w:szCs w:val="20"/>
                <w:color w:val="auto"/>
              </w:rPr>
            </w:pPr>
            <w:r>
              <w:rPr>
                <w:rFonts w:ascii="Arial" w:cs="Arial" w:eastAsia="Arial" w:hAnsi="Arial"/>
                <w:sz w:val="18"/>
                <w:szCs w:val="18"/>
                <w:color w:val="auto"/>
              </w:rPr>
              <w:t>22</w:t>
            </w:r>
          </w:p>
        </w:tc>
        <w:tc>
          <w:tcPr>
            <w:tcW w:w="1120" w:type="dxa"/>
            <w:vAlign w:val="bottom"/>
          </w:tcPr>
          <w:p>
            <w:pPr>
              <w:ind w:left="760"/>
              <w:spacing w:after="0"/>
              <w:rPr>
                <w:sz w:val="20"/>
                <w:szCs w:val="20"/>
                <w:color w:val="auto"/>
              </w:rPr>
            </w:pPr>
            <w:r>
              <w:rPr>
                <w:rFonts w:ascii="Arial" w:cs="Arial" w:eastAsia="Arial" w:hAnsi="Arial"/>
                <w:sz w:val="18"/>
                <w:szCs w:val="18"/>
                <w:color w:val="auto"/>
              </w:rPr>
              <w:t>17</w:t>
            </w:r>
          </w:p>
        </w:tc>
      </w:tr>
      <w:tr>
        <w:trPr>
          <w:trHeight w:val="27"/>
        </w:trPr>
        <w:tc>
          <w:tcPr>
            <w:tcW w:w="5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Northrop Grumman Corporation</w:t>
            </w:r>
          </w:p>
        </w:tc>
        <w:tc>
          <w:tcPr>
            <w:tcW w:w="174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10</w:t>
            </w:r>
          </w:p>
        </w:tc>
        <w:tc>
          <w:tcPr>
            <w:tcW w:w="15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17</w:t>
            </w:r>
          </w:p>
        </w:tc>
        <w:tc>
          <w:tcPr>
            <w:tcW w:w="11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21</w:t>
            </w:r>
          </w:p>
        </w:tc>
      </w:tr>
      <w:tr>
        <w:trPr>
          <w:trHeight w:val="237"/>
        </w:trPr>
        <w:tc>
          <w:tcPr>
            <w:tcW w:w="5900" w:type="dxa"/>
            <w:vAlign w:val="bottom"/>
          </w:tcPr>
          <w:p>
            <w:pPr>
              <w:spacing w:after="0"/>
              <w:rPr>
                <w:sz w:val="20"/>
                <w:szCs w:val="20"/>
                <w:color w:val="auto"/>
              </w:rPr>
            </w:pPr>
          </w:p>
        </w:tc>
        <w:tc>
          <w:tcPr>
            <w:tcW w:w="1740" w:type="dxa"/>
            <w:vAlign w:val="bottom"/>
            <w:tcBorders>
              <w:top w:val="single" w:sz="8" w:color="auto"/>
            </w:tcBorders>
          </w:tcPr>
          <w:p>
            <w:pPr>
              <w:ind w:left="1120"/>
              <w:spacing w:after="0"/>
              <w:rPr>
                <w:sz w:val="20"/>
                <w:szCs w:val="20"/>
                <w:color w:val="auto"/>
              </w:rPr>
            </w:pPr>
            <w:r>
              <w:rPr>
                <w:rFonts w:ascii="Arial" w:cs="Arial" w:eastAsia="Arial" w:hAnsi="Arial"/>
                <w:sz w:val="18"/>
                <w:szCs w:val="18"/>
                <w:color w:val="auto"/>
              </w:rPr>
              <w:t>37%</w:t>
            </w:r>
          </w:p>
        </w:tc>
        <w:tc>
          <w:tcPr>
            <w:tcW w:w="150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54%</w:t>
            </w:r>
          </w:p>
        </w:tc>
        <w:tc>
          <w:tcPr>
            <w:tcW w:w="112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94"/>
              </w:rPr>
              <w:t>51%</w:t>
            </w:r>
          </w:p>
        </w:tc>
      </w:tr>
      <w:tr>
        <w:trPr>
          <w:trHeight w:val="27"/>
        </w:trPr>
        <w:tc>
          <w:tcPr>
            <w:tcW w:w="59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9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Although the Company has several customers from which it derives 10% or more of its revenue, the sales to each of these customers are spread across multiple programs and platforms. For the fiscal year ended June 30, 2012, the Aegis program individually comprised 11% of the Company's revenues. For the fiscal years ended June 30, 2013 and 2011, no single program comprised 10% or more of the Company's revenues.</w:t>
      </w:r>
    </w:p>
    <w:p>
      <w:pPr>
        <w:spacing w:after="0" w:line="135" w:lineRule="exact"/>
        <w:rPr>
          <w:sz w:val="20"/>
          <w:szCs w:val="20"/>
          <w:color w:val="auto"/>
        </w:rPr>
      </w:pPr>
    </w:p>
    <w:p>
      <w:pPr>
        <w:ind w:left="840" w:hanging="832"/>
        <w:spacing w:after="0"/>
        <w:tabs>
          <w:tab w:leader="none" w:pos="8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8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has evaluated subsequent events from the date of the consolidated balance sheet through the date the consolidated financial statements were 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SUPPLEMENTARY INFORMATION (UNAUDITED)</w:t>
      </w:r>
    </w:p>
    <w:p>
      <w:pPr>
        <w:spacing w:after="0" w:line="17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following sets forth certain unaudited consolidated quarterly statements of operations data for each of the Company’s last eight quarters. In management’s opinion, this quarterly information reflects all adjustments, consisting only of normal recurring adjustments, necessary for a fair presentation for the periods presented. Such quarterly results are not necessarily indicative of future results of operations and should be read in conjunction with the audited consolidated financial statements of the Company and the notes thereto included elsewhere herein.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2013 (In thousands, except per share data)</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1ST QUARTER</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4TH QUARTER</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49,428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55,436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20,390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17,572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22,574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22,132</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(Loss) income before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(10,851)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(6,976)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(3,891)</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provision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(7,200)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(4,784)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earnings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Basic net (loss) earnings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net (loss)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2012 (In thousands, except per share data)</w:t>
            </w:r>
          </w:p>
        </w:tc>
        <w:tc>
          <w:tcPr>
            <w:tcW w:w="180" w:type="dxa"/>
            <w:vAlign w:val="bottom"/>
          </w:tcPr>
          <w:p>
            <w:pPr>
              <w:spacing w:after="0"/>
              <w:rPr>
                <w:sz w:val="22"/>
                <w:szCs w:val="22"/>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1ST QUARTER</w:t>
            </w:r>
          </w:p>
        </w:tc>
        <w:tc>
          <w:tcPr>
            <w:tcW w:w="18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22"/>
                <w:szCs w:val="22"/>
                <w:color w:val="auto"/>
              </w:rPr>
            </w:pPr>
          </w:p>
        </w:tc>
        <w:tc>
          <w:tcPr>
            <w:tcW w:w="1300" w:type="dxa"/>
            <w:vAlign w:val="bottom"/>
          </w:tcPr>
          <w:p>
            <w:pPr>
              <w:jc w:val="right"/>
              <w:ind w:right="132"/>
              <w:spacing w:after="0"/>
              <w:rPr>
                <w:sz w:val="20"/>
                <w:szCs w:val="20"/>
                <w:color w:val="auto"/>
              </w:rPr>
            </w:pPr>
            <w:r>
              <w:rPr>
                <w:rFonts w:ascii="Arial" w:cs="Arial" w:eastAsia="Arial" w:hAnsi="Arial"/>
                <w:sz w:val="14"/>
                <w:szCs w:val="14"/>
                <w:b w:val="1"/>
                <w:bCs w:val="1"/>
                <w:color w:val="auto"/>
              </w:rPr>
              <w:t>4TH QUARTER</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49,122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67,959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66,989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60,859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29,916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40,913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35,063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30,264</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5,956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3,967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13,873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7,625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6,306</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2,653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9,045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5,245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5,676</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Basic net earnings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0.19</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 net earnings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0.19</w:t>
            </w:r>
          </w:p>
        </w:tc>
      </w:tr>
      <w:tr>
        <w:trPr>
          <w:trHeight w:val="27"/>
        </w:trPr>
        <w:tc>
          <w:tcPr>
            <w:tcW w:w="5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ind w:left="60"/>
        <w:spacing w:after="0"/>
        <w:rPr>
          <w:sz w:val="20"/>
          <w:szCs w:val="20"/>
          <w:color w:val="auto"/>
        </w:rPr>
      </w:pPr>
      <w:r>
        <w:rPr>
          <w:rFonts w:ascii="Arial" w:cs="Arial" w:eastAsia="Arial" w:hAnsi="Arial"/>
          <w:sz w:val="18"/>
          <w:szCs w:val="18"/>
          <w:color w:val="auto"/>
        </w:rPr>
        <w:t>* Due to the effects of rounding, the sum of the four quarters does not equal the annual total.</w:t>
      </w:r>
    </w:p>
    <w:p>
      <w:pPr>
        <w:spacing w:after="0" w:line="369" w:lineRule="exact"/>
        <w:rPr>
          <w:sz w:val="20"/>
          <w:szCs w:val="20"/>
          <w:color w:val="auto"/>
        </w:rPr>
      </w:pPr>
    </w:p>
    <w:p>
      <w:pPr>
        <w:ind w:left="340" w:right="620" w:hanging="323"/>
        <w:spacing w:after="0" w:line="261" w:lineRule="auto"/>
        <w:rPr>
          <w:sz w:val="20"/>
          <w:szCs w:val="20"/>
          <w:color w:val="auto"/>
        </w:rPr>
      </w:pPr>
      <w:r>
        <w:rPr>
          <w:rFonts w:ascii="Arial" w:cs="Arial" w:eastAsia="Arial" w:hAnsi="Arial"/>
          <w:sz w:val="18"/>
          <w:szCs w:val="18"/>
          <w:b w:val="1"/>
          <w:bCs w:val="1"/>
          <w:color w:val="auto"/>
        </w:rPr>
        <w:t>ITEM 9.</w:t>
      </w:r>
      <w:r>
        <w:rPr>
          <w:sz w:val="20"/>
          <w:szCs w:val="20"/>
          <w:color w:val="auto"/>
        </w:rPr>
        <w:t xml:space="preserve"> </w:t>
      </w:r>
      <w:r>
        <w:rPr>
          <w:rFonts w:ascii="Arial" w:cs="Arial" w:eastAsia="Arial" w:hAnsi="Arial"/>
          <w:sz w:val="18"/>
          <w:szCs w:val="18"/>
          <w:b w:val="1"/>
          <w:bCs w:val="1"/>
          <w:color w:val="auto"/>
        </w:rPr>
        <w:t xml:space="preserve">CHANGES IN AND DISAGREEMENTS WITH ACCOUNTANTS ON ACCOUNTING AND FINANCIAL DISCLOSURE </w:t>
      </w:r>
      <w:r>
        <w:rPr>
          <w:rFonts w:ascii="Arial" w:cs="Arial" w:eastAsia="Arial" w:hAnsi="Arial"/>
          <w:sz w:val="18"/>
          <w:szCs w:val="18"/>
          <w:color w:val="auto"/>
        </w:rPr>
        <w:t>None.</w:t>
      </w:r>
    </w:p>
    <w:p>
      <w:pPr>
        <w:spacing w:after="0" w:line="387"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89"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4"/>
          <w:szCs w:val="14"/>
          <w:color w:val="auto"/>
        </w:rPr>
        <w:t>FFECTIVENESS OF</w:t>
      </w:r>
      <w:r>
        <w:rPr>
          <w:rFonts w:ascii="Arial" w:cs="Arial" w:eastAsia="Arial" w:hAnsi="Arial"/>
          <w:sz w:val="18"/>
          <w:szCs w:val="18"/>
          <w:color w:val="auto"/>
        </w:rPr>
        <w:t xml:space="preserve"> D</w:t>
      </w:r>
      <w:r>
        <w:rPr>
          <w:rFonts w:ascii="Arial" w:cs="Arial" w:eastAsia="Arial" w:hAnsi="Arial"/>
          <w:sz w:val="14"/>
          <w:szCs w:val="14"/>
          <w:color w:val="auto"/>
        </w:rPr>
        <w:t>ISCLOSURE</w:t>
      </w:r>
      <w:r>
        <w:rPr>
          <w:rFonts w:ascii="Arial" w:cs="Arial" w:eastAsia="Arial" w:hAnsi="Arial"/>
          <w:sz w:val="18"/>
          <w:szCs w:val="18"/>
          <w:color w:val="auto"/>
        </w:rPr>
        <w:t xml:space="preserve"> C</w:t>
      </w:r>
      <w:r>
        <w:rPr>
          <w:rFonts w:ascii="Arial" w:cs="Arial" w:eastAsia="Arial" w:hAnsi="Arial"/>
          <w:sz w:val="14"/>
          <w:szCs w:val="14"/>
          <w:color w:val="auto"/>
        </w:rPr>
        <w:t>ONTROLS AND</w:t>
      </w:r>
      <w:r>
        <w:rPr>
          <w:rFonts w:ascii="Arial" w:cs="Arial" w:eastAsia="Arial" w:hAnsi="Arial"/>
          <w:sz w:val="18"/>
          <w:szCs w:val="18"/>
          <w:color w:val="auto"/>
        </w:rPr>
        <w:t xml:space="preserve"> P</w:t>
      </w:r>
      <w:r>
        <w:rPr>
          <w:rFonts w:ascii="Arial" w:cs="Arial" w:eastAsia="Arial" w:hAnsi="Arial"/>
          <w:sz w:val="14"/>
          <w:szCs w:val="14"/>
          <w:color w:val="auto"/>
        </w:rPr>
        <w:t>ROCEDURES</w:t>
      </w:r>
    </w:p>
    <w:p>
      <w:pPr>
        <w:spacing w:after="0" w:line="18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conducted an evaluation as of June 30, 2013 under the supervision and with the participation of our management, including our Chief Executive Officer and Chief Financial Officer (our principal executive officer and principal financial officer, respectively), and concluded that our disclosure controls and procedures (as defined in Rule 13a-15(e) or Rule 15d-15(e) under the Securities Exchange Act of 1934, as amended, the “Exchange Act”) were effective as of June 30, 2013 to ensure that the information required to be disclosed by us in reports that we file or submit under the Exchange Act is recorded, processed, summarized and reported within the time periods specified in the SEC’s rules and forms and that it is accumulated and communicated to our management, including our Chief Executive Officer and Chief Financial Officer, to allow timely decisions regarding required disclosure.</w:t>
      </w:r>
    </w:p>
    <w:p>
      <w:pPr>
        <w:spacing w:after="0" w:line="111"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4"/>
          <w:szCs w:val="14"/>
          <w:color w:val="auto"/>
        </w:rPr>
        <w:t>NHERENT</w:t>
      </w:r>
      <w:r>
        <w:rPr>
          <w:rFonts w:ascii="Arial" w:cs="Arial" w:eastAsia="Arial" w:hAnsi="Arial"/>
          <w:sz w:val="18"/>
          <w:szCs w:val="18"/>
          <w:color w:val="auto"/>
        </w:rPr>
        <w:t xml:space="preserve"> L</w:t>
      </w:r>
      <w:r>
        <w:rPr>
          <w:rFonts w:ascii="Arial" w:cs="Arial" w:eastAsia="Arial" w:hAnsi="Arial"/>
          <w:sz w:val="14"/>
          <w:szCs w:val="14"/>
          <w:color w:val="auto"/>
        </w:rPr>
        <w:t>IMITATIONS ON</w:t>
      </w:r>
      <w:r>
        <w:rPr>
          <w:rFonts w:ascii="Arial" w:cs="Arial" w:eastAsia="Arial" w:hAnsi="Arial"/>
          <w:sz w:val="18"/>
          <w:szCs w:val="18"/>
          <w:color w:val="auto"/>
        </w:rPr>
        <w:t xml:space="preserve"> E</w:t>
      </w:r>
      <w:r>
        <w:rPr>
          <w:rFonts w:ascii="Arial" w:cs="Arial" w:eastAsia="Arial" w:hAnsi="Arial"/>
          <w:sz w:val="14"/>
          <w:szCs w:val="14"/>
          <w:color w:val="auto"/>
        </w:rPr>
        <w:t>FFECTIVENESS OF</w:t>
      </w:r>
      <w:r>
        <w:rPr>
          <w:rFonts w:ascii="Arial" w:cs="Arial" w:eastAsia="Arial" w:hAnsi="Arial"/>
          <w:sz w:val="18"/>
          <w:szCs w:val="18"/>
          <w:color w:val="auto"/>
        </w:rPr>
        <w:t xml:space="preserve"> C</w:t>
      </w:r>
      <w:r>
        <w:rPr>
          <w:rFonts w:ascii="Arial" w:cs="Arial" w:eastAsia="Arial" w:hAnsi="Arial"/>
          <w:sz w:val="14"/>
          <w:szCs w:val="14"/>
          <w:color w:val="auto"/>
        </w:rPr>
        <w:t>ONTROLS</w:t>
      </w:r>
    </w:p>
    <w:p>
      <w:pPr>
        <w:spacing w:after="0" w:line="18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management, including the Chief Executive Officer and Chief Financial Officer, does not expect that our internal control over financial reporting or our internal controls will prevent or detect all errors and all fraud. A control system, no matter how well designed and operated, can provide only reasonable, not absolute, assurance that the control system’s objectives will be met. 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00"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w:t>
      </w:r>
      <w:r>
        <w:rPr>
          <w:rFonts w:ascii="Arial" w:cs="Arial" w:eastAsia="Arial" w:hAnsi="Arial"/>
          <w:sz w:val="14"/>
          <w:szCs w:val="14"/>
          <w:color w:val="auto"/>
        </w:rPr>
        <w:t>ANAGEMENT</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A</w:t>
      </w:r>
      <w:r>
        <w:rPr>
          <w:rFonts w:ascii="Arial" w:cs="Arial" w:eastAsia="Arial" w:hAnsi="Arial"/>
          <w:sz w:val="14"/>
          <w:szCs w:val="14"/>
          <w:color w:val="auto"/>
        </w:rPr>
        <w:t>NNUAL</w:t>
      </w:r>
      <w:r>
        <w:rPr>
          <w:rFonts w:ascii="Arial" w:cs="Arial" w:eastAsia="Arial" w:hAnsi="Arial"/>
          <w:sz w:val="18"/>
          <w:szCs w:val="18"/>
          <w:color w:val="auto"/>
        </w:rPr>
        <w:t xml:space="preserve"> R</w:t>
      </w:r>
      <w:r>
        <w:rPr>
          <w:rFonts w:ascii="Arial" w:cs="Arial" w:eastAsia="Arial" w:hAnsi="Arial"/>
          <w:sz w:val="14"/>
          <w:szCs w:val="14"/>
          <w:color w:val="auto"/>
        </w:rPr>
        <w:t>EPORT ON</w:t>
      </w:r>
      <w:r>
        <w:rPr>
          <w:rFonts w:ascii="Arial" w:cs="Arial" w:eastAsia="Arial" w:hAnsi="Arial"/>
          <w:sz w:val="18"/>
          <w:szCs w:val="18"/>
          <w:color w:val="auto"/>
        </w:rPr>
        <w:t xml:space="preserve"> I</w:t>
      </w:r>
      <w:r>
        <w:rPr>
          <w:rFonts w:ascii="Arial" w:cs="Arial" w:eastAsia="Arial" w:hAnsi="Arial"/>
          <w:sz w:val="14"/>
          <w:szCs w:val="14"/>
          <w:color w:val="auto"/>
        </w:rPr>
        <w:t>NTERNAL</w:t>
      </w:r>
      <w:r>
        <w:rPr>
          <w:rFonts w:ascii="Arial" w:cs="Arial" w:eastAsia="Arial" w:hAnsi="Arial"/>
          <w:sz w:val="18"/>
          <w:szCs w:val="18"/>
          <w:color w:val="auto"/>
        </w:rPr>
        <w:t xml:space="preserve"> C</w:t>
      </w:r>
      <w:r>
        <w:rPr>
          <w:rFonts w:ascii="Arial" w:cs="Arial" w:eastAsia="Arial" w:hAnsi="Arial"/>
          <w:sz w:val="14"/>
          <w:szCs w:val="14"/>
          <w:color w:val="auto"/>
        </w:rPr>
        <w:t>ONTROL</w:t>
      </w:r>
      <w:r>
        <w:rPr>
          <w:rFonts w:ascii="Arial" w:cs="Arial" w:eastAsia="Arial" w:hAnsi="Arial"/>
          <w:sz w:val="18"/>
          <w:szCs w:val="18"/>
          <w:color w:val="auto"/>
        </w:rPr>
        <w:t xml:space="preserve"> O</w:t>
      </w:r>
      <w:r>
        <w:rPr>
          <w:rFonts w:ascii="Arial" w:cs="Arial" w:eastAsia="Arial" w:hAnsi="Arial"/>
          <w:sz w:val="14"/>
          <w:szCs w:val="14"/>
          <w:color w:val="auto"/>
        </w:rPr>
        <w:t>VER</w:t>
      </w:r>
      <w:r>
        <w:rPr>
          <w:rFonts w:ascii="Arial" w:cs="Arial" w:eastAsia="Arial" w:hAnsi="Arial"/>
          <w:sz w:val="18"/>
          <w:szCs w:val="18"/>
          <w:color w:val="auto"/>
        </w:rPr>
        <w:t xml:space="preserve"> F</w:t>
      </w:r>
      <w:r>
        <w:rPr>
          <w:rFonts w:ascii="Arial" w:cs="Arial" w:eastAsia="Arial" w:hAnsi="Arial"/>
          <w:sz w:val="14"/>
          <w:szCs w:val="14"/>
          <w:color w:val="auto"/>
        </w:rPr>
        <w:t>INANCIAL</w:t>
      </w:r>
      <w:r>
        <w:rPr>
          <w:rFonts w:ascii="Arial" w:cs="Arial" w:eastAsia="Arial" w:hAnsi="Arial"/>
          <w:sz w:val="18"/>
          <w:szCs w:val="18"/>
          <w:color w:val="auto"/>
        </w:rPr>
        <w:t xml:space="preserve"> R</w:t>
      </w:r>
      <w:r>
        <w:rPr>
          <w:rFonts w:ascii="Arial" w:cs="Arial" w:eastAsia="Arial" w:hAnsi="Arial"/>
          <w:sz w:val="14"/>
          <w:szCs w:val="14"/>
          <w:color w:val="auto"/>
        </w:rPr>
        <w:t>EPORTING</w:t>
      </w:r>
    </w:p>
    <w:p>
      <w:pPr>
        <w:spacing w:after="0" w:line="18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Under the supervision of the Chief Executive Officer and Chief Financial Officer, management conducted an assessment of the effectiveness of our internal control over financial reporting as of June 30, 2013 based on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(1992) published by the Committee of Sponsoring Organizations of the Treadway Commission. As a result of this assessment, management concluded that our internal control over financial reporting was effective as of June 30, 2013.</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June 30, 2013 has been audited by KPMG LLP, an independent registered public accounting firm, as stated in its report.</w:t>
      </w:r>
    </w:p>
    <w:p>
      <w:pPr>
        <w:spacing w:after="0" w:line="116"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audited consolidated financial statements of the Company include the results of acquired Micronetics (“acquired business”). Upon consideration of the date of the acquisition and the time constraints under which our management’s assessment would have to be made, management determined that it would not be possible to conduct a sufficiently comprehensive assessment of the acquired business’ controls over financial reporting as allowable under section 404 of the Sarbanes-Oxley Act of 2002. Accordingly, these operations have been excluded from the scope of management’s assessment of internal controls. The Company’s consolidated financial statements reflect revenues and total assets from the acquired business of approximately 17 percent and 23 percent (of which 69 percent represented goodwill and intangible assets included within the scope of the Company’s assessment), respectively, as of June 30, 2013.</w:t>
      </w:r>
    </w:p>
    <w:p>
      <w:pPr>
        <w:spacing w:after="0" w:line="165"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4"/>
          <w:szCs w:val="14"/>
          <w:color w:val="auto"/>
        </w:rPr>
        <w:t>HANGES IN</w:t>
      </w:r>
      <w:r>
        <w:rPr>
          <w:rFonts w:ascii="Arial" w:cs="Arial" w:eastAsia="Arial" w:hAnsi="Arial"/>
          <w:sz w:val="18"/>
          <w:szCs w:val="18"/>
          <w:color w:val="auto"/>
        </w:rPr>
        <w:t xml:space="preserve"> I</w:t>
      </w:r>
      <w:r>
        <w:rPr>
          <w:rFonts w:ascii="Arial" w:cs="Arial" w:eastAsia="Arial" w:hAnsi="Arial"/>
          <w:sz w:val="14"/>
          <w:szCs w:val="14"/>
          <w:color w:val="auto"/>
        </w:rPr>
        <w:t>NTERNAL</w:t>
      </w:r>
      <w:r>
        <w:rPr>
          <w:rFonts w:ascii="Arial" w:cs="Arial" w:eastAsia="Arial" w:hAnsi="Arial"/>
          <w:sz w:val="18"/>
          <w:szCs w:val="18"/>
          <w:color w:val="auto"/>
        </w:rPr>
        <w:t xml:space="preserve"> C</w:t>
      </w:r>
      <w:r>
        <w:rPr>
          <w:rFonts w:ascii="Arial" w:cs="Arial" w:eastAsia="Arial" w:hAnsi="Arial"/>
          <w:sz w:val="14"/>
          <w:szCs w:val="14"/>
          <w:color w:val="auto"/>
        </w:rPr>
        <w:t>ONTROL</w:t>
      </w:r>
      <w:r>
        <w:rPr>
          <w:rFonts w:ascii="Arial" w:cs="Arial" w:eastAsia="Arial" w:hAnsi="Arial"/>
          <w:sz w:val="18"/>
          <w:szCs w:val="18"/>
          <w:color w:val="auto"/>
        </w:rPr>
        <w:t xml:space="preserve"> O</w:t>
      </w:r>
      <w:r>
        <w:rPr>
          <w:rFonts w:ascii="Arial" w:cs="Arial" w:eastAsia="Arial" w:hAnsi="Arial"/>
          <w:sz w:val="14"/>
          <w:szCs w:val="14"/>
          <w:color w:val="auto"/>
        </w:rPr>
        <w:t>VER</w:t>
      </w:r>
      <w:r>
        <w:rPr>
          <w:rFonts w:ascii="Arial" w:cs="Arial" w:eastAsia="Arial" w:hAnsi="Arial"/>
          <w:sz w:val="18"/>
          <w:szCs w:val="18"/>
          <w:color w:val="auto"/>
        </w:rPr>
        <w:t xml:space="preserve"> F</w:t>
      </w:r>
      <w:r>
        <w:rPr>
          <w:rFonts w:ascii="Arial" w:cs="Arial" w:eastAsia="Arial" w:hAnsi="Arial"/>
          <w:sz w:val="14"/>
          <w:szCs w:val="14"/>
          <w:color w:val="auto"/>
        </w:rPr>
        <w:t>INANCIAL</w:t>
      </w:r>
      <w:r>
        <w:rPr>
          <w:rFonts w:ascii="Arial" w:cs="Arial" w:eastAsia="Arial" w:hAnsi="Arial"/>
          <w:sz w:val="18"/>
          <w:szCs w:val="18"/>
          <w:color w:val="auto"/>
        </w:rPr>
        <w:t xml:space="preserve"> R</w:t>
      </w:r>
      <w:r>
        <w:rPr>
          <w:rFonts w:ascii="Arial" w:cs="Arial" w:eastAsia="Arial" w:hAnsi="Arial"/>
          <w:sz w:val="14"/>
          <w:szCs w:val="14"/>
          <w:color w:val="auto"/>
        </w:rPr>
        <w:t>EPORTING</w:t>
      </w:r>
    </w:p>
    <w:p>
      <w:pPr>
        <w:spacing w:after="0" w:line="18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fourth quarter of fiscal 2013 identified in connection with our Chief Executive Officer’s and Chief Financial Officer’s evaluation that have materially affected, or are reasonably likely to materially affect, our internal control over financial reporting.</w:t>
      </w:r>
    </w:p>
    <w:p>
      <w:pPr>
        <w:spacing w:after="0" w:line="150"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8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August 14, 2013, we entered into a change-in-control severance agreement with Charles A. Speicher, our Vice President, Controller and Chief Accounting Officer. The form of change-in-control severance agreement for non-CEO executives that Mr. Speicher received is filed as Exhibit 10.9.2 to our Annual Report on Form 10-K for the fiscal year ended June 30, 2011 and is incorporated herein by reference. Pursuant to the change-in-control severance agreement, Mr. Speicher is entitled to severance benefits if, within 18 months after a change in control of Mercury (or during a potential change in control period provided that a change in control takes place within 18 months thereafter), his employment is terminated (1) by Mercury other than for “cause” or disability or (2) by Mr. Speicher for “good reason.”</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Severance benefits include the following, in addition to the payment of any earned or accrued compensation for services previously rendered:</w:t>
      </w:r>
    </w:p>
    <w:p>
      <w:pPr>
        <w:spacing w:after="0" w:line="102" w:lineRule="exact"/>
        <w:rPr>
          <w:sz w:val="20"/>
          <w:szCs w:val="20"/>
          <w:color w:val="auto"/>
        </w:rPr>
      </w:pPr>
    </w:p>
    <w:p>
      <w:pPr>
        <w:ind w:left="1060" w:hanging="323"/>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lump sum cash payment equal to one and one-half times (1.5x) the sum of his then current annualized base salary and bonus target under Mercury's executive bonus plan (excluding any over-achievement awards);</w:t>
      </w:r>
    </w:p>
    <w:p>
      <w:pPr>
        <w:spacing w:after="0" w:line="35" w:lineRule="exact"/>
        <w:rPr>
          <w:rFonts w:ascii="Arial" w:cs="Arial" w:eastAsia="Arial" w:hAnsi="Arial"/>
          <w:sz w:val="18"/>
          <w:szCs w:val="18"/>
          <w:color w:val="auto"/>
        </w:rPr>
      </w:pPr>
    </w:p>
    <w:p>
      <w:pPr>
        <w:ind w:left="1060" w:hanging="323"/>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payment of the cost of providing him with outplacement services up to a maximum of $45,000; and</w:t>
      </w:r>
    </w:p>
    <w:p>
      <w:pPr>
        <w:spacing w:after="0" w:line="90"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payment of the cost of providing him with health and dental insurance up to 18 months following such termination on the same basis as though he had remained an active employee.</w:t>
      </w:r>
    </w:p>
    <w:p>
      <w:pPr>
        <w:spacing w:after="0" w:line="35" w:lineRule="exact"/>
        <w:rPr>
          <w:rFonts w:ascii="Arial" w:cs="Arial" w:eastAsia="Arial" w:hAnsi="Arial"/>
          <w:sz w:val="18"/>
          <w:szCs w:val="18"/>
          <w:color w:val="auto"/>
        </w:rPr>
      </w:pPr>
    </w:p>
    <w:p>
      <w:pPr>
        <w:jc w:val="both"/>
        <w:ind w:left="1060" w:hanging="323"/>
        <w:spacing w:after="0" w:line="264"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addition, if Mr. Speicher's employment is terminated within 18 months after a change in control (or during a potential change in control period provided that a change in control takes place within 18 months thereafter), vesting of all his then outstanding stock options and other stock-based awards immediately accelerates and all such awards become exercisable or non-forfeitable.</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Payment of the above-described severance benefits is subject to Mr. Speicher releasing all claims against Mercury other than claims that arise from Mercury's obligations under the change-in-control severance agreement.</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change-in-control severance agreement provides for a reduction of payments and benefits payable under the agreement to a level where Mr. Speicher would not be subject to the excise tax pursuant to section 4999 of the Internal Revenue Code, but only if such reduction would put him in a better after-tax position than if the payments and benefits were paid in full. In addition, the agreement provides for the payment by Mercury of his legal fees and expenses incurred in connection with good faith disputes under the agreement.</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change-in-control severance agreement continues in effect through June 30, 2014, subject to automatic one-year extensions thereafter unless notice is given of Mercury's or Mr. Speicher's intention not to extend the term of the agreement; provided, however, that the agreement continues in effect for not less than 18 months following a change in control that occurs during the term of the agreement. Except as otherwise provided in the change-in-control severance agreement, Mercury and Mr. Speicher may terminate his employment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our Proxy Statement for our 2013 Annual Meeting of Shareholders (the “Shareholders Meeting”), except that information required by this item concerning our executive officers appears in Part I, Item 4.1 of this Annual Report on Form 10-K.</w:t>
      </w:r>
    </w:p>
    <w:p>
      <w:pPr>
        <w:spacing w:after="0" w:line="150"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required by this item is incorporated by reference to our Proxy Statement for the Shareholders Meeting.</w:t>
      </w:r>
    </w:p>
    <w:p>
      <w:pPr>
        <w:spacing w:after="0" w:line="167"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required by this item is incorporated herein by reference to our Proxy Statement for the Shareholders Meeting.</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required by this item is incorporated herein by reference to our Proxy Statement for the Shareholders Meeting.</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required by this item is incorporated herein by reference to our Proxy Statement for the Shareholders Meeting.</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216" w:lineRule="exact"/>
        <w:rPr>
          <w:sz w:val="20"/>
          <w:szCs w:val="20"/>
          <w:color w:val="auto"/>
        </w:rPr>
      </w:pPr>
    </w:p>
    <w:p>
      <w:pPr>
        <w:ind w:left="860" w:hanging="852"/>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STATEMENTS, SCHEDULES AND EXHIBITS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financial statements, schedule, and exhibits listed below are included in or incorporated by reference as part of this report:</w:t>
      </w:r>
    </w:p>
    <w:p>
      <w:pPr>
        <w:spacing w:after="0" w:line="23"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Consolidated Balance Sheets as of June 30, 2013 and 2012</w:t>
      </w:r>
    </w:p>
    <w:p>
      <w:pPr>
        <w:spacing w:after="0" w:line="9" w:lineRule="exact"/>
        <w:rPr>
          <w:sz w:val="20"/>
          <w:szCs w:val="20"/>
          <w:color w:val="auto"/>
        </w:rPr>
      </w:pPr>
    </w:p>
    <w:p>
      <w:pPr>
        <w:ind w:left="500" w:right="1980"/>
        <w:spacing w:after="0" w:line="265" w:lineRule="auto"/>
        <w:rPr>
          <w:sz w:val="20"/>
          <w:szCs w:val="20"/>
          <w:color w:val="auto"/>
        </w:rPr>
      </w:pPr>
      <w:r>
        <w:rPr>
          <w:rFonts w:ascii="Arial" w:cs="Arial" w:eastAsia="Arial" w:hAnsi="Arial"/>
          <w:sz w:val="17"/>
          <w:szCs w:val="17"/>
          <w:color w:val="auto"/>
        </w:rPr>
        <w:t>Consolidated Statements of Operations and Comprehensive Income for the fiscal years ended June 30, 2013, 2012 and 2011 Consolidated Statements of Shareholders’ Equity for the fiscal years ended June 30, 2013, 2012 and 2011</w:t>
      </w:r>
    </w:p>
    <w:p>
      <w:pPr>
        <w:ind w:left="500" w:right="4440"/>
        <w:spacing w:after="0" w:line="250" w:lineRule="auto"/>
        <w:rPr>
          <w:sz w:val="20"/>
          <w:szCs w:val="20"/>
          <w:color w:val="auto"/>
        </w:rPr>
      </w:pPr>
      <w:r>
        <w:rPr>
          <w:rFonts w:ascii="Arial" w:cs="Arial" w:eastAsia="Arial" w:hAnsi="Arial"/>
          <w:sz w:val="18"/>
          <w:szCs w:val="18"/>
          <w:color w:val="auto"/>
        </w:rPr>
        <w:t>Consolidated Statements of Cash Flows for the years ended June 30, 2013, 2012 and 2011 Notes to Consolidated Financial Statements</w:t>
      </w:r>
    </w:p>
    <w:p>
      <w:pPr>
        <w:spacing w:after="0" w:line="1"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Valuation and Qualifying Accounts</w:t>
      </w:r>
    </w:p>
    <w:p>
      <w:pPr>
        <w:sectPr>
          <w:pgSz w:w="11900" w:h="16838" w:orient="portrait"/>
          <w:cols w:equalWidth="0" w:num="1">
            <w:col w:w="11420"/>
          </w:cols>
          <w:pgMar w:left="240" w:top="1121" w:right="2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MERCURY SYSTEMS,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II—VALUATION AND QUALIFYING ACCOUNTS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FISCAL YEARS ENDED JUNE 30,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Allowance for Doubtful Accounts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60"/>
              <w:spacing w:after="0"/>
              <w:rPr>
                <w:sz w:val="20"/>
                <w:szCs w:val="20"/>
                <w:color w:val="auto"/>
              </w:rPr>
            </w:pPr>
            <w:r>
              <w:rPr>
                <w:rFonts w:ascii="Arial" w:cs="Arial" w:eastAsia="Arial" w:hAnsi="Arial"/>
                <w:sz w:val="14"/>
                <w:szCs w:val="14"/>
                <w:b w:val="1"/>
                <w:bCs w:val="1"/>
                <w:color w:val="auto"/>
              </w:rPr>
              <w:t>BALANCE</w:t>
            </w: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rPr>
              <w:t>AT</w:t>
            </w: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rPr>
              <w:t>WRITE-</w:t>
            </w:r>
          </w:p>
        </w:tc>
        <w:tc>
          <w:tcPr>
            <w:tcW w:w="3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rPr>
              <w:t>BEGINNING</w:t>
            </w:r>
          </w:p>
        </w:tc>
        <w:tc>
          <w:tcPr>
            <w:tcW w:w="320" w:type="dxa"/>
            <w:vAlign w:val="bottom"/>
          </w:tcPr>
          <w:p>
            <w:pPr>
              <w:spacing w:after="0"/>
              <w:rPr>
                <w:sz w:val="12"/>
                <w:szCs w:val="12"/>
                <w:color w:val="auto"/>
              </w:rPr>
            </w:pPr>
          </w:p>
        </w:tc>
        <w:tc>
          <w:tcPr>
            <w:tcW w:w="130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rPr>
              <w:t>ADDITIONS</w:t>
            </w:r>
          </w:p>
        </w:tc>
        <w:tc>
          <w:tcPr>
            <w:tcW w:w="300" w:type="dxa"/>
            <w:vAlign w:val="bottom"/>
          </w:tcPr>
          <w:p>
            <w:pPr>
              <w:spacing w:after="0"/>
              <w:rPr>
                <w:sz w:val="12"/>
                <w:szCs w:val="12"/>
                <w:color w:val="auto"/>
              </w:rPr>
            </w:pPr>
          </w:p>
        </w:tc>
        <w:tc>
          <w:tcPr>
            <w:tcW w:w="128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rPr>
              <w:t>REVERSALS</w:t>
            </w:r>
          </w:p>
        </w:tc>
        <w:tc>
          <w:tcPr>
            <w:tcW w:w="2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rPr>
              <w:t>AT END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OF PERIOD</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OFFS</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jc w:val="right"/>
              <w:ind w:right="3050"/>
              <w:spacing w:after="0"/>
              <w:rPr>
                <w:sz w:val="20"/>
                <w:szCs w:val="20"/>
                <w:color w:val="auto"/>
              </w:rPr>
            </w:pPr>
            <w:r>
              <w:rPr>
                <w:rFonts w:ascii="Arial" w:cs="Arial" w:eastAsia="Arial" w:hAnsi="Arial"/>
                <w:sz w:val="18"/>
                <w:szCs w:val="18"/>
                <w:color w:val="auto"/>
                <w:w w:val="94"/>
              </w:rPr>
              <w:t>2013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85</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3540" w:type="dxa"/>
            <w:vAlign w:val="bottom"/>
          </w:tcPr>
          <w:p>
            <w:pPr>
              <w:jc w:val="right"/>
              <w:ind w:right="3050"/>
              <w:spacing w:after="0"/>
              <w:rPr>
                <w:sz w:val="20"/>
                <w:szCs w:val="20"/>
                <w:color w:val="auto"/>
              </w:rPr>
            </w:pPr>
            <w:r>
              <w:rPr>
                <w:rFonts w:ascii="Arial" w:cs="Arial" w:eastAsia="Arial" w:hAnsi="Arial"/>
                <w:sz w:val="18"/>
                <w:szCs w:val="18"/>
                <w:color w:val="auto"/>
                <w:w w:val="94"/>
              </w:rPr>
              <w:t>2012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60"/>
              <w:spacing w:after="0"/>
              <w:rPr>
                <w:sz w:val="20"/>
                <w:szCs w:val="20"/>
                <w:color w:val="auto"/>
              </w:rPr>
            </w:pPr>
            <w:r>
              <w:rPr>
                <w:rFonts w:ascii="Arial" w:cs="Arial" w:eastAsia="Arial" w:hAnsi="Arial"/>
                <w:sz w:val="18"/>
                <w:szCs w:val="18"/>
                <w:color w:val="auto"/>
              </w:rPr>
              <w:t>17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61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73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jc w:val="right"/>
              <w:ind w:right="3070"/>
              <w:spacing w:after="0"/>
              <w:rPr>
                <w:sz w:val="20"/>
                <w:szCs w:val="20"/>
                <w:color w:val="auto"/>
              </w:rPr>
            </w:pPr>
            <w:r>
              <w:rPr>
                <w:rFonts w:ascii="Arial" w:cs="Arial" w:eastAsia="Arial" w:hAnsi="Arial"/>
                <w:sz w:val="18"/>
                <w:szCs w:val="18"/>
                <w:color w:val="auto"/>
                <w:w w:val="89"/>
              </w:rPr>
              <w:t>2011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163</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155</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59"/>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gridSpan w:val="5"/>
          </w:tcPr>
          <w:p>
            <w:pPr>
              <w:jc w:val="right"/>
              <w:ind w:right="957"/>
              <w:spacing w:after="0"/>
              <w:rPr>
                <w:sz w:val="20"/>
                <w:szCs w:val="20"/>
                <w:color w:val="auto"/>
              </w:rPr>
            </w:pPr>
            <w:r>
              <w:rPr>
                <w:rFonts w:ascii="Arial" w:cs="Arial" w:eastAsia="Arial" w:hAnsi="Arial"/>
                <w:sz w:val="18"/>
                <w:szCs w:val="18"/>
                <w:b w:val="1"/>
                <w:bCs w:val="1"/>
                <w:color w:val="auto"/>
                <w:w w:val="99"/>
              </w:rPr>
              <w:t>Deferred Tax Asset Valuation Allowance</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center"/>
              <w:ind w:right="160"/>
              <w:spacing w:after="0"/>
              <w:rPr>
                <w:sz w:val="20"/>
                <w:szCs w:val="20"/>
                <w:color w:val="auto"/>
              </w:rPr>
            </w:pPr>
            <w:r>
              <w:rPr>
                <w:rFonts w:ascii="Arial" w:cs="Arial" w:eastAsia="Arial" w:hAnsi="Arial"/>
                <w:sz w:val="14"/>
                <w:szCs w:val="14"/>
                <w:b w:val="1"/>
                <w:bCs w:val="1"/>
                <w:color w:val="auto"/>
              </w:rPr>
              <w:t>BALANCE</w:t>
            </w:r>
          </w:p>
        </w:tc>
        <w:tc>
          <w:tcPr>
            <w:tcW w:w="320" w:type="dxa"/>
            <w:vAlign w:val="bottom"/>
          </w:tcPr>
          <w:p>
            <w:pPr>
              <w:spacing w:after="0"/>
              <w:rPr>
                <w:sz w:val="24"/>
                <w:szCs w:val="24"/>
                <w:color w:val="auto"/>
              </w:rPr>
            </w:pPr>
          </w:p>
        </w:tc>
        <w:tc>
          <w:tcPr>
            <w:tcW w:w="130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rPr>
              <w:t>CHARGED</w:t>
            </w:r>
          </w:p>
        </w:tc>
        <w:tc>
          <w:tcPr>
            <w:tcW w:w="300" w:type="dxa"/>
            <w:vAlign w:val="bottom"/>
          </w:tcPr>
          <w:p>
            <w:pPr>
              <w:spacing w:after="0"/>
              <w:rPr>
                <w:sz w:val="24"/>
                <w:szCs w:val="24"/>
                <w:color w:val="auto"/>
              </w:rPr>
            </w:pPr>
          </w:p>
        </w:tc>
        <w:tc>
          <w:tcPr>
            <w:tcW w:w="128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rPr>
              <w:t>CHARGED</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rPr>
              <w:t>AT</w:t>
            </w:r>
          </w:p>
        </w:tc>
        <w:tc>
          <w:tcPr>
            <w:tcW w:w="3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rPr>
              <w:t>BEGINNING</w:t>
            </w:r>
          </w:p>
        </w:tc>
        <w:tc>
          <w:tcPr>
            <w:tcW w:w="320" w:type="dxa"/>
            <w:vAlign w:val="bottom"/>
          </w:tcPr>
          <w:p>
            <w:pPr>
              <w:spacing w:after="0"/>
              <w:rPr>
                <w:sz w:val="12"/>
                <w:szCs w:val="12"/>
                <w:color w:val="auto"/>
              </w:rPr>
            </w:pPr>
          </w:p>
        </w:tc>
        <w:tc>
          <w:tcPr>
            <w:tcW w:w="130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rPr>
              <w:t>TO COSTS &amp;</w:t>
            </w:r>
          </w:p>
        </w:tc>
        <w:tc>
          <w:tcPr>
            <w:tcW w:w="300" w:type="dxa"/>
            <w:vAlign w:val="bottom"/>
          </w:tcPr>
          <w:p>
            <w:pPr>
              <w:spacing w:after="0"/>
              <w:rPr>
                <w:sz w:val="12"/>
                <w:szCs w:val="12"/>
                <w:color w:val="auto"/>
              </w:rPr>
            </w:pPr>
          </w:p>
        </w:tc>
        <w:tc>
          <w:tcPr>
            <w:tcW w:w="128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rPr>
              <w:t>TO OTHER</w:t>
            </w:r>
          </w:p>
        </w:tc>
        <w:tc>
          <w:tcPr>
            <w:tcW w:w="280" w:type="dxa"/>
            <w:vAlign w:val="bottom"/>
          </w:tcPr>
          <w:p>
            <w:pPr>
              <w:spacing w:after="0"/>
              <w:rPr>
                <w:sz w:val="12"/>
                <w:szCs w:val="12"/>
                <w:color w:val="auto"/>
              </w:rPr>
            </w:pPr>
          </w:p>
        </w:tc>
        <w:tc>
          <w:tcPr>
            <w:tcW w:w="130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rPr>
              <w:t>DEDUCTIONS</w:t>
            </w:r>
          </w:p>
        </w:tc>
        <w:tc>
          <w:tcPr>
            <w:tcW w:w="320" w:type="dxa"/>
            <w:vAlign w:val="bottom"/>
          </w:tcPr>
          <w:p>
            <w:pPr>
              <w:spacing w:after="0"/>
              <w:rPr>
                <w:sz w:val="12"/>
                <w:szCs w:val="12"/>
                <w:color w:val="auto"/>
              </w:rPr>
            </w:pPr>
          </w:p>
        </w:tc>
        <w:tc>
          <w:tcPr>
            <w:tcW w:w="124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rPr>
              <w:t>AT END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OF PERIOD</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7"/>
              </w:rPr>
              <w:t>EXPENSES</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ACCOUNTS</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jc w:val="right"/>
              <w:ind w:right="3050"/>
              <w:spacing w:after="0"/>
              <w:rPr>
                <w:sz w:val="20"/>
                <w:szCs w:val="20"/>
                <w:color w:val="auto"/>
              </w:rPr>
            </w:pPr>
            <w:r>
              <w:rPr>
                <w:rFonts w:ascii="Arial" w:cs="Arial" w:eastAsia="Arial" w:hAnsi="Arial"/>
                <w:sz w:val="18"/>
                <w:szCs w:val="18"/>
                <w:color w:val="auto"/>
                <w:w w:val="94"/>
              </w:rPr>
              <w:t>2013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8,682</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9,032</w:t>
            </w:r>
          </w:p>
        </w:tc>
        <w:tc>
          <w:tcPr>
            <w:tcW w:w="0" w:type="dxa"/>
            <w:vAlign w:val="bottom"/>
          </w:tcPr>
          <w:p>
            <w:pPr>
              <w:spacing w:after="0"/>
              <w:rPr>
                <w:sz w:val="1"/>
                <w:szCs w:val="1"/>
                <w:color w:val="auto"/>
              </w:rPr>
            </w:pPr>
          </w:p>
        </w:tc>
      </w:tr>
      <w:tr>
        <w:trPr>
          <w:trHeight w:val="243"/>
        </w:trPr>
        <w:tc>
          <w:tcPr>
            <w:tcW w:w="3540" w:type="dxa"/>
            <w:vAlign w:val="bottom"/>
          </w:tcPr>
          <w:p>
            <w:pPr>
              <w:jc w:val="right"/>
              <w:ind w:right="3050"/>
              <w:spacing w:after="0"/>
              <w:rPr>
                <w:sz w:val="20"/>
                <w:szCs w:val="20"/>
                <w:color w:val="auto"/>
              </w:rPr>
            </w:pPr>
            <w:r>
              <w:rPr>
                <w:rFonts w:ascii="Arial" w:cs="Arial" w:eastAsia="Arial" w:hAnsi="Arial"/>
                <w:sz w:val="18"/>
                <w:szCs w:val="18"/>
                <w:color w:val="auto"/>
                <w:w w:val="94"/>
              </w:rPr>
              <w:t>2012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60"/>
              <w:spacing w:after="0"/>
              <w:rPr>
                <w:sz w:val="20"/>
                <w:szCs w:val="20"/>
                <w:color w:val="auto"/>
              </w:rPr>
            </w:pPr>
            <w:r>
              <w:rPr>
                <w:rFonts w:ascii="Arial" w:cs="Arial" w:eastAsia="Arial" w:hAnsi="Arial"/>
                <w:sz w:val="18"/>
                <w:szCs w:val="18"/>
                <w:color w:val="auto"/>
              </w:rPr>
              <w:t>7,973</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709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8,682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40" w:type="dxa"/>
            <w:vAlign w:val="bottom"/>
            <w:shd w:val="clear" w:color="auto" w:fill="CCEEFF"/>
          </w:tcPr>
          <w:p>
            <w:pPr>
              <w:jc w:val="right"/>
              <w:ind w:right="3070"/>
              <w:spacing w:after="0"/>
              <w:rPr>
                <w:sz w:val="20"/>
                <w:szCs w:val="20"/>
                <w:color w:val="auto"/>
              </w:rPr>
            </w:pPr>
            <w:r>
              <w:rPr>
                <w:rFonts w:ascii="Arial" w:cs="Arial" w:eastAsia="Arial" w:hAnsi="Arial"/>
                <w:sz w:val="18"/>
                <w:szCs w:val="18"/>
                <w:color w:val="auto"/>
                <w:w w:val="89"/>
              </w:rPr>
              <w:t>2011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7,555</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418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7,973</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00" w:hanging="792"/>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Exhibits:</w:t>
      </w:r>
    </w:p>
    <w:p>
      <w:pPr>
        <w:spacing w:after="0" w:line="3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Exhibits required by Item 601 of Regulation S-K are listed in the Exhibit Index on page 78, which is incorporated herein by reference.</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Chelmsford, Massachusetts, on August 16, 2013.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MERCURY SYSTEMS, INC.</w:t>
      </w:r>
    </w:p>
    <w:p>
      <w:pPr>
        <w:spacing w:after="0" w:line="387" w:lineRule="exact"/>
        <w:rPr>
          <w:sz w:val="20"/>
          <w:szCs w:val="20"/>
          <w:color w:val="auto"/>
        </w:rPr>
      </w:pPr>
    </w:p>
    <w:p>
      <w:pPr>
        <w:ind w:left="4380"/>
        <w:spacing w:after="0"/>
        <w:tabs>
          <w:tab w:leader="none" w:pos="6960" w:val="left"/>
          <w:tab w:leader="none" w:pos="7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KEVIN M. BISSON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48" w:lineRule="exact"/>
        <w:rPr>
          <w:sz w:val="20"/>
          <w:szCs w:val="20"/>
          <w:color w:val="auto"/>
        </w:rPr>
      </w:pPr>
    </w:p>
    <w:p>
      <w:pPr>
        <w:jc w:val="center"/>
        <w:ind w:left="4800"/>
        <w:spacing w:after="0"/>
        <w:rPr>
          <w:sz w:val="20"/>
          <w:szCs w:val="20"/>
          <w:color w:val="auto"/>
        </w:rPr>
      </w:pPr>
      <w:r>
        <w:rPr>
          <w:rFonts w:ascii="Arial" w:cs="Arial" w:eastAsia="Arial" w:hAnsi="Arial"/>
          <w:sz w:val="14"/>
          <w:szCs w:val="14"/>
          <w:b w:val="1"/>
          <w:bCs w:val="1"/>
          <w:color w:val="auto"/>
        </w:rPr>
        <w:t>Kevin M. Bisson</w:t>
      </w:r>
    </w:p>
    <w:p>
      <w:pPr>
        <w:jc w:val="center"/>
        <w:ind w:left="4800"/>
        <w:spacing w:after="0" w:line="226" w:lineRule="auto"/>
        <w:rPr>
          <w:sz w:val="20"/>
          <w:szCs w:val="20"/>
          <w:color w:val="auto"/>
        </w:rPr>
      </w:pPr>
      <w:r>
        <w:rPr>
          <w:rFonts w:ascii="Arial" w:cs="Arial" w:eastAsia="Arial" w:hAnsi="Arial"/>
          <w:sz w:val="14"/>
          <w:szCs w:val="14"/>
          <w:b w:val="1"/>
          <w:bCs w:val="1"/>
          <w:color w:val="auto"/>
        </w:rPr>
        <w:t>SENIOR VICE PRESIDENT, CHIEF FINANCIAL OFFICER, AND TREASURER</w:t>
      </w:r>
    </w:p>
    <w:p>
      <w:pPr>
        <w:spacing w:after="0" w:line="1" w:lineRule="exact"/>
        <w:rPr>
          <w:sz w:val="20"/>
          <w:szCs w:val="20"/>
          <w:color w:val="auto"/>
        </w:rPr>
      </w:pPr>
    </w:p>
    <w:p>
      <w:pPr>
        <w:jc w:val="center"/>
        <w:ind w:left="4800"/>
        <w:spacing w:after="0"/>
        <w:rPr>
          <w:sz w:val="20"/>
          <w:szCs w:val="20"/>
          <w:color w:val="auto"/>
        </w:rPr>
      </w:pPr>
      <w:r>
        <w:rPr>
          <w:rFonts w:ascii="Arial" w:cs="Arial" w:eastAsia="Arial" w:hAnsi="Arial"/>
          <w:sz w:val="14"/>
          <w:szCs w:val="14"/>
          <w:b w:val="1"/>
          <w:bCs w:val="1"/>
          <w:color w:val="auto"/>
        </w:rPr>
        <w:t>[PRINCIPAL FINANCIAL OFFICER]</w:t>
      </w:r>
    </w:p>
    <w:p>
      <w:pPr>
        <w:spacing w:after="0" w:line="16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2"/>
          </w:tcPr>
          <w:p>
            <w:pPr>
              <w:jc w:val="center"/>
              <w:ind w:right="1960"/>
              <w:spacing w:after="0"/>
              <w:rPr>
                <w:sz w:val="20"/>
                <w:szCs w:val="20"/>
                <w:color w:val="auto"/>
              </w:rPr>
            </w:pPr>
            <w:r>
              <w:rPr>
                <w:rFonts w:ascii="Arial" w:cs="Arial" w:eastAsia="Arial" w:hAnsi="Arial"/>
                <w:sz w:val="14"/>
                <w:szCs w:val="14"/>
                <w:b w:val="1"/>
                <w:bCs w:val="1"/>
                <w:color w:val="auto"/>
                <w:w w:val="92"/>
              </w:rPr>
              <w:t>Signature</w:t>
            </w:r>
          </w:p>
        </w:tc>
        <w:tc>
          <w:tcPr>
            <w:tcW w:w="2180" w:type="dxa"/>
            <w:vAlign w:val="bottom"/>
          </w:tcPr>
          <w:p>
            <w:pPr>
              <w:spacing w:after="0"/>
              <w:rPr>
                <w:sz w:val="14"/>
                <w:szCs w:val="14"/>
                <w:color w:val="auto"/>
              </w:rPr>
            </w:pPr>
          </w:p>
        </w:tc>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Title(s)</w:t>
            </w:r>
          </w:p>
        </w:tc>
        <w:tc>
          <w:tcPr>
            <w:tcW w:w="820" w:type="dxa"/>
            <w:vAlign w:val="bottom"/>
          </w:tcPr>
          <w:p>
            <w:pPr>
              <w:spacing w:after="0"/>
              <w:rPr>
                <w:sz w:val="14"/>
                <w:szCs w:val="14"/>
                <w:color w:val="auto"/>
              </w:rPr>
            </w:pPr>
          </w:p>
        </w:tc>
        <w:tc>
          <w:tcPr>
            <w:tcW w:w="7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49"/>
        </w:trPr>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President, Chief Executive Officer and Director (principal</w:t>
            </w: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30"/>
        </w:trPr>
        <w:tc>
          <w:tcPr>
            <w:tcW w:w="148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4"/>
              </w:rPr>
              <w:t>/s/</w:t>
            </w:r>
          </w:p>
        </w:tc>
        <w:tc>
          <w:tcPr>
            <w:tcW w:w="2780" w:type="dxa"/>
            <w:vAlign w:val="bottom"/>
            <w:gridSpan w:val="3"/>
          </w:tcPr>
          <w:p>
            <w:pPr>
              <w:jc w:val="center"/>
              <w:ind w:right="14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executive officer)</w:t>
            </w:r>
          </w:p>
        </w:tc>
        <w:tc>
          <w:tcPr>
            <w:tcW w:w="1560" w:type="dxa"/>
            <w:vAlign w:val="bottom"/>
            <w:gridSpan w:val="3"/>
          </w:tcPr>
          <w:p>
            <w:pPr>
              <w:jc w:val="center"/>
              <w:ind w:left="270"/>
              <w:spacing w:after="0"/>
              <w:rPr>
                <w:sz w:val="20"/>
                <w:szCs w:val="20"/>
                <w:color w:val="auto"/>
              </w:rPr>
            </w:pPr>
            <w:r>
              <w:rPr>
                <w:rFonts w:ascii="Arial" w:cs="Arial" w:eastAsia="Arial" w:hAnsi="Arial"/>
                <w:sz w:val="18"/>
                <w:szCs w:val="18"/>
                <w:color w:val="auto"/>
                <w:w w:val="91"/>
              </w:rPr>
              <w:t>August 16, 2013</w:t>
            </w:r>
          </w:p>
        </w:tc>
      </w:tr>
      <w:tr>
        <w:trPr>
          <w:trHeight w:val="27"/>
        </w:trPr>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4"/>
        </w:trPr>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rPr>
              <w:t>Mark Aslett</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95"/>
        </w:trPr>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w w:val="98"/>
              </w:rPr>
              <w:t>Senior Vice President, Chief Financial Officer, and Treasurer</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0"/>
        </w:trPr>
        <w:tc>
          <w:tcPr>
            <w:tcW w:w="1740" w:type="dxa"/>
            <w:vAlign w:val="bottom"/>
            <w:gridSpan w:val="2"/>
          </w:tcPr>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80" w:type="dxa"/>
            <w:vAlign w:val="bottom"/>
            <w:gridSpan w:val="3"/>
          </w:tcPr>
          <w:p>
            <w:pPr>
              <w:jc w:val="center"/>
              <w:ind w:right="1360"/>
              <w:spacing w:after="0"/>
              <w:rPr>
                <w:sz w:val="20"/>
                <w:szCs w:val="20"/>
                <w:color w:val="auto"/>
              </w:rPr>
            </w:pPr>
            <w:r>
              <w:rPr>
                <w:rFonts w:ascii="Arial" w:cs="Arial" w:eastAsia="Arial" w:hAnsi="Arial"/>
                <w:sz w:val="18"/>
                <w:szCs w:val="18"/>
                <w:color w:val="auto"/>
                <w:w w:val="99"/>
              </w:rPr>
              <w:t>K</w:t>
            </w:r>
            <w:r>
              <w:rPr>
                <w:rFonts w:ascii="Arial" w:cs="Arial" w:eastAsia="Arial" w:hAnsi="Arial"/>
                <w:sz w:val="14"/>
                <w:szCs w:val="14"/>
                <w:color w:val="auto"/>
                <w:w w:val="99"/>
              </w:rPr>
              <w:t>EVIN</w:t>
            </w:r>
            <w:r>
              <w:rPr>
                <w:rFonts w:ascii="Arial" w:cs="Arial" w:eastAsia="Arial" w:hAnsi="Arial"/>
                <w:sz w:val="18"/>
                <w:szCs w:val="18"/>
                <w:color w:val="auto"/>
                <w:w w:val="99"/>
              </w:rPr>
              <w:t xml:space="preserve"> M. B</w:t>
            </w:r>
            <w:r>
              <w:rPr>
                <w:rFonts w:ascii="Arial" w:cs="Arial" w:eastAsia="Arial" w:hAnsi="Arial"/>
                <w:sz w:val="14"/>
                <w:szCs w:val="14"/>
                <w:color w:val="auto"/>
                <w:w w:val="99"/>
              </w:rPr>
              <w:t>ISSON</w:t>
            </w: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(principal financial officer)</w:t>
            </w:r>
          </w:p>
        </w:tc>
        <w:tc>
          <w:tcPr>
            <w:tcW w:w="1560" w:type="dxa"/>
            <w:vAlign w:val="bottom"/>
            <w:gridSpan w:val="3"/>
          </w:tcPr>
          <w:p>
            <w:pPr>
              <w:jc w:val="center"/>
              <w:ind w:left="270"/>
              <w:spacing w:after="0"/>
              <w:rPr>
                <w:sz w:val="20"/>
                <w:szCs w:val="20"/>
                <w:color w:val="auto"/>
              </w:rPr>
            </w:pPr>
            <w:r>
              <w:rPr>
                <w:rFonts w:ascii="Arial" w:cs="Arial" w:eastAsia="Arial" w:hAnsi="Arial"/>
                <w:sz w:val="18"/>
                <w:szCs w:val="18"/>
                <w:color w:val="auto"/>
                <w:w w:val="91"/>
              </w:rPr>
              <w:t>August 16, 2013</w:t>
            </w:r>
          </w:p>
        </w:tc>
      </w:tr>
      <w:tr>
        <w:trPr>
          <w:trHeight w:val="27"/>
        </w:trPr>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4"/>
        </w:trPr>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92"/>
              </w:rPr>
              <w:t>Kevin M. Bisson</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95"/>
        </w:trPr>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Vice President, Controller, and Chief Accounting Officer</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0"/>
        </w:trPr>
        <w:tc>
          <w:tcPr>
            <w:tcW w:w="1480" w:type="dxa"/>
            <w:vAlign w:val="bottom"/>
          </w:tcPr>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40" w:type="dxa"/>
            <w:vAlign w:val="bottom"/>
            <w:gridSpan w:val="4"/>
          </w:tcPr>
          <w:p>
            <w:pPr>
              <w:jc w:val="center"/>
              <w:ind w:right="1120"/>
              <w:spacing w:after="0"/>
              <w:rPr>
                <w:sz w:val="20"/>
                <w:szCs w:val="20"/>
                <w:color w:val="auto"/>
              </w:rPr>
            </w:pPr>
            <w:r>
              <w:rPr>
                <w:rFonts w:ascii="Arial" w:cs="Arial" w:eastAsia="Arial" w:hAnsi="Arial"/>
                <w:sz w:val="18"/>
                <w:szCs w:val="18"/>
                <w:color w:val="auto"/>
                <w:w w:val="96"/>
              </w:rPr>
              <w:t>C</w:t>
            </w:r>
            <w:r>
              <w:rPr>
                <w:rFonts w:ascii="Arial" w:cs="Arial" w:eastAsia="Arial" w:hAnsi="Arial"/>
                <w:sz w:val="14"/>
                <w:szCs w:val="14"/>
                <w:color w:val="auto"/>
                <w:w w:val="96"/>
              </w:rPr>
              <w:t>HARLES</w:t>
            </w:r>
            <w:r>
              <w:rPr>
                <w:rFonts w:ascii="Arial" w:cs="Arial" w:eastAsia="Arial" w:hAnsi="Arial"/>
                <w:sz w:val="18"/>
                <w:szCs w:val="18"/>
                <w:color w:val="auto"/>
                <w:w w:val="96"/>
              </w:rPr>
              <w:t xml:space="preserve"> A. S</w:t>
            </w:r>
            <w:r>
              <w:rPr>
                <w:rFonts w:ascii="Arial" w:cs="Arial" w:eastAsia="Arial" w:hAnsi="Arial"/>
                <w:sz w:val="14"/>
                <w:szCs w:val="14"/>
                <w:color w:val="auto"/>
                <w:w w:val="96"/>
              </w:rPr>
              <w:t>PEICHER</w:t>
            </w: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(principal accounting officer)</w:t>
            </w:r>
          </w:p>
        </w:tc>
        <w:tc>
          <w:tcPr>
            <w:tcW w:w="1560" w:type="dxa"/>
            <w:vAlign w:val="bottom"/>
            <w:gridSpan w:val="3"/>
          </w:tcPr>
          <w:p>
            <w:pPr>
              <w:jc w:val="center"/>
              <w:ind w:left="270"/>
              <w:spacing w:after="0"/>
              <w:rPr>
                <w:sz w:val="20"/>
                <w:szCs w:val="20"/>
                <w:color w:val="auto"/>
              </w:rPr>
            </w:pPr>
            <w:r>
              <w:rPr>
                <w:rFonts w:ascii="Arial" w:cs="Arial" w:eastAsia="Arial" w:hAnsi="Arial"/>
                <w:sz w:val="18"/>
                <w:szCs w:val="18"/>
                <w:color w:val="auto"/>
                <w:w w:val="91"/>
              </w:rPr>
              <w:t>August 16, 2013</w:t>
            </w:r>
          </w:p>
        </w:tc>
      </w:tr>
      <w:tr>
        <w:trPr>
          <w:trHeight w:val="27"/>
        </w:trPr>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4"/>
        </w:trPr>
        <w:tc>
          <w:tcPr>
            <w:tcW w:w="1480" w:type="dxa"/>
            <w:vAlign w:val="bottom"/>
          </w:tcPr>
          <w:p>
            <w:pPr>
              <w:spacing w:after="0"/>
              <w:rPr>
                <w:sz w:val="16"/>
                <w:szCs w:val="16"/>
                <w:color w:val="auto"/>
              </w:rPr>
            </w:pPr>
          </w:p>
        </w:tc>
        <w:tc>
          <w:tcPr>
            <w:tcW w:w="3040" w:type="dxa"/>
            <w:vAlign w:val="bottom"/>
            <w:gridSpan w:val="4"/>
          </w:tcPr>
          <w:p>
            <w:pPr>
              <w:jc w:val="center"/>
              <w:ind w:right="1480"/>
              <w:spacing w:after="0"/>
              <w:rPr>
                <w:sz w:val="20"/>
                <w:szCs w:val="20"/>
                <w:color w:val="auto"/>
              </w:rPr>
            </w:pPr>
            <w:r>
              <w:rPr>
                <w:rFonts w:ascii="Arial" w:cs="Arial" w:eastAsia="Arial" w:hAnsi="Arial"/>
                <w:sz w:val="14"/>
                <w:szCs w:val="14"/>
                <w:b w:val="1"/>
                <w:bCs w:val="1"/>
                <w:color w:val="auto"/>
                <w:w w:val="93"/>
              </w:rPr>
              <w:t>Charles A. Speicher</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09"/>
        </w:trPr>
        <w:tc>
          <w:tcPr>
            <w:tcW w:w="148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80" w:type="dxa"/>
            <w:vAlign w:val="bottom"/>
            <w:gridSpan w:val="3"/>
          </w:tcPr>
          <w:p>
            <w:pPr>
              <w:jc w:val="center"/>
              <w:ind w:right="1380"/>
              <w:spacing w:after="0"/>
              <w:rPr>
                <w:sz w:val="20"/>
                <w:szCs w:val="20"/>
                <w:color w:val="auto"/>
              </w:rPr>
            </w:pPr>
            <w:r>
              <w:rPr>
                <w:rFonts w:ascii="Arial" w:cs="Arial" w:eastAsia="Arial" w:hAnsi="Arial"/>
                <w:sz w:val="18"/>
                <w:szCs w:val="18"/>
                <w:color w:val="auto"/>
                <w:w w:val="96"/>
              </w:rPr>
              <w:t>J</w:t>
            </w:r>
            <w:r>
              <w:rPr>
                <w:rFonts w:ascii="Arial" w:cs="Arial" w:eastAsia="Arial" w:hAnsi="Arial"/>
                <w:sz w:val="14"/>
                <w:szCs w:val="14"/>
                <w:color w:val="auto"/>
                <w:w w:val="96"/>
              </w:rPr>
              <w:t>AMES</w:t>
            </w:r>
            <w:r>
              <w:rPr>
                <w:rFonts w:ascii="Arial" w:cs="Arial" w:eastAsia="Arial" w:hAnsi="Arial"/>
                <w:sz w:val="18"/>
                <w:szCs w:val="18"/>
                <w:color w:val="auto"/>
                <w:w w:val="96"/>
              </w:rPr>
              <w:t xml:space="preserve"> K. B</w:t>
            </w:r>
            <w:r>
              <w:rPr>
                <w:rFonts w:ascii="Arial" w:cs="Arial" w:eastAsia="Arial" w:hAnsi="Arial"/>
                <w:sz w:val="14"/>
                <w:szCs w:val="14"/>
                <w:color w:val="auto"/>
                <w:w w:val="96"/>
              </w:rPr>
              <w:t>ASS</w:t>
            </w: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270"/>
              <w:spacing w:after="0"/>
              <w:rPr>
                <w:sz w:val="20"/>
                <w:szCs w:val="20"/>
                <w:color w:val="auto"/>
              </w:rPr>
            </w:pPr>
            <w:r>
              <w:rPr>
                <w:rFonts w:ascii="Arial" w:cs="Arial" w:eastAsia="Arial" w:hAnsi="Arial"/>
                <w:sz w:val="18"/>
                <w:szCs w:val="18"/>
                <w:color w:val="auto"/>
                <w:w w:val="91"/>
              </w:rPr>
              <w:t>August 16, 2013</w:t>
            </w:r>
          </w:p>
        </w:tc>
      </w:tr>
      <w:tr>
        <w:trPr>
          <w:trHeight w:val="27"/>
        </w:trPr>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4"/>
        </w:trPr>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88"/>
              </w:rPr>
              <w:t>James K. Bass</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09"/>
        </w:trPr>
        <w:tc>
          <w:tcPr>
            <w:tcW w:w="1480" w:type="dxa"/>
            <w:vAlign w:val="bottom"/>
          </w:tcPr>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40" w:type="dxa"/>
            <w:vAlign w:val="bottom"/>
            <w:gridSpan w:val="4"/>
          </w:tcPr>
          <w:p>
            <w:pPr>
              <w:jc w:val="center"/>
              <w:ind w:right="1120"/>
              <w:spacing w:after="0"/>
              <w:rPr>
                <w:sz w:val="20"/>
                <w:szCs w:val="20"/>
                <w:color w:val="auto"/>
              </w:rPr>
            </w:pPr>
            <w:r>
              <w:rPr>
                <w:rFonts w:ascii="Arial" w:cs="Arial" w:eastAsia="Arial" w:hAnsi="Arial"/>
                <w:sz w:val="18"/>
                <w:szCs w:val="18"/>
                <w:color w:val="auto"/>
                <w:w w:val="99"/>
              </w:rPr>
              <w:t>G</w:t>
            </w:r>
            <w:r>
              <w:rPr>
                <w:rFonts w:ascii="Arial" w:cs="Arial" w:eastAsia="Arial" w:hAnsi="Arial"/>
                <w:sz w:val="14"/>
                <w:szCs w:val="14"/>
                <w:color w:val="auto"/>
                <w:w w:val="99"/>
              </w:rPr>
              <w:t>EORGE</w:t>
            </w:r>
            <w:r>
              <w:rPr>
                <w:rFonts w:ascii="Arial" w:cs="Arial" w:eastAsia="Arial" w:hAnsi="Arial"/>
                <w:sz w:val="18"/>
                <w:szCs w:val="18"/>
                <w:color w:val="auto"/>
                <w:w w:val="99"/>
              </w:rPr>
              <w:t xml:space="preserve"> W. C</w:t>
            </w:r>
            <w:r>
              <w:rPr>
                <w:rFonts w:ascii="Arial" w:cs="Arial" w:eastAsia="Arial" w:hAnsi="Arial"/>
                <w:sz w:val="14"/>
                <w:szCs w:val="14"/>
                <w:color w:val="auto"/>
                <w:w w:val="99"/>
              </w:rPr>
              <w:t>HAMILLARD</w:t>
            </w: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270"/>
              <w:spacing w:after="0"/>
              <w:rPr>
                <w:sz w:val="20"/>
                <w:szCs w:val="20"/>
                <w:color w:val="auto"/>
              </w:rPr>
            </w:pPr>
            <w:r>
              <w:rPr>
                <w:rFonts w:ascii="Arial" w:cs="Arial" w:eastAsia="Arial" w:hAnsi="Arial"/>
                <w:sz w:val="18"/>
                <w:szCs w:val="18"/>
                <w:color w:val="auto"/>
                <w:w w:val="91"/>
              </w:rPr>
              <w:t>August 16, 2013</w:t>
            </w:r>
          </w:p>
        </w:tc>
      </w:tr>
      <w:tr>
        <w:trPr>
          <w:trHeight w:val="27"/>
        </w:trPr>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4"/>
        </w:trPr>
        <w:tc>
          <w:tcPr>
            <w:tcW w:w="1480" w:type="dxa"/>
            <w:vAlign w:val="bottom"/>
          </w:tcPr>
          <w:p>
            <w:pPr>
              <w:spacing w:after="0"/>
              <w:rPr>
                <w:sz w:val="16"/>
                <w:szCs w:val="16"/>
                <w:color w:val="auto"/>
              </w:rPr>
            </w:pPr>
          </w:p>
        </w:tc>
        <w:tc>
          <w:tcPr>
            <w:tcW w:w="3040" w:type="dxa"/>
            <w:vAlign w:val="bottom"/>
            <w:gridSpan w:val="4"/>
          </w:tcPr>
          <w:p>
            <w:pPr>
              <w:jc w:val="center"/>
              <w:ind w:right="1480"/>
              <w:spacing w:after="0"/>
              <w:rPr>
                <w:sz w:val="20"/>
                <w:szCs w:val="20"/>
                <w:color w:val="auto"/>
              </w:rPr>
            </w:pPr>
            <w:r>
              <w:rPr>
                <w:rFonts w:ascii="Arial" w:cs="Arial" w:eastAsia="Arial" w:hAnsi="Arial"/>
                <w:sz w:val="14"/>
                <w:szCs w:val="14"/>
                <w:b w:val="1"/>
                <w:bCs w:val="1"/>
                <w:color w:val="auto"/>
                <w:w w:val="95"/>
              </w:rPr>
              <w:t>George W. Chamillard</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09"/>
        </w:trPr>
        <w:tc>
          <w:tcPr>
            <w:tcW w:w="1480" w:type="dxa"/>
            <w:vAlign w:val="bottom"/>
          </w:tcPr>
          <w:p>
            <w:pPr>
              <w:ind w:left="130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040" w:type="dxa"/>
            <w:vAlign w:val="bottom"/>
            <w:gridSpan w:val="4"/>
          </w:tcPr>
          <w:p>
            <w:pPr>
              <w:jc w:val="center"/>
              <w:ind w:right="11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A. D</w:t>
            </w:r>
            <w:r>
              <w:rPr>
                <w:rFonts w:ascii="Arial" w:cs="Arial" w:eastAsia="Arial" w:hAnsi="Arial"/>
                <w:sz w:val="14"/>
                <w:szCs w:val="14"/>
                <w:color w:val="auto"/>
              </w:rPr>
              <w:t>ANIELS</w:t>
            </w: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270"/>
              <w:spacing w:after="0"/>
              <w:rPr>
                <w:sz w:val="20"/>
                <w:szCs w:val="20"/>
                <w:color w:val="auto"/>
              </w:rPr>
            </w:pPr>
            <w:r>
              <w:rPr>
                <w:rFonts w:ascii="Arial" w:cs="Arial" w:eastAsia="Arial" w:hAnsi="Arial"/>
                <w:sz w:val="18"/>
                <w:szCs w:val="18"/>
                <w:color w:val="auto"/>
                <w:w w:val="91"/>
              </w:rPr>
              <w:t>August 16, 2013</w:t>
            </w:r>
          </w:p>
        </w:tc>
      </w:tr>
      <w:tr>
        <w:trPr>
          <w:trHeight w:val="27"/>
        </w:trPr>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4"/>
        </w:trPr>
        <w:tc>
          <w:tcPr>
            <w:tcW w:w="1480" w:type="dxa"/>
            <w:vAlign w:val="bottom"/>
          </w:tcPr>
          <w:p>
            <w:pPr>
              <w:spacing w:after="0"/>
              <w:rPr>
                <w:sz w:val="16"/>
                <w:szCs w:val="16"/>
                <w:color w:val="auto"/>
              </w:rPr>
            </w:pPr>
          </w:p>
        </w:tc>
        <w:tc>
          <w:tcPr>
            <w:tcW w:w="3040" w:type="dxa"/>
            <w:vAlign w:val="bottom"/>
            <w:gridSpan w:val="4"/>
          </w:tcPr>
          <w:p>
            <w:pPr>
              <w:jc w:val="center"/>
              <w:ind w:right="1480"/>
              <w:spacing w:after="0"/>
              <w:rPr>
                <w:sz w:val="20"/>
                <w:szCs w:val="20"/>
                <w:color w:val="auto"/>
              </w:rPr>
            </w:pPr>
            <w:r>
              <w:rPr>
                <w:rFonts w:ascii="Arial" w:cs="Arial" w:eastAsia="Arial" w:hAnsi="Arial"/>
                <w:sz w:val="14"/>
                <w:szCs w:val="14"/>
                <w:b w:val="1"/>
                <w:bCs w:val="1"/>
                <w:color w:val="auto"/>
                <w:w w:val="94"/>
              </w:rPr>
              <w:t>Michael A. Daniels</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09"/>
        </w:trPr>
        <w:tc>
          <w:tcPr>
            <w:tcW w:w="1480" w:type="dxa"/>
            <w:vAlign w:val="bottom"/>
          </w:tcPr>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40" w:type="dxa"/>
            <w:vAlign w:val="bottom"/>
            <w:gridSpan w:val="4"/>
          </w:tcPr>
          <w:p>
            <w:pPr>
              <w:jc w:val="center"/>
              <w:ind w:right="1120"/>
              <w:spacing w:after="0"/>
              <w:rPr>
                <w:sz w:val="20"/>
                <w:szCs w:val="20"/>
                <w:color w:val="auto"/>
              </w:rPr>
            </w:pPr>
            <w:r>
              <w:rPr>
                <w:rFonts w:ascii="Arial" w:cs="Arial" w:eastAsia="Arial" w:hAnsi="Arial"/>
                <w:sz w:val="18"/>
                <w:szCs w:val="18"/>
                <w:color w:val="auto"/>
                <w:w w:val="98"/>
              </w:rPr>
              <w:t>G</w:t>
            </w:r>
            <w:r>
              <w:rPr>
                <w:rFonts w:ascii="Arial" w:cs="Arial" w:eastAsia="Arial" w:hAnsi="Arial"/>
                <w:sz w:val="14"/>
                <w:szCs w:val="14"/>
                <w:color w:val="auto"/>
                <w:w w:val="98"/>
              </w:rPr>
              <w:t>EORGE</w:t>
            </w:r>
            <w:r>
              <w:rPr>
                <w:rFonts w:ascii="Arial" w:cs="Arial" w:eastAsia="Arial" w:hAnsi="Arial"/>
                <w:sz w:val="18"/>
                <w:szCs w:val="18"/>
                <w:color w:val="auto"/>
                <w:w w:val="98"/>
              </w:rPr>
              <w:t xml:space="preserve"> K. M</w:t>
            </w:r>
            <w:r>
              <w:rPr>
                <w:rFonts w:ascii="Arial" w:cs="Arial" w:eastAsia="Arial" w:hAnsi="Arial"/>
                <w:sz w:val="14"/>
                <w:szCs w:val="14"/>
                <w:color w:val="auto"/>
                <w:w w:val="98"/>
              </w:rPr>
              <w:t>UELLNER</w:t>
            </w: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270"/>
              <w:spacing w:after="0"/>
              <w:rPr>
                <w:sz w:val="20"/>
                <w:szCs w:val="20"/>
                <w:color w:val="auto"/>
              </w:rPr>
            </w:pPr>
            <w:r>
              <w:rPr>
                <w:rFonts w:ascii="Arial" w:cs="Arial" w:eastAsia="Arial" w:hAnsi="Arial"/>
                <w:sz w:val="18"/>
                <w:szCs w:val="18"/>
                <w:color w:val="auto"/>
                <w:w w:val="91"/>
              </w:rPr>
              <w:t>August 16, 2013</w:t>
            </w:r>
          </w:p>
        </w:tc>
      </w:tr>
      <w:tr>
        <w:trPr>
          <w:trHeight w:val="27"/>
        </w:trPr>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4"/>
        </w:trPr>
        <w:tc>
          <w:tcPr>
            <w:tcW w:w="1480" w:type="dxa"/>
            <w:vAlign w:val="bottom"/>
          </w:tcPr>
          <w:p>
            <w:pPr>
              <w:spacing w:after="0"/>
              <w:rPr>
                <w:sz w:val="16"/>
                <w:szCs w:val="16"/>
                <w:color w:val="auto"/>
              </w:rPr>
            </w:pPr>
          </w:p>
        </w:tc>
        <w:tc>
          <w:tcPr>
            <w:tcW w:w="3040" w:type="dxa"/>
            <w:vAlign w:val="bottom"/>
            <w:gridSpan w:val="4"/>
          </w:tcPr>
          <w:p>
            <w:pPr>
              <w:jc w:val="center"/>
              <w:ind w:right="1480"/>
              <w:spacing w:after="0"/>
              <w:rPr>
                <w:sz w:val="20"/>
                <w:szCs w:val="20"/>
                <w:color w:val="auto"/>
              </w:rPr>
            </w:pPr>
            <w:r>
              <w:rPr>
                <w:rFonts w:ascii="Arial" w:cs="Arial" w:eastAsia="Arial" w:hAnsi="Arial"/>
                <w:sz w:val="14"/>
                <w:szCs w:val="14"/>
                <w:b w:val="1"/>
                <w:bCs w:val="1"/>
                <w:color w:val="auto"/>
                <w:w w:val="96"/>
              </w:rPr>
              <w:t>George K. Muellner</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09"/>
        </w:trPr>
        <w:tc>
          <w:tcPr>
            <w:tcW w:w="1480" w:type="dxa"/>
            <w:vAlign w:val="bottom"/>
          </w:tcPr>
          <w:p>
            <w:pPr>
              <w:ind w:left="128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040" w:type="dxa"/>
            <w:vAlign w:val="bottom"/>
            <w:gridSpan w:val="4"/>
          </w:tcPr>
          <w:p>
            <w:pPr>
              <w:jc w:val="center"/>
              <w:ind w:right="114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ILLIAM</w:t>
            </w:r>
            <w:r>
              <w:rPr>
                <w:rFonts w:ascii="Arial" w:cs="Arial" w:eastAsia="Arial" w:hAnsi="Arial"/>
                <w:sz w:val="18"/>
                <w:szCs w:val="18"/>
                <w:color w:val="auto"/>
              </w:rPr>
              <w:t xml:space="preserve"> K. O’B</w:t>
            </w:r>
            <w:r>
              <w:rPr>
                <w:rFonts w:ascii="Arial" w:cs="Arial" w:eastAsia="Arial" w:hAnsi="Arial"/>
                <w:sz w:val="14"/>
                <w:szCs w:val="14"/>
                <w:color w:val="auto"/>
              </w:rPr>
              <w:t>RIEN</w:t>
            </w: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270"/>
              <w:spacing w:after="0"/>
              <w:rPr>
                <w:sz w:val="20"/>
                <w:szCs w:val="20"/>
                <w:color w:val="auto"/>
              </w:rPr>
            </w:pPr>
            <w:r>
              <w:rPr>
                <w:rFonts w:ascii="Arial" w:cs="Arial" w:eastAsia="Arial" w:hAnsi="Arial"/>
                <w:sz w:val="18"/>
                <w:szCs w:val="18"/>
                <w:color w:val="auto"/>
                <w:w w:val="91"/>
              </w:rPr>
              <w:t>August 16, 2013</w:t>
            </w:r>
          </w:p>
        </w:tc>
      </w:tr>
      <w:tr>
        <w:trPr>
          <w:trHeight w:val="27"/>
        </w:trPr>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4"/>
        </w:trPr>
        <w:tc>
          <w:tcPr>
            <w:tcW w:w="1480" w:type="dxa"/>
            <w:vAlign w:val="bottom"/>
          </w:tcPr>
          <w:p>
            <w:pPr>
              <w:spacing w:after="0"/>
              <w:rPr>
                <w:sz w:val="16"/>
                <w:szCs w:val="16"/>
                <w:color w:val="auto"/>
              </w:rPr>
            </w:pPr>
          </w:p>
        </w:tc>
        <w:tc>
          <w:tcPr>
            <w:tcW w:w="3040" w:type="dxa"/>
            <w:vAlign w:val="bottom"/>
            <w:gridSpan w:val="4"/>
          </w:tcPr>
          <w:p>
            <w:pPr>
              <w:jc w:val="center"/>
              <w:ind w:right="1460"/>
              <w:spacing w:after="0"/>
              <w:rPr>
                <w:sz w:val="20"/>
                <w:szCs w:val="20"/>
                <w:color w:val="auto"/>
              </w:rPr>
            </w:pPr>
            <w:r>
              <w:rPr>
                <w:rFonts w:ascii="Arial" w:cs="Arial" w:eastAsia="Arial" w:hAnsi="Arial"/>
                <w:sz w:val="14"/>
                <w:szCs w:val="14"/>
                <w:b w:val="1"/>
                <w:bCs w:val="1"/>
                <w:color w:val="auto"/>
              </w:rPr>
              <w:t>William K. O’Brien</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09"/>
        </w:trPr>
        <w:tc>
          <w:tcPr>
            <w:tcW w:w="1480" w:type="dxa"/>
            <w:vAlign w:val="bottom"/>
          </w:tcPr>
          <w:p>
            <w:pPr>
              <w:spacing w:after="0"/>
              <w:rPr>
                <w:sz w:val="24"/>
                <w:szCs w:val="24"/>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780" w:type="dxa"/>
            <w:vAlign w:val="bottom"/>
            <w:gridSpan w:val="3"/>
          </w:tcPr>
          <w:p>
            <w:pPr>
              <w:jc w:val="center"/>
              <w:ind w:right="1380"/>
              <w:spacing w:after="0"/>
              <w:rPr>
                <w:sz w:val="20"/>
                <w:szCs w:val="20"/>
                <w:color w:val="auto"/>
              </w:rPr>
            </w:pPr>
            <w:r>
              <w:rPr>
                <w:rFonts w:ascii="Arial" w:cs="Arial" w:eastAsia="Arial" w:hAnsi="Arial"/>
                <w:sz w:val="18"/>
                <w:szCs w:val="18"/>
                <w:color w:val="auto"/>
                <w:w w:val="95"/>
              </w:rPr>
              <w:t>L</w:t>
            </w:r>
            <w:r>
              <w:rPr>
                <w:rFonts w:ascii="Arial" w:cs="Arial" w:eastAsia="Arial" w:hAnsi="Arial"/>
                <w:sz w:val="14"/>
                <w:szCs w:val="14"/>
                <w:color w:val="auto"/>
                <w:w w:val="95"/>
              </w:rPr>
              <w:t>EE</w:t>
            </w:r>
            <w:r>
              <w:rPr>
                <w:rFonts w:ascii="Arial" w:cs="Arial" w:eastAsia="Arial" w:hAnsi="Arial"/>
                <w:sz w:val="18"/>
                <w:szCs w:val="18"/>
                <w:color w:val="auto"/>
                <w:w w:val="95"/>
              </w:rPr>
              <w:t xml:space="preserve"> C. S</w:t>
            </w:r>
            <w:r>
              <w:rPr>
                <w:rFonts w:ascii="Arial" w:cs="Arial" w:eastAsia="Arial" w:hAnsi="Arial"/>
                <w:sz w:val="14"/>
                <w:szCs w:val="14"/>
                <w:color w:val="auto"/>
                <w:w w:val="95"/>
              </w:rPr>
              <w:t>TEELE</w:t>
            </w: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270"/>
              <w:spacing w:after="0"/>
              <w:rPr>
                <w:sz w:val="20"/>
                <w:szCs w:val="20"/>
                <w:color w:val="auto"/>
              </w:rPr>
            </w:pPr>
            <w:r>
              <w:rPr>
                <w:rFonts w:ascii="Arial" w:cs="Arial" w:eastAsia="Arial" w:hAnsi="Arial"/>
                <w:sz w:val="18"/>
                <w:szCs w:val="18"/>
                <w:color w:val="auto"/>
                <w:w w:val="91"/>
              </w:rPr>
              <w:t>August 16, 2013</w:t>
            </w:r>
          </w:p>
        </w:tc>
      </w:tr>
      <w:tr>
        <w:trPr>
          <w:trHeight w:val="27"/>
        </w:trPr>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4"/>
        </w:trPr>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91"/>
              </w:rPr>
              <w:t>Lee C. Steele</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95"/>
        </w:trPr>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Chairman of the Board of</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0"/>
        </w:trPr>
        <w:tc>
          <w:tcPr>
            <w:tcW w:w="148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80" w:type="dxa"/>
            <w:vAlign w:val="bottom"/>
            <w:gridSpan w:val="3"/>
          </w:tcPr>
          <w:p>
            <w:pPr>
              <w:jc w:val="center"/>
              <w:ind w:right="1380"/>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INCENT</w:t>
            </w:r>
            <w:r>
              <w:rPr>
                <w:rFonts w:ascii="Arial" w:cs="Arial" w:eastAsia="Arial" w:hAnsi="Arial"/>
                <w:sz w:val="18"/>
                <w:szCs w:val="18"/>
                <w:color w:val="auto"/>
              </w:rPr>
              <w:t xml:space="preserve"> V</w:t>
            </w:r>
            <w:r>
              <w:rPr>
                <w:rFonts w:ascii="Arial" w:cs="Arial" w:eastAsia="Arial" w:hAnsi="Arial"/>
                <w:sz w:val="14"/>
                <w:szCs w:val="14"/>
                <w:color w:val="auto"/>
              </w:rPr>
              <w:t>ITTO</w:t>
            </w:r>
          </w:p>
        </w:tc>
        <w:tc>
          <w:tcPr>
            <w:tcW w:w="4920" w:type="dxa"/>
            <w:vAlign w:val="bottom"/>
            <w:gridSpan w:val="3"/>
          </w:tcPr>
          <w:p>
            <w:pPr>
              <w:ind w:left="160"/>
              <w:spacing w:after="0"/>
              <w:rPr>
                <w:sz w:val="20"/>
                <w:szCs w:val="20"/>
                <w:color w:val="auto"/>
              </w:rPr>
            </w:pPr>
            <w:r>
              <w:rPr>
                <w:rFonts w:ascii="Arial" w:cs="Arial" w:eastAsia="Arial" w:hAnsi="Arial"/>
                <w:sz w:val="18"/>
                <w:szCs w:val="18"/>
                <w:color w:val="auto"/>
              </w:rPr>
              <w:t>Directors</w:t>
            </w:r>
          </w:p>
        </w:tc>
        <w:tc>
          <w:tcPr>
            <w:tcW w:w="1560" w:type="dxa"/>
            <w:vAlign w:val="bottom"/>
            <w:gridSpan w:val="3"/>
          </w:tcPr>
          <w:p>
            <w:pPr>
              <w:jc w:val="center"/>
              <w:ind w:left="270"/>
              <w:spacing w:after="0"/>
              <w:rPr>
                <w:sz w:val="20"/>
                <w:szCs w:val="20"/>
                <w:color w:val="auto"/>
              </w:rPr>
            </w:pPr>
            <w:r>
              <w:rPr>
                <w:rFonts w:ascii="Arial" w:cs="Arial" w:eastAsia="Arial" w:hAnsi="Arial"/>
                <w:sz w:val="18"/>
                <w:szCs w:val="18"/>
                <w:color w:val="auto"/>
                <w:w w:val="91"/>
              </w:rPr>
              <w:t>August 16, 2013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644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5"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Vincent Vitto</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5" w:right="2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740" w:type="dxa"/>
            <w:vAlign w:val="bottom"/>
          </w:tcPr>
          <w:p>
            <w:pPr>
              <w:ind w:left="1380"/>
              <w:spacing w:after="0"/>
              <w:rPr>
                <w:sz w:val="20"/>
                <w:szCs w:val="20"/>
                <w:color w:val="auto"/>
              </w:rPr>
            </w:pPr>
            <w:r>
              <w:rPr>
                <w:rFonts w:ascii="Arial" w:cs="Arial" w:eastAsia="Arial" w:hAnsi="Arial"/>
                <w:sz w:val="18"/>
                <w:szCs w:val="18"/>
                <w:b w:val="1"/>
                <w:bCs w:val="1"/>
                <w:color w:val="auto"/>
              </w:rPr>
              <w:t>EXHIBIT INDEX</w:t>
            </w:r>
          </w:p>
        </w:tc>
      </w:tr>
      <w:tr>
        <w:trPr>
          <w:trHeight w:val="486"/>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ITEM NO.</w:t>
            </w:r>
          </w:p>
        </w:tc>
        <w:tc>
          <w:tcPr>
            <w:tcW w:w="10140" w:type="dxa"/>
            <w:vAlign w:val="bottom"/>
            <w:gridSpan w:val="3"/>
          </w:tcPr>
          <w:p>
            <w:pPr>
              <w:ind w:left="520"/>
              <w:spacing w:after="0"/>
              <w:rPr>
                <w:sz w:val="20"/>
                <w:szCs w:val="20"/>
                <w:color w:val="auto"/>
              </w:rPr>
            </w:pPr>
            <w:r>
              <w:rPr>
                <w:rFonts w:ascii="Arial" w:cs="Arial" w:eastAsia="Arial" w:hAnsi="Arial"/>
                <w:sz w:val="14"/>
                <w:szCs w:val="14"/>
                <w:b w:val="1"/>
                <w:bCs w:val="1"/>
                <w:color w:val="auto"/>
              </w:rPr>
              <w:t>DESCRIPTION OF EXHIBIT</w:t>
            </w:r>
          </w:p>
        </w:tc>
      </w:tr>
      <w:tr>
        <w:trPr>
          <w:trHeight w:val="20"/>
        </w:trPr>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r>
        <w:trPr>
          <w:trHeight w:val="249"/>
        </w:trPr>
        <w:tc>
          <w:tcPr>
            <w:tcW w:w="660" w:type="dxa"/>
            <w:vAlign w:val="bottom"/>
          </w:tcPr>
          <w:p>
            <w:pPr>
              <w:ind w:left="140"/>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21"/>
                <w:szCs w:val="21"/>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1"/>
              </w:rPr>
              <w:t>Underwriting Agreement, dated February 10, 2011, among the Company and Jefferies &amp; Company, Inc. and Lazard Capital Markets</w:t>
            </w:r>
          </w:p>
        </w:tc>
      </w:tr>
      <w:tr>
        <w:trPr>
          <w:trHeight w:val="216"/>
        </w:trPr>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1"/>
              </w:rPr>
              <w:t>LLC as representatives of the several underwriters named therein (incorporated herein by reference to Exhibit 1.1 of the Company’s</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current report on Form 8-K filed on February 11, 2011)</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2"/>
                <w:szCs w:val="22"/>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5"/>
              </w:rPr>
              <w:t>Articles of Organization (incorporated herein by reference to Exhibit 3.1.1 of the Company’s annual report on Form 10-K for the</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fiscal year ended June 30, 2009)</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22"/>
                <w:szCs w:val="22"/>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5"/>
              </w:rPr>
              <w:t>Articles of Amendment (incorporated herein by reference to Exhibit 3.1.2 of the Company’s annual report on Form 10-K for the</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fiscal year ended June 30, 2010)</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3.1.3</w:t>
            </w:r>
          </w:p>
        </w:tc>
        <w:tc>
          <w:tcPr>
            <w:tcW w:w="540" w:type="dxa"/>
            <w:vAlign w:val="bottom"/>
          </w:tcPr>
          <w:p>
            <w:pPr>
              <w:spacing w:after="0"/>
              <w:rPr>
                <w:sz w:val="22"/>
                <w:szCs w:val="22"/>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2"/>
              </w:rPr>
              <w:t>Articles of Amendment (incorporated herein by reference to Exhibit 1 of the Company’s registration statement on Form 8-A filed on</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December 15, 2005)</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3.1.4</w:t>
            </w:r>
          </w:p>
        </w:tc>
        <w:tc>
          <w:tcPr>
            <w:tcW w:w="540" w:type="dxa"/>
            <w:vAlign w:val="bottom"/>
          </w:tcPr>
          <w:p>
            <w:pPr>
              <w:spacing w:after="0"/>
              <w:rPr>
                <w:sz w:val="22"/>
                <w:szCs w:val="22"/>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7"/>
              </w:rPr>
              <w:t>Articles of Amendment (incorporated herein by reference to Exhibit 3.1 of the Company's current report on Form 8-K filed on</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November 13, 2012)</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2"/>
                <w:szCs w:val="22"/>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6"/>
              </w:rPr>
              <w:t>Bylaws, amended and restated effective as of May 4, 2011 (incorporated herein by reference to Exhibit 3.2 of the Company’s</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quarterly report on Form 10-Q for the quarter ended March 31, 2011)</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2"/>
                <w:szCs w:val="22"/>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4"/>
              </w:rPr>
              <w:t>Form of Stock Certificate (incorporated herein by reference to Exhibit 4.1 of the Company’s Registration Statement on Form S-1</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(File No. 333-41139))</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2"/>
                <w:szCs w:val="22"/>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2"/>
              </w:rPr>
              <w:t>Shareholder Rights Agreement, dated as of December 14, 2005, between the Company and Computershare Trust Company, N.A.</w:t>
            </w:r>
          </w:p>
        </w:tc>
      </w:tr>
      <w:tr>
        <w:trPr>
          <w:trHeight w:val="216"/>
        </w:trPr>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3"/>
              </w:rPr>
              <w:t>(formerly known as EquiServe Trust Company, N.A.) (incorporated herein by reference to Exhibit 2 of the Company’s registration</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statement on Form 8-A filed on December 15, 2005)</w:t>
            </w:r>
          </w:p>
        </w:tc>
      </w:tr>
      <w:tr>
        <w:trPr>
          <w:trHeight w:val="256"/>
        </w:trPr>
        <w:tc>
          <w:tcPr>
            <w:tcW w:w="1200" w:type="dxa"/>
            <w:vAlign w:val="bottom"/>
            <w:gridSpan w:val="2"/>
          </w:tcPr>
          <w:p>
            <w:pPr>
              <w:ind w:left="140"/>
              <w:spacing w:after="0"/>
              <w:rPr>
                <w:sz w:val="20"/>
                <w:szCs w:val="20"/>
                <w:color w:val="auto"/>
              </w:rPr>
            </w:pPr>
            <w:r>
              <w:rPr>
                <w:rFonts w:ascii="Arial" w:cs="Arial" w:eastAsia="Arial" w:hAnsi="Arial"/>
                <w:sz w:val="18"/>
                <w:szCs w:val="18"/>
                <w:color w:val="auto"/>
              </w:rPr>
              <w:t>10.1.1*</w:t>
            </w: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0"/>
              </w:rPr>
              <w:t>1997 Stock Option Plan, as amended and restated (incorporated herein by reference to Exhibit 10.1.1 of the Company’s annual report</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on Form 10-K for the fiscal year ended June 30, 2010)</w:t>
            </w:r>
          </w:p>
        </w:tc>
      </w:tr>
      <w:tr>
        <w:trPr>
          <w:trHeight w:val="256"/>
        </w:trPr>
        <w:tc>
          <w:tcPr>
            <w:tcW w:w="1200" w:type="dxa"/>
            <w:vAlign w:val="bottom"/>
            <w:gridSpan w:val="2"/>
          </w:tcPr>
          <w:p>
            <w:pPr>
              <w:ind w:left="140"/>
              <w:spacing w:after="0"/>
              <w:rPr>
                <w:sz w:val="20"/>
                <w:szCs w:val="20"/>
                <w:color w:val="auto"/>
              </w:rPr>
            </w:pPr>
            <w:r>
              <w:rPr>
                <w:rFonts w:ascii="Arial" w:cs="Arial" w:eastAsia="Arial" w:hAnsi="Arial"/>
                <w:sz w:val="18"/>
                <w:szCs w:val="18"/>
                <w:color w:val="auto"/>
              </w:rPr>
              <w:t>10.1.2*</w:t>
            </w: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6"/>
              </w:rPr>
              <w:t>Form of Stock Option Agreement under the 1997 Stock Option Plan (incorporated herein by reference to Exhibit 10.1.2 of the</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Company’s annual report on Form 10-K for the fiscal year ended June 30, 2010)</w:t>
            </w:r>
          </w:p>
        </w:tc>
      </w:tr>
      <w:tr>
        <w:trPr>
          <w:trHeight w:val="256"/>
        </w:trPr>
        <w:tc>
          <w:tcPr>
            <w:tcW w:w="1200" w:type="dxa"/>
            <w:vAlign w:val="bottom"/>
            <w:gridSpan w:val="2"/>
          </w:tcPr>
          <w:p>
            <w:pPr>
              <w:ind w:left="140"/>
              <w:spacing w:after="0"/>
              <w:rPr>
                <w:sz w:val="20"/>
                <w:szCs w:val="20"/>
                <w:color w:val="auto"/>
              </w:rPr>
            </w:pPr>
            <w:r>
              <w:rPr>
                <w:rFonts w:ascii="Arial" w:cs="Arial" w:eastAsia="Arial" w:hAnsi="Arial"/>
                <w:sz w:val="18"/>
                <w:szCs w:val="18"/>
                <w:color w:val="auto"/>
              </w:rPr>
              <w:t>10.1.3*</w:t>
            </w: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1"/>
              </w:rPr>
              <w:t>Form of Restricted Stock Award Agreement under the 1997 Stock Option Plan (incorporated herein by reference to Exhibit 10.1.3 of</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the Company’s annual report on Form 10-K for the fiscal year ended June 30, 2010)</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2"/>
                <w:szCs w:val="22"/>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5"/>
              </w:rPr>
              <w:t>1998 Stock Option Plan (incorporated herein by reference to Exhibit 10.2 of the Company’s annual report on Form 10-K for the</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fiscal year ended June 30, 2009)</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10.3*</w:t>
            </w:r>
          </w:p>
        </w:tc>
        <w:tc>
          <w:tcPr>
            <w:tcW w:w="540" w:type="dxa"/>
            <w:vAlign w:val="bottom"/>
          </w:tcPr>
          <w:p>
            <w:pPr>
              <w:spacing w:after="0"/>
              <w:rPr>
                <w:sz w:val="22"/>
                <w:szCs w:val="22"/>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1"/>
              </w:rPr>
              <w:t>1997 Employee Stock Purchase Plan, as amended and restated (incorporated herein by reference to Appendix B to the Company’s</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definitive proxy statement filed on September 19, 2011)</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2"/>
                <w:szCs w:val="22"/>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4"/>
              </w:rPr>
              <w:t>Form of Indemnification Agreement between the Company and each of its current directors (incorporated herein by reference to</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Exhibit 10.4 of the Company’s annual report on Form 10-K for the fiscal year ended June 30, 2009)</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10.5*</w:t>
            </w:r>
          </w:p>
        </w:tc>
        <w:tc>
          <w:tcPr>
            <w:tcW w:w="540" w:type="dxa"/>
            <w:vAlign w:val="bottom"/>
          </w:tcPr>
          <w:p>
            <w:pPr>
              <w:spacing w:after="0"/>
              <w:rPr>
                <w:sz w:val="22"/>
                <w:szCs w:val="22"/>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0"/>
              </w:rPr>
              <w:t>Annual Executive Bonus Plan – Corporate Financial Performance (incorporated herein by reference to Exhibit 10.6 of the Company’s</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annual report on Form 10-K for the fiscal year ended June 30, 2009)</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10.6*</w:t>
            </w:r>
          </w:p>
        </w:tc>
        <w:tc>
          <w:tcPr>
            <w:tcW w:w="540" w:type="dxa"/>
            <w:vAlign w:val="bottom"/>
          </w:tcPr>
          <w:p>
            <w:pPr>
              <w:spacing w:after="0"/>
              <w:rPr>
                <w:sz w:val="22"/>
                <w:szCs w:val="22"/>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2"/>
              </w:rPr>
              <w:t>Annual Executive Bonus Plan – Individual Performance (incorporated herein by reference to Exhibit 10.7 of the Company’s annual</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report on Form 10-K for the fiscal year ended June 30, 2009)</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10.7*</w:t>
            </w:r>
          </w:p>
        </w:tc>
        <w:tc>
          <w:tcPr>
            <w:tcW w:w="540" w:type="dxa"/>
            <w:vAlign w:val="bottom"/>
          </w:tcPr>
          <w:p>
            <w:pPr>
              <w:spacing w:after="0"/>
              <w:rPr>
                <w:sz w:val="22"/>
                <w:szCs w:val="22"/>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3"/>
              </w:rPr>
              <w:t>2005 Stock Incentive Plan, as amended and restated (incorporated herein by reference to Appendix A to the Company’s definitive</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proxy statement filed on August 31, 2012)</w:t>
            </w:r>
          </w:p>
        </w:tc>
      </w:tr>
      <w:tr>
        <w:trPr>
          <w:trHeight w:val="256"/>
        </w:trPr>
        <w:tc>
          <w:tcPr>
            <w:tcW w:w="1200" w:type="dxa"/>
            <w:vAlign w:val="bottom"/>
            <w:gridSpan w:val="2"/>
          </w:tcPr>
          <w:p>
            <w:pPr>
              <w:ind w:left="140"/>
              <w:spacing w:after="0"/>
              <w:rPr>
                <w:sz w:val="20"/>
                <w:szCs w:val="20"/>
                <w:color w:val="auto"/>
              </w:rPr>
            </w:pPr>
            <w:r>
              <w:rPr>
                <w:rFonts w:ascii="Arial" w:cs="Arial" w:eastAsia="Arial" w:hAnsi="Arial"/>
                <w:sz w:val="18"/>
                <w:szCs w:val="18"/>
                <w:color w:val="auto"/>
              </w:rPr>
              <w:t>10.8.1*</w:t>
            </w: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4"/>
              </w:rPr>
              <w:t>Form of Stock Option Agreement under the 2005 Stock Incentive Plan (incorporated herein by reference to Exhibit 10.8.1 of the</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Company’s annual report on Form 10-K for the fiscal year ended June 30, 2011)</w:t>
            </w:r>
          </w:p>
        </w:tc>
      </w:tr>
      <w:tr>
        <w:trPr>
          <w:trHeight w:val="256"/>
        </w:trPr>
        <w:tc>
          <w:tcPr>
            <w:tcW w:w="1200" w:type="dxa"/>
            <w:vAlign w:val="bottom"/>
            <w:gridSpan w:val="2"/>
          </w:tcPr>
          <w:p>
            <w:pPr>
              <w:ind w:left="140"/>
              <w:spacing w:after="0"/>
              <w:rPr>
                <w:sz w:val="20"/>
                <w:szCs w:val="20"/>
                <w:color w:val="auto"/>
              </w:rPr>
            </w:pPr>
            <w:r>
              <w:rPr>
                <w:rFonts w:ascii="Arial" w:cs="Arial" w:eastAsia="Arial" w:hAnsi="Arial"/>
                <w:sz w:val="18"/>
                <w:szCs w:val="18"/>
                <w:color w:val="auto"/>
              </w:rPr>
              <w:t>10.8.2*</w:t>
            </w: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w w:val="91"/>
              </w:rPr>
              <w:t>Form of Restricted Stock Award Agreement under the 2005 Stock Incentive Plan (incorporated herein by reference to Exhibit 10.8.2</w:t>
            </w:r>
          </w:p>
        </w:tc>
      </w:tr>
      <w:tr>
        <w:trPr>
          <w:trHeight w:val="230"/>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40" w:type="dxa"/>
            <w:vAlign w:val="bottom"/>
            <w:gridSpan w:val="3"/>
          </w:tcPr>
          <w:p>
            <w:pPr>
              <w:ind w:left="520"/>
              <w:spacing w:after="0"/>
              <w:rPr>
                <w:sz w:val="20"/>
                <w:szCs w:val="20"/>
                <w:color w:val="auto"/>
              </w:rPr>
            </w:pPr>
            <w:r>
              <w:rPr>
                <w:rFonts w:ascii="Arial" w:cs="Arial" w:eastAsia="Arial" w:hAnsi="Arial"/>
                <w:sz w:val="18"/>
                <w:szCs w:val="18"/>
                <w:color w:val="auto"/>
              </w:rPr>
              <w:t>of the Company’s annual report on Form 10-K for the fiscal year ended June 30, 2011)</w:t>
            </w:r>
          </w:p>
        </w:tc>
      </w:tr>
      <w:tr>
        <w:trPr>
          <w:trHeight w:val="486"/>
        </w:trPr>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140" w:type="dxa"/>
            <w:vAlign w:val="bottom"/>
            <w:gridSpan w:val="3"/>
          </w:tcPr>
          <w:p>
            <w:pPr>
              <w:ind w:left="4380"/>
              <w:spacing w:after="0"/>
              <w:rPr>
                <w:sz w:val="20"/>
                <w:szCs w:val="20"/>
                <w:color w:val="auto"/>
              </w:rPr>
            </w:pPr>
            <w:r>
              <w:rPr>
                <w:rFonts w:ascii="Arial" w:cs="Arial" w:eastAsia="Arial" w:hAnsi="Arial"/>
                <w:sz w:val="18"/>
                <w:szCs w:val="18"/>
                <w:color w:val="auto"/>
              </w:rPr>
              <w:t>78</w:t>
            </w:r>
          </w:p>
        </w:tc>
      </w:tr>
    </w:tbl>
    <w:p>
      <w:pPr>
        <w:sectPr>
          <w:pgSz w:w="11900" w:h="16838" w:orient="portrait"/>
          <w:cols w:equalWidth="0" w:num="1">
            <w:col w:w="11380"/>
          </w:cols>
          <w:pgMar w:left="240" w:top="125" w:right="27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180" w:type="dxa"/>
            <w:vAlign w:val="bottom"/>
          </w:tcPr>
          <w:p>
            <w:pPr>
              <w:spacing w:after="0"/>
              <w:rPr>
                <w:sz w:val="20"/>
                <w:szCs w:val="20"/>
                <w:color w:val="auto"/>
              </w:rPr>
            </w:pPr>
            <w:r>
              <w:rPr>
                <w:rFonts w:ascii="Arial" w:cs="Arial" w:eastAsia="Arial" w:hAnsi="Arial"/>
                <w:sz w:val="14"/>
                <w:szCs w:val="14"/>
                <w:b w:val="1"/>
                <w:bCs w:val="1"/>
                <w:color w:val="auto"/>
              </w:rPr>
              <w:t>ITEM NO.</w:t>
            </w:r>
          </w:p>
        </w:tc>
        <w:tc>
          <w:tcPr>
            <w:tcW w:w="10160" w:type="dxa"/>
            <w:vAlign w:val="bottom"/>
          </w:tcPr>
          <w:p>
            <w:pPr>
              <w:ind w:left="540"/>
              <w:spacing w:after="0"/>
              <w:rPr>
                <w:sz w:val="20"/>
                <w:szCs w:val="20"/>
                <w:color w:val="auto"/>
              </w:rPr>
            </w:pPr>
            <w:r>
              <w:rPr>
                <w:rFonts w:ascii="Arial" w:cs="Arial" w:eastAsia="Arial" w:hAnsi="Arial"/>
                <w:sz w:val="14"/>
                <w:szCs w:val="14"/>
                <w:b w:val="1"/>
                <w:bCs w:val="1"/>
                <w:color w:val="auto"/>
              </w:rPr>
              <w:t>DESCRIPTION OF EXHIBIT</w:t>
            </w:r>
          </w:p>
        </w:tc>
      </w:tr>
      <w:tr>
        <w:trPr>
          <w:trHeight w:val="241"/>
        </w:trPr>
        <w:tc>
          <w:tcPr>
            <w:tcW w:w="1180" w:type="dxa"/>
            <w:vAlign w:val="bottom"/>
          </w:tcPr>
          <w:p>
            <w:pPr>
              <w:spacing w:after="0"/>
              <w:rPr>
                <w:sz w:val="20"/>
                <w:szCs w:val="20"/>
                <w:color w:val="auto"/>
              </w:rPr>
            </w:pPr>
            <w:r>
              <w:rPr>
                <w:rFonts w:ascii="Arial" w:cs="Arial" w:eastAsia="Arial" w:hAnsi="Arial"/>
                <w:sz w:val="18"/>
                <w:szCs w:val="18"/>
                <w:color w:val="auto"/>
              </w:rPr>
              <w:t>10.8.3*</w:t>
            </w:r>
          </w:p>
        </w:tc>
        <w:tc>
          <w:tcPr>
            <w:tcW w:w="10160" w:type="dxa"/>
            <w:vAlign w:val="bottom"/>
          </w:tcPr>
          <w:p>
            <w:pPr>
              <w:ind w:left="540"/>
              <w:spacing w:after="0"/>
              <w:rPr>
                <w:sz w:val="20"/>
                <w:szCs w:val="20"/>
                <w:color w:val="auto"/>
              </w:rPr>
            </w:pPr>
            <w:r>
              <w:rPr>
                <w:rFonts w:ascii="Arial" w:cs="Arial" w:eastAsia="Arial" w:hAnsi="Arial"/>
                <w:sz w:val="18"/>
                <w:szCs w:val="18"/>
                <w:color w:val="auto"/>
                <w:w w:val="92"/>
              </w:rPr>
              <w:t>Form of Deferred Stock Award Agreement under the 2005 Stock Incentive Plan (incorporated herein by reference to Exhibit 10.8.3</w:t>
            </w:r>
          </w:p>
        </w:tc>
      </w:tr>
      <w:tr>
        <w:trPr>
          <w:trHeight w:val="230"/>
        </w:trPr>
        <w:tc>
          <w:tcPr>
            <w:tcW w:w="118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of the Company’s annual report on Form 10-K for the fiscal year ended June 30, 2011)</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10.8.4*</w:t>
            </w:r>
          </w:p>
        </w:tc>
        <w:tc>
          <w:tcPr>
            <w:tcW w:w="10160" w:type="dxa"/>
            <w:vAlign w:val="bottom"/>
          </w:tcPr>
          <w:p>
            <w:pPr>
              <w:ind w:left="540"/>
              <w:spacing w:after="0"/>
              <w:rPr>
                <w:sz w:val="20"/>
                <w:szCs w:val="20"/>
                <w:color w:val="auto"/>
              </w:rPr>
            </w:pPr>
            <w:r>
              <w:rPr>
                <w:rFonts w:ascii="Arial" w:cs="Arial" w:eastAsia="Arial" w:hAnsi="Arial"/>
                <w:sz w:val="18"/>
                <w:szCs w:val="18"/>
                <w:color w:val="auto"/>
                <w:w w:val="97"/>
              </w:rPr>
              <w:t>Form of Stock Option Agreement for performance stock options under the 2005 Stock Incentive Plan (incorporated herein by</w:t>
            </w:r>
          </w:p>
        </w:tc>
      </w:tr>
      <w:tr>
        <w:trPr>
          <w:trHeight w:val="230"/>
        </w:trPr>
        <w:tc>
          <w:tcPr>
            <w:tcW w:w="118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reference to Exhibit 10.1 of the Company’s current report on Form 8-K filed on September 28, 2007)</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10.9.1*</w:t>
            </w:r>
          </w:p>
        </w:tc>
        <w:tc>
          <w:tcPr>
            <w:tcW w:w="10160" w:type="dxa"/>
            <w:vAlign w:val="bottom"/>
          </w:tcPr>
          <w:p>
            <w:pPr>
              <w:ind w:left="540"/>
              <w:spacing w:after="0"/>
              <w:rPr>
                <w:sz w:val="20"/>
                <w:szCs w:val="20"/>
                <w:color w:val="auto"/>
              </w:rPr>
            </w:pPr>
            <w:r>
              <w:rPr>
                <w:rFonts w:ascii="Arial" w:cs="Arial" w:eastAsia="Arial" w:hAnsi="Arial"/>
                <w:sz w:val="18"/>
                <w:szCs w:val="18"/>
                <w:color w:val="auto"/>
                <w:w w:val="95"/>
              </w:rPr>
              <w:t>Form of Change in Control Severance Agreement between the Company and Mark Aslett (incorporated herein by reference to</w:t>
            </w:r>
          </w:p>
        </w:tc>
      </w:tr>
      <w:tr>
        <w:trPr>
          <w:trHeight w:val="230"/>
        </w:trPr>
        <w:tc>
          <w:tcPr>
            <w:tcW w:w="118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Exhibit 10.9.1 of the Company’s annual report on Form 10-K for the fiscal year ended June 30, 2011)</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10.9.2*</w:t>
            </w:r>
          </w:p>
        </w:tc>
        <w:tc>
          <w:tcPr>
            <w:tcW w:w="10160" w:type="dxa"/>
            <w:vAlign w:val="bottom"/>
          </w:tcPr>
          <w:p>
            <w:pPr>
              <w:ind w:left="540"/>
              <w:spacing w:after="0"/>
              <w:rPr>
                <w:sz w:val="20"/>
                <w:szCs w:val="20"/>
                <w:color w:val="auto"/>
              </w:rPr>
            </w:pPr>
            <w:r>
              <w:rPr>
                <w:rFonts w:ascii="Arial" w:cs="Arial" w:eastAsia="Arial" w:hAnsi="Arial"/>
                <w:sz w:val="18"/>
                <w:szCs w:val="18"/>
                <w:color w:val="auto"/>
                <w:w w:val="90"/>
              </w:rPr>
              <w:t>Form of Change in Control Severance Agreement between the Company and Non-CEO Executives (incorporated herein by reference</w:t>
            </w:r>
          </w:p>
        </w:tc>
      </w:tr>
      <w:tr>
        <w:trPr>
          <w:trHeight w:val="230"/>
        </w:trPr>
        <w:tc>
          <w:tcPr>
            <w:tcW w:w="118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to Exhibit 10.9.2 of the Company’s annual report on Form 10-K for the fiscal year ended June 30, 2011)</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10.10*</w:t>
            </w:r>
          </w:p>
        </w:tc>
        <w:tc>
          <w:tcPr>
            <w:tcW w:w="10160" w:type="dxa"/>
            <w:vAlign w:val="bottom"/>
          </w:tcPr>
          <w:p>
            <w:pPr>
              <w:ind w:left="540"/>
              <w:spacing w:after="0"/>
              <w:rPr>
                <w:sz w:val="20"/>
                <w:szCs w:val="20"/>
                <w:color w:val="auto"/>
              </w:rPr>
            </w:pPr>
            <w:r>
              <w:rPr>
                <w:rFonts w:ascii="Arial" w:cs="Arial" w:eastAsia="Arial" w:hAnsi="Arial"/>
                <w:sz w:val="18"/>
                <w:szCs w:val="18"/>
                <w:color w:val="auto"/>
                <w:w w:val="91"/>
              </w:rPr>
              <w:t>Compensation Policy for Non-Employee Directors (incorporated herein by reference to Exhibit 10.10 of the Company's annual report</w:t>
            </w:r>
          </w:p>
        </w:tc>
      </w:tr>
      <w:tr>
        <w:trPr>
          <w:trHeight w:val="230"/>
        </w:trPr>
        <w:tc>
          <w:tcPr>
            <w:tcW w:w="118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on Form 10-K for the fiscal year ended June 30, 2012)</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10.11.1*</w:t>
            </w:r>
          </w:p>
        </w:tc>
        <w:tc>
          <w:tcPr>
            <w:tcW w:w="10160" w:type="dxa"/>
            <w:vAlign w:val="bottom"/>
          </w:tcPr>
          <w:p>
            <w:pPr>
              <w:ind w:left="540"/>
              <w:spacing w:after="0"/>
              <w:rPr>
                <w:sz w:val="20"/>
                <w:szCs w:val="20"/>
                <w:color w:val="auto"/>
              </w:rPr>
            </w:pPr>
            <w:r>
              <w:rPr>
                <w:rFonts w:ascii="Arial" w:cs="Arial" w:eastAsia="Arial" w:hAnsi="Arial"/>
                <w:sz w:val="18"/>
                <w:szCs w:val="18"/>
                <w:color w:val="auto"/>
                <w:w w:val="93"/>
              </w:rPr>
              <w:t>Employment Agreement, dated as of November 19, 2007, by and between the Company and Mark Aslett (incorporated herein by</w:t>
            </w:r>
          </w:p>
        </w:tc>
      </w:tr>
      <w:tr>
        <w:trPr>
          <w:trHeight w:val="230"/>
        </w:trPr>
        <w:tc>
          <w:tcPr>
            <w:tcW w:w="118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reference to Exhibit 10.1 of the Company’s current report on Form 8-K filed on November 20, 2007)</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10.1.2*</w:t>
            </w:r>
          </w:p>
        </w:tc>
        <w:tc>
          <w:tcPr>
            <w:tcW w:w="10160" w:type="dxa"/>
            <w:vAlign w:val="bottom"/>
          </w:tcPr>
          <w:p>
            <w:pPr>
              <w:ind w:left="540"/>
              <w:spacing w:after="0"/>
              <w:rPr>
                <w:sz w:val="20"/>
                <w:szCs w:val="20"/>
                <w:color w:val="auto"/>
              </w:rPr>
            </w:pPr>
            <w:r>
              <w:rPr>
                <w:rFonts w:ascii="Arial" w:cs="Arial" w:eastAsia="Arial" w:hAnsi="Arial"/>
                <w:sz w:val="18"/>
                <w:szCs w:val="18"/>
                <w:color w:val="auto"/>
                <w:w w:val="96"/>
              </w:rPr>
              <w:t>First Amendment to Employment Agreement, dated as of December 20, 2008, by and between the Company and Mark Aslett</w:t>
            </w:r>
          </w:p>
        </w:tc>
      </w:tr>
      <w:tr>
        <w:trPr>
          <w:trHeight w:val="216"/>
        </w:trPr>
        <w:tc>
          <w:tcPr>
            <w:tcW w:w="1180" w:type="dxa"/>
            <w:vAlign w:val="bottom"/>
          </w:tcPr>
          <w:p>
            <w:pPr>
              <w:spacing w:after="0"/>
              <w:rPr>
                <w:sz w:val="18"/>
                <w:szCs w:val="18"/>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w w:val="95"/>
              </w:rPr>
              <w:t>(incorporated by reference to Exhibit 10.2 of the Company’s quarterly report on Form 10-Q for the quarter ended December 31,</w:t>
            </w:r>
          </w:p>
        </w:tc>
      </w:tr>
      <w:tr>
        <w:trPr>
          <w:trHeight w:val="230"/>
        </w:trPr>
        <w:tc>
          <w:tcPr>
            <w:tcW w:w="118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2008)</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10.11.3*</w:t>
            </w:r>
          </w:p>
        </w:tc>
        <w:tc>
          <w:tcPr>
            <w:tcW w:w="10160" w:type="dxa"/>
            <w:vAlign w:val="bottom"/>
          </w:tcPr>
          <w:p>
            <w:pPr>
              <w:ind w:left="540"/>
              <w:spacing w:after="0"/>
              <w:rPr>
                <w:sz w:val="20"/>
                <w:szCs w:val="20"/>
                <w:color w:val="auto"/>
              </w:rPr>
            </w:pPr>
            <w:r>
              <w:rPr>
                <w:rFonts w:ascii="Arial" w:cs="Arial" w:eastAsia="Arial" w:hAnsi="Arial"/>
                <w:sz w:val="18"/>
                <w:szCs w:val="18"/>
                <w:color w:val="auto"/>
                <w:w w:val="93"/>
              </w:rPr>
              <w:t>Second Amendment to Employment Agreement, dated as of September 30, 2009, by and between the Company and Mark Aslett</w:t>
            </w:r>
          </w:p>
        </w:tc>
      </w:tr>
      <w:tr>
        <w:trPr>
          <w:trHeight w:val="216"/>
        </w:trPr>
        <w:tc>
          <w:tcPr>
            <w:tcW w:w="1180" w:type="dxa"/>
            <w:vAlign w:val="bottom"/>
          </w:tcPr>
          <w:p>
            <w:pPr>
              <w:spacing w:after="0"/>
              <w:rPr>
                <w:sz w:val="18"/>
                <w:szCs w:val="18"/>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w w:val="94"/>
              </w:rPr>
              <w:t>(incorporated by reference to Exhibit 10.1 of the Company’s quarterly report on Form 10-Q for the quarter ended September 30,</w:t>
            </w:r>
          </w:p>
        </w:tc>
      </w:tr>
      <w:tr>
        <w:trPr>
          <w:trHeight w:val="230"/>
        </w:trPr>
        <w:tc>
          <w:tcPr>
            <w:tcW w:w="118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2009)</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10.12.1*</w:t>
            </w:r>
          </w:p>
        </w:tc>
        <w:tc>
          <w:tcPr>
            <w:tcW w:w="10160" w:type="dxa"/>
            <w:vAlign w:val="bottom"/>
          </w:tcPr>
          <w:p>
            <w:pPr>
              <w:ind w:left="540"/>
              <w:spacing w:after="0"/>
              <w:rPr>
                <w:sz w:val="20"/>
                <w:szCs w:val="20"/>
                <w:color w:val="auto"/>
              </w:rPr>
            </w:pPr>
            <w:r>
              <w:rPr>
                <w:rFonts w:ascii="Arial" w:cs="Arial" w:eastAsia="Arial" w:hAnsi="Arial"/>
                <w:sz w:val="18"/>
                <w:szCs w:val="18"/>
                <w:color w:val="auto"/>
                <w:w w:val="90"/>
              </w:rPr>
              <w:t>Agreement, dated as of March 27, 2008, by and between the Company and Didier M.C. Thibaud (incorporated herein by reference to</w:t>
            </w:r>
          </w:p>
        </w:tc>
      </w:tr>
      <w:tr>
        <w:trPr>
          <w:trHeight w:val="230"/>
        </w:trPr>
        <w:tc>
          <w:tcPr>
            <w:tcW w:w="118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Exhibit 10.13 of the Company’s annual report on Form 10-K for the fiscal year ended June 30, 2008)</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10.12.2*</w:t>
            </w:r>
          </w:p>
        </w:tc>
        <w:tc>
          <w:tcPr>
            <w:tcW w:w="10160" w:type="dxa"/>
            <w:vAlign w:val="bottom"/>
          </w:tcPr>
          <w:p>
            <w:pPr>
              <w:ind w:left="540"/>
              <w:spacing w:after="0"/>
              <w:rPr>
                <w:sz w:val="20"/>
                <w:szCs w:val="20"/>
                <w:color w:val="auto"/>
              </w:rPr>
            </w:pPr>
            <w:r>
              <w:rPr>
                <w:rFonts w:ascii="Arial" w:cs="Arial" w:eastAsia="Arial" w:hAnsi="Arial"/>
                <w:sz w:val="18"/>
                <w:szCs w:val="18"/>
                <w:color w:val="auto"/>
                <w:w w:val="99"/>
              </w:rPr>
              <w:t>First Amendment to Agreement, dated as of December 22, 2008, by and between the Company and Didier M.C. Thibaud</w:t>
            </w:r>
          </w:p>
        </w:tc>
      </w:tr>
      <w:tr>
        <w:trPr>
          <w:trHeight w:val="216"/>
        </w:trPr>
        <w:tc>
          <w:tcPr>
            <w:tcW w:w="1180" w:type="dxa"/>
            <w:vAlign w:val="bottom"/>
          </w:tcPr>
          <w:p>
            <w:pPr>
              <w:spacing w:after="0"/>
              <w:rPr>
                <w:sz w:val="18"/>
                <w:szCs w:val="18"/>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(incorporated herein by reference to Exhibit 10.4 of the Company’s quarterly report on Form 10-Q for the quarter ended</w:t>
            </w:r>
          </w:p>
        </w:tc>
      </w:tr>
      <w:tr>
        <w:trPr>
          <w:trHeight w:val="230"/>
        </w:trPr>
        <w:tc>
          <w:tcPr>
            <w:tcW w:w="118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December 31, 2008)</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10.13*</w:t>
            </w:r>
          </w:p>
        </w:tc>
        <w:tc>
          <w:tcPr>
            <w:tcW w:w="10160" w:type="dxa"/>
            <w:vAlign w:val="bottom"/>
          </w:tcPr>
          <w:p>
            <w:pPr>
              <w:ind w:left="540"/>
              <w:spacing w:after="0"/>
              <w:rPr>
                <w:sz w:val="20"/>
                <w:szCs w:val="20"/>
                <w:color w:val="auto"/>
              </w:rPr>
            </w:pPr>
            <w:r>
              <w:rPr>
                <w:rFonts w:ascii="Arial" w:cs="Arial" w:eastAsia="Arial" w:hAnsi="Arial"/>
                <w:sz w:val="18"/>
                <w:szCs w:val="18"/>
                <w:color w:val="auto"/>
                <w:w w:val="96"/>
              </w:rPr>
              <w:t>Agreement, dated March 1, 2010, by and between the Company and Gerald M. Haines II (incorporated herein by reference to</w:t>
            </w:r>
          </w:p>
        </w:tc>
      </w:tr>
      <w:tr>
        <w:trPr>
          <w:trHeight w:val="230"/>
        </w:trPr>
        <w:tc>
          <w:tcPr>
            <w:tcW w:w="118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Exhibit 10.13 of the Company’s annual report on Form 10-K for the fiscal year ended June 30, 2011)</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10.14*</w:t>
            </w:r>
          </w:p>
        </w:tc>
        <w:tc>
          <w:tcPr>
            <w:tcW w:w="10160" w:type="dxa"/>
            <w:vAlign w:val="bottom"/>
          </w:tcPr>
          <w:p>
            <w:pPr>
              <w:ind w:left="540"/>
              <w:spacing w:after="0"/>
              <w:rPr>
                <w:sz w:val="20"/>
                <w:szCs w:val="20"/>
                <w:color w:val="auto"/>
              </w:rPr>
            </w:pPr>
            <w:r>
              <w:rPr>
                <w:rFonts w:ascii="Arial" w:cs="Arial" w:eastAsia="Arial" w:hAnsi="Arial"/>
                <w:sz w:val="18"/>
                <w:szCs w:val="18"/>
                <w:color w:val="auto"/>
                <w:w w:val="94"/>
              </w:rPr>
              <w:t>Agreement, dated November 26, 2011, by and between the Company and Kevin M. Bisson (incorporated herein by reference to</w:t>
            </w:r>
          </w:p>
        </w:tc>
      </w:tr>
      <w:tr>
        <w:trPr>
          <w:trHeight w:val="230"/>
        </w:trPr>
        <w:tc>
          <w:tcPr>
            <w:tcW w:w="118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Exhibit 10.1 of the Company’s current report on Form 8-K filed on January 17, 2012)</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10.15</w:t>
            </w:r>
          </w:p>
        </w:tc>
        <w:tc>
          <w:tcPr>
            <w:tcW w:w="10160" w:type="dxa"/>
            <w:vAlign w:val="bottom"/>
          </w:tcPr>
          <w:p>
            <w:pPr>
              <w:ind w:left="540"/>
              <w:spacing w:after="0"/>
              <w:rPr>
                <w:sz w:val="20"/>
                <w:szCs w:val="20"/>
                <w:color w:val="auto"/>
              </w:rPr>
            </w:pPr>
            <w:r>
              <w:rPr>
                <w:rFonts w:ascii="Arial" w:cs="Arial" w:eastAsia="Arial" w:hAnsi="Arial"/>
                <w:sz w:val="18"/>
                <w:szCs w:val="18"/>
                <w:color w:val="auto"/>
                <w:w w:val="92"/>
              </w:rPr>
              <w:t>Purchase and Sale Agreement dated as of April 12, 2007 among 1999 Riverneck, LLC, Riverneck Road, LLC, 191 Riverneck, LLC</w:t>
            </w:r>
          </w:p>
        </w:tc>
      </w:tr>
      <w:tr>
        <w:trPr>
          <w:trHeight w:val="216"/>
        </w:trPr>
        <w:tc>
          <w:tcPr>
            <w:tcW w:w="1180" w:type="dxa"/>
            <w:vAlign w:val="bottom"/>
          </w:tcPr>
          <w:p>
            <w:pPr>
              <w:spacing w:after="0"/>
              <w:rPr>
                <w:sz w:val="18"/>
                <w:szCs w:val="18"/>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w w:val="93"/>
              </w:rPr>
              <w:t>and BTI 199-201 Riverneck, L.P. (incorporated herein by reference to Exhibit 10.10 of the Company's annual report on Form 10-K</w:t>
            </w:r>
          </w:p>
        </w:tc>
      </w:tr>
      <w:tr>
        <w:trPr>
          <w:trHeight w:val="230"/>
        </w:trPr>
        <w:tc>
          <w:tcPr>
            <w:tcW w:w="118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for the fiscal year ended June 30, 2012)</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10.16</w:t>
            </w:r>
          </w:p>
        </w:tc>
        <w:tc>
          <w:tcPr>
            <w:tcW w:w="10160" w:type="dxa"/>
            <w:vAlign w:val="bottom"/>
          </w:tcPr>
          <w:p>
            <w:pPr>
              <w:ind w:left="540"/>
              <w:spacing w:after="0"/>
              <w:rPr>
                <w:sz w:val="20"/>
                <w:szCs w:val="20"/>
                <w:color w:val="auto"/>
              </w:rPr>
            </w:pPr>
            <w:r>
              <w:rPr>
                <w:rFonts w:ascii="Arial" w:cs="Arial" w:eastAsia="Arial" w:hAnsi="Arial"/>
                <w:sz w:val="18"/>
                <w:szCs w:val="18"/>
                <w:color w:val="auto"/>
                <w:w w:val="91"/>
              </w:rPr>
              <w:t>Lease Agreement dated April 20, 2007 between BTI 199-201 Riverneck, L.P. and the Company (incorporated herein by reference to</w:t>
            </w:r>
          </w:p>
        </w:tc>
      </w:tr>
      <w:tr>
        <w:trPr>
          <w:trHeight w:val="230"/>
        </w:trPr>
        <w:tc>
          <w:tcPr>
            <w:tcW w:w="118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Exhibit 10.10 of the Company's annual report on Form 10-K for the fiscal year ended June 30, 2012)</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10.17</w:t>
            </w:r>
          </w:p>
        </w:tc>
        <w:tc>
          <w:tcPr>
            <w:tcW w:w="10160" w:type="dxa"/>
            <w:vAlign w:val="bottom"/>
          </w:tcPr>
          <w:p>
            <w:pPr>
              <w:ind w:left="540"/>
              <w:spacing w:after="0"/>
              <w:rPr>
                <w:sz w:val="20"/>
                <w:szCs w:val="20"/>
                <w:color w:val="auto"/>
              </w:rPr>
            </w:pPr>
            <w:r>
              <w:rPr>
                <w:rFonts w:ascii="Arial" w:cs="Arial" w:eastAsia="Arial" w:hAnsi="Arial"/>
                <w:sz w:val="18"/>
                <w:szCs w:val="18"/>
                <w:color w:val="auto"/>
                <w:w w:val="95"/>
              </w:rPr>
              <w:t>Loan and Security Agreement dated February 12, 2010 between the Company and Silicon Valley Bank (incorporated herein by</w:t>
            </w:r>
          </w:p>
        </w:tc>
      </w:tr>
      <w:tr>
        <w:trPr>
          <w:trHeight w:val="230"/>
        </w:trPr>
        <w:tc>
          <w:tcPr>
            <w:tcW w:w="118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reference to Exhibit 10.1 of the Company’s current report on Form 8-K filed on February 19, 2010)</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10.18</w:t>
            </w:r>
          </w:p>
        </w:tc>
        <w:tc>
          <w:tcPr>
            <w:tcW w:w="10160" w:type="dxa"/>
            <w:vAlign w:val="bottom"/>
          </w:tcPr>
          <w:p>
            <w:pPr>
              <w:ind w:left="540"/>
              <w:spacing w:after="0"/>
              <w:rPr>
                <w:sz w:val="20"/>
                <w:szCs w:val="20"/>
                <w:color w:val="auto"/>
              </w:rPr>
            </w:pPr>
            <w:r>
              <w:rPr>
                <w:rFonts w:ascii="Arial" w:cs="Arial" w:eastAsia="Arial" w:hAnsi="Arial"/>
                <w:sz w:val="18"/>
                <w:szCs w:val="18"/>
                <w:color w:val="auto"/>
                <w:w w:val="91"/>
              </w:rPr>
              <w:t>First Loan Modification Agreement dated March 30, 2011 between the Company and Silicon Valley Bank (incorporated by reference</w:t>
            </w:r>
          </w:p>
        </w:tc>
      </w:tr>
      <w:tr>
        <w:trPr>
          <w:trHeight w:val="230"/>
        </w:trPr>
        <w:tc>
          <w:tcPr>
            <w:tcW w:w="118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to Exhibit 10.1 of the Company’s current report on Form 8-K filed on April 1, 2011)</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10.19</w:t>
            </w:r>
          </w:p>
        </w:tc>
        <w:tc>
          <w:tcPr>
            <w:tcW w:w="10160" w:type="dxa"/>
            <w:vAlign w:val="bottom"/>
          </w:tcPr>
          <w:p>
            <w:pPr>
              <w:ind w:left="540"/>
              <w:spacing w:after="0"/>
              <w:rPr>
                <w:sz w:val="20"/>
                <w:szCs w:val="20"/>
                <w:color w:val="auto"/>
              </w:rPr>
            </w:pPr>
            <w:r>
              <w:rPr>
                <w:rFonts w:ascii="Arial" w:cs="Arial" w:eastAsia="Arial" w:hAnsi="Arial"/>
                <w:sz w:val="18"/>
                <w:szCs w:val="18"/>
                <w:color w:val="auto"/>
                <w:w w:val="93"/>
              </w:rPr>
              <w:t>Stock Purchase Agreement by and among the Company, LNX Corporation, and the Holders of the Securities of LNX Corporation</w:t>
            </w:r>
          </w:p>
        </w:tc>
      </w:tr>
      <w:tr>
        <w:trPr>
          <w:trHeight w:val="216"/>
        </w:trPr>
        <w:tc>
          <w:tcPr>
            <w:tcW w:w="1180" w:type="dxa"/>
            <w:vAlign w:val="bottom"/>
          </w:tcPr>
          <w:p>
            <w:pPr>
              <w:spacing w:after="0"/>
              <w:rPr>
                <w:sz w:val="18"/>
                <w:szCs w:val="18"/>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w w:val="92"/>
              </w:rPr>
              <w:t>(incorporated herein by reference to Exhibit 10.1 of the Company’s quarterly report on Form 10-Q for the quarter ended March 31,</w:t>
            </w:r>
          </w:p>
        </w:tc>
      </w:tr>
      <w:tr>
        <w:trPr>
          <w:trHeight w:val="230"/>
        </w:trPr>
        <w:tc>
          <w:tcPr>
            <w:tcW w:w="118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2011)</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10.20</w:t>
            </w:r>
          </w:p>
        </w:tc>
        <w:tc>
          <w:tcPr>
            <w:tcW w:w="10160" w:type="dxa"/>
            <w:vAlign w:val="bottom"/>
          </w:tcPr>
          <w:p>
            <w:pPr>
              <w:ind w:left="540"/>
              <w:spacing w:after="0"/>
              <w:rPr>
                <w:sz w:val="20"/>
                <w:szCs w:val="20"/>
                <w:color w:val="auto"/>
              </w:rPr>
            </w:pPr>
            <w:r>
              <w:rPr>
                <w:rFonts w:ascii="Arial" w:cs="Arial" w:eastAsia="Arial" w:hAnsi="Arial"/>
                <w:sz w:val="18"/>
                <w:szCs w:val="18"/>
                <w:color w:val="auto"/>
                <w:w w:val="90"/>
              </w:rPr>
              <w:t>Agreement and Plan of Merger dated as of December 22, 2011 by and among the Company, King Merger, Inc., KOR Electronics, and</w:t>
            </w:r>
          </w:p>
        </w:tc>
      </w:tr>
      <w:tr>
        <w:trPr>
          <w:trHeight w:val="216"/>
        </w:trPr>
        <w:tc>
          <w:tcPr>
            <w:tcW w:w="1180" w:type="dxa"/>
            <w:vAlign w:val="bottom"/>
          </w:tcPr>
          <w:p>
            <w:pPr>
              <w:spacing w:after="0"/>
              <w:rPr>
                <w:sz w:val="18"/>
                <w:szCs w:val="18"/>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w w:val="92"/>
              </w:rPr>
              <w:t>the Securityholders’ Representative (incorporated by reference to Exhibit 10.1 of the Company’s quarterly report on Form 10-Q for</w:t>
            </w:r>
          </w:p>
        </w:tc>
      </w:tr>
      <w:tr>
        <w:trPr>
          <w:trHeight w:val="230"/>
        </w:trPr>
        <w:tc>
          <w:tcPr>
            <w:tcW w:w="118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the quarter ended December 31, 2011)</w:t>
            </w:r>
          </w:p>
        </w:tc>
      </w:tr>
      <w:tr>
        <w:trPr>
          <w:trHeight w:val="486"/>
        </w:trPr>
        <w:tc>
          <w:tcPr>
            <w:tcW w:w="1180" w:type="dxa"/>
            <w:vAlign w:val="bottom"/>
          </w:tcPr>
          <w:p>
            <w:pPr>
              <w:spacing w:after="0"/>
              <w:rPr>
                <w:sz w:val="24"/>
                <w:szCs w:val="24"/>
                <w:color w:val="auto"/>
              </w:rPr>
            </w:pPr>
          </w:p>
        </w:tc>
        <w:tc>
          <w:tcPr>
            <w:tcW w:w="10160" w:type="dxa"/>
            <w:vAlign w:val="bottom"/>
          </w:tcPr>
          <w:p>
            <w:pPr>
              <w:ind w:left="4400"/>
              <w:spacing w:after="0"/>
              <w:rPr>
                <w:sz w:val="20"/>
                <w:szCs w:val="20"/>
                <w:color w:val="auto"/>
              </w:rPr>
            </w:pPr>
            <w:r>
              <w:rPr>
                <w:rFonts w:ascii="Arial" w:cs="Arial" w:eastAsia="Arial" w:hAnsi="Arial"/>
                <w:sz w:val="18"/>
                <w:szCs w:val="18"/>
                <w:color w:val="auto"/>
              </w:rPr>
              <w:t>79</w:t>
            </w:r>
          </w:p>
        </w:tc>
      </w:tr>
    </w:tbl>
    <w:p>
      <w:pPr>
        <w:sectPr>
          <w:pgSz w:w="11900" w:h="16838" w:orient="portrait"/>
          <w:cols w:equalWidth="0" w:num="1">
            <w:col w:w="11380"/>
          </w:cols>
          <w:pgMar w:left="240" w:top="125" w:right="27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180" w:type="dxa"/>
            <w:vAlign w:val="bottom"/>
          </w:tcPr>
          <w:p>
            <w:pPr>
              <w:spacing w:after="0"/>
              <w:rPr>
                <w:sz w:val="20"/>
                <w:szCs w:val="20"/>
                <w:color w:val="auto"/>
              </w:rPr>
            </w:pPr>
            <w:r>
              <w:rPr>
                <w:rFonts w:ascii="Arial" w:cs="Arial" w:eastAsia="Arial" w:hAnsi="Arial"/>
                <w:sz w:val="14"/>
                <w:szCs w:val="14"/>
                <w:b w:val="1"/>
                <w:bCs w:val="1"/>
                <w:color w:val="auto"/>
              </w:rPr>
              <w:t>ITEM NO.</w:t>
            </w:r>
          </w:p>
        </w:tc>
        <w:tc>
          <w:tcPr>
            <w:tcW w:w="10100" w:type="dxa"/>
            <w:vAlign w:val="bottom"/>
          </w:tcPr>
          <w:p>
            <w:pPr>
              <w:ind w:left="540"/>
              <w:spacing w:after="0"/>
              <w:rPr>
                <w:sz w:val="20"/>
                <w:szCs w:val="20"/>
                <w:color w:val="auto"/>
              </w:rPr>
            </w:pPr>
            <w:r>
              <w:rPr>
                <w:rFonts w:ascii="Arial" w:cs="Arial" w:eastAsia="Arial" w:hAnsi="Arial"/>
                <w:sz w:val="14"/>
                <w:szCs w:val="14"/>
                <w:b w:val="1"/>
                <w:bCs w:val="1"/>
                <w:color w:val="auto"/>
              </w:rPr>
              <w:t>DESCRIPTION OF EXHIBIT</w:t>
            </w:r>
          </w:p>
        </w:tc>
      </w:tr>
      <w:tr>
        <w:trPr>
          <w:trHeight w:val="241"/>
        </w:trPr>
        <w:tc>
          <w:tcPr>
            <w:tcW w:w="1180" w:type="dxa"/>
            <w:vAlign w:val="bottom"/>
          </w:tcPr>
          <w:p>
            <w:pPr>
              <w:spacing w:after="0"/>
              <w:rPr>
                <w:sz w:val="20"/>
                <w:szCs w:val="20"/>
                <w:color w:val="auto"/>
              </w:rPr>
            </w:pPr>
            <w:r>
              <w:rPr>
                <w:rFonts w:ascii="Arial" w:cs="Arial" w:eastAsia="Arial" w:hAnsi="Arial"/>
                <w:sz w:val="18"/>
                <w:szCs w:val="18"/>
                <w:color w:val="auto"/>
              </w:rPr>
              <w:t>10.21</w:t>
            </w:r>
          </w:p>
        </w:tc>
        <w:tc>
          <w:tcPr>
            <w:tcW w:w="10100" w:type="dxa"/>
            <w:vAlign w:val="bottom"/>
          </w:tcPr>
          <w:p>
            <w:pPr>
              <w:ind w:left="540"/>
              <w:spacing w:after="0"/>
              <w:rPr>
                <w:sz w:val="20"/>
                <w:szCs w:val="20"/>
                <w:color w:val="auto"/>
              </w:rPr>
            </w:pPr>
            <w:r>
              <w:rPr>
                <w:rFonts w:ascii="Arial" w:cs="Arial" w:eastAsia="Arial" w:hAnsi="Arial"/>
                <w:sz w:val="18"/>
                <w:szCs w:val="18"/>
                <w:color w:val="auto"/>
                <w:w w:val="90"/>
              </w:rPr>
              <w:t>Agreement and Plan of Merger by and among the Company, Wildcat Merger Sub Inc., and Micronetics, Inc. dated as of June 8, 2012</w:t>
            </w:r>
          </w:p>
        </w:tc>
      </w:tr>
      <w:tr>
        <w:trPr>
          <w:trHeight w:val="230"/>
        </w:trPr>
        <w:tc>
          <w:tcPr>
            <w:tcW w:w="1180" w:type="dxa"/>
            <w:vAlign w:val="bottom"/>
          </w:tcPr>
          <w:p>
            <w:pPr>
              <w:spacing w:after="0"/>
              <w:rPr>
                <w:sz w:val="20"/>
                <w:szCs w:val="20"/>
                <w:color w:val="auto"/>
              </w:rPr>
            </w:pPr>
          </w:p>
        </w:tc>
        <w:tc>
          <w:tcPr>
            <w:tcW w:w="10100" w:type="dxa"/>
            <w:vAlign w:val="bottom"/>
          </w:tcPr>
          <w:p>
            <w:pPr>
              <w:ind w:left="540"/>
              <w:spacing w:after="0"/>
              <w:rPr>
                <w:sz w:val="20"/>
                <w:szCs w:val="20"/>
                <w:color w:val="auto"/>
              </w:rPr>
            </w:pPr>
            <w:r>
              <w:rPr>
                <w:rFonts w:ascii="Arial" w:cs="Arial" w:eastAsia="Arial" w:hAnsi="Arial"/>
                <w:sz w:val="18"/>
                <w:szCs w:val="18"/>
                <w:color w:val="auto"/>
              </w:rPr>
              <w:t>(incorporated herein by reference to Exhibit 10.1 of the Company’s current report on Form 8-K filed on June 11, 2012)</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10.22*</w:t>
            </w:r>
          </w:p>
        </w:tc>
        <w:tc>
          <w:tcPr>
            <w:tcW w:w="10100" w:type="dxa"/>
            <w:vAlign w:val="bottom"/>
          </w:tcPr>
          <w:p>
            <w:pPr>
              <w:ind w:left="540"/>
              <w:spacing w:after="0"/>
              <w:rPr>
                <w:sz w:val="20"/>
                <w:szCs w:val="20"/>
                <w:color w:val="auto"/>
              </w:rPr>
            </w:pPr>
            <w:r>
              <w:rPr>
                <w:rFonts w:ascii="Arial" w:cs="Arial" w:eastAsia="Arial" w:hAnsi="Arial"/>
                <w:sz w:val="18"/>
                <w:szCs w:val="18"/>
                <w:color w:val="auto"/>
                <w:w w:val="97"/>
              </w:rPr>
              <w:t>Micronetics, Inc. 2006 Equity Incentive Plan (incorporated herein by reference to Exhibit 99.1 to the Company’s registration</w:t>
            </w:r>
          </w:p>
        </w:tc>
      </w:tr>
      <w:tr>
        <w:trPr>
          <w:trHeight w:val="230"/>
        </w:trPr>
        <w:tc>
          <w:tcPr>
            <w:tcW w:w="1180" w:type="dxa"/>
            <w:vAlign w:val="bottom"/>
          </w:tcPr>
          <w:p>
            <w:pPr>
              <w:spacing w:after="0"/>
              <w:rPr>
                <w:sz w:val="20"/>
                <w:szCs w:val="20"/>
                <w:color w:val="auto"/>
              </w:rPr>
            </w:pPr>
          </w:p>
        </w:tc>
        <w:tc>
          <w:tcPr>
            <w:tcW w:w="10100" w:type="dxa"/>
            <w:vAlign w:val="bottom"/>
          </w:tcPr>
          <w:p>
            <w:pPr>
              <w:ind w:left="540"/>
              <w:spacing w:after="0"/>
              <w:rPr>
                <w:sz w:val="20"/>
                <w:szCs w:val="20"/>
                <w:color w:val="auto"/>
              </w:rPr>
            </w:pPr>
            <w:r>
              <w:rPr>
                <w:rFonts w:ascii="Arial" w:cs="Arial" w:eastAsia="Arial" w:hAnsi="Arial"/>
                <w:sz w:val="18"/>
                <w:szCs w:val="18"/>
                <w:color w:val="auto"/>
              </w:rPr>
              <w:t>statement on Form S-8 filed on August 10, 2012)</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10.23</w:t>
            </w:r>
          </w:p>
        </w:tc>
        <w:tc>
          <w:tcPr>
            <w:tcW w:w="10100" w:type="dxa"/>
            <w:vAlign w:val="bottom"/>
          </w:tcPr>
          <w:p>
            <w:pPr>
              <w:ind w:left="540"/>
              <w:spacing w:after="0"/>
              <w:rPr>
                <w:sz w:val="20"/>
                <w:szCs w:val="20"/>
                <w:color w:val="auto"/>
              </w:rPr>
            </w:pPr>
            <w:r>
              <w:rPr>
                <w:rFonts w:ascii="Arial" w:cs="Arial" w:eastAsia="Arial" w:hAnsi="Arial"/>
                <w:sz w:val="18"/>
                <w:szCs w:val="18"/>
                <w:color w:val="auto"/>
                <w:w w:val="93"/>
              </w:rPr>
              <w:t>Credit Agreement dated as of October 12, 2012 among the Company and the lenders party thereto (incorporated by reference to</w:t>
            </w:r>
          </w:p>
        </w:tc>
      </w:tr>
      <w:tr>
        <w:trPr>
          <w:trHeight w:val="230"/>
        </w:trPr>
        <w:tc>
          <w:tcPr>
            <w:tcW w:w="1180" w:type="dxa"/>
            <w:vAlign w:val="bottom"/>
          </w:tcPr>
          <w:p>
            <w:pPr>
              <w:spacing w:after="0"/>
              <w:rPr>
                <w:sz w:val="20"/>
                <w:szCs w:val="20"/>
                <w:color w:val="auto"/>
              </w:rPr>
            </w:pPr>
          </w:p>
        </w:tc>
        <w:tc>
          <w:tcPr>
            <w:tcW w:w="10100" w:type="dxa"/>
            <w:vAlign w:val="bottom"/>
          </w:tcPr>
          <w:p>
            <w:pPr>
              <w:ind w:left="540"/>
              <w:spacing w:after="0"/>
              <w:rPr>
                <w:sz w:val="20"/>
                <w:szCs w:val="20"/>
                <w:color w:val="auto"/>
              </w:rPr>
            </w:pPr>
            <w:r>
              <w:rPr>
                <w:rFonts w:ascii="Arial" w:cs="Arial" w:eastAsia="Arial" w:hAnsi="Arial"/>
                <w:sz w:val="18"/>
                <w:szCs w:val="18"/>
                <w:color w:val="auto"/>
              </w:rPr>
              <w:t>Exhibit 10.1 of the Company's current report on Form 8-K filed on October 17, 2012)</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21.1†</w:t>
            </w:r>
          </w:p>
        </w:tc>
        <w:tc>
          <w:tcPr>
            <w:tcW w:w="10100" w:type="dxa"/>
            <w:vAlign w:val="bottom"/>
          </w:tcPr>
          <w:p>
            <w:pPr>
              <w:ind w:left="540"/>
              <w:spacing w:after="0"/>
              <w:rPr>
                <w:sz w:val="20"/>
                <w:szCs w:val="20"/>
                <w:color w:val="auto"/>
              </w:rPr>
            </w:pPr>
            <w:r>
              <w:rPr>
                <w:rFonts w:ascii="Arial" w:cs="Arial" w:eastAsia="Arial" w:hAnsi="Arial"/>
                <w:sz w:val="18"/>
                <w:szCs w:val="18"/>
                <w:color w:val="auto"/>
              </w:rPr>
              <w:t>Subsidiaries of the Company</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23.1†</w:t>
            </w:r>
          </w:p>
        </w:tc>
        <w:tc>
          <w:tcPr>
            <w:tcW w:w="10100" w:type="dxa"/>
            <w:vAlign w:val="bottom"/>
          </w:tcPr>
          <w:p>
            <w:pPr>
              <w:ind w:left="540"/>
              <w:spacing w:after="0"/>
              <w:rPr>
                <w:sz w:val="20"/>
                <w:szCs w:val="20"/>
                <w:color w:val="auto"/>
              </w:rPr>
            </w:pPr>
            <w:r>
              <w:rPr>
                <w:rFonts w:ascii="Arial" w:cs="Arial" w:eastAsia="Arial" w:hAnsi="Arial"/>
                <w:sz w:val="18"/>
                <w:szCs w:val="18"/>
                <w:color w:val="auto"/>
              </w:rPr>
              <w:t>Consent of KPMG LLP</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31.1†</w:t>
            </w:r>
          </w:p>
        </w:tc>
        <w:tc>
          <w:tcPr>
            <w:tcW w:w="10100" w:type="dxa"/>
            <w:vAlign w:val="bottom"/>
          </w:tcPr>
          <w:p>
            <w:pPr>
              <w:ind w:left="540"/>
              <w:spacing w:after="0"/>
              <w:rPr>
                <w:sz w:val="20"/>
                <w:szCs w:val="20"/>
                <w:color w:val="auto"/>
              </w:rPr>
            </w:pPr>
            <w:r>
              <w:rPr>
                <w:rFonts w:ascii="Arial" w:cs="Arial" w:eastAsia="Arial" w:hAnsi="Arial"/>
                <w:sz w:val="18"/>
                <w:szCs w:val="18"/>
                <w:color w:val="auto"/>
              </w:rPr>
              <w:t>Certification of the Company’s Chief Executive Officer pursuant to Section 302 of the Sarbanes-Oxley Act of 2002</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31.2†</w:t>
            </w:r>
          </w:p>
        </w:tc>
        <w:tc>
          <w:tcPr>
            <w:tcW w:w="10100" w:type="dxa"/>
            <w:vAlign w:val="bottom"/>
          </w:tcPr>
          <w:p>
            <w:pPr>
              <w:ind w:left="540"/>
              <w:spacing w:after="0"/>
              <w:rPr>
                <w:sz w:val="20"/>
                <w:szCs w:val="20"/>
                <w:color w:val="auto"/>
              </w:rPr>
            </w:pPr>
            <w:r>
              <w:rPr>
                <w:rFonts w:ascii="Arial" w:cs="Arial" w:eastAsia="Arial" w:hAnsi="Arial"/>
                <w:sz w:val="18"/>
                <w:szCs w:val="18"/>
                <w:color w:val="auto"/>
              </w:rPr>
              <w:t>Certification of the Company’s Chief Financial Officer pursuant to Section 302 of the Sarbanes-Oxley Act of 2002</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32.1+</w:t>
            </w:r>
          </w:p>
        </w:tc>
        <w:tc>
          <w:tcPr>
            <w:tcW w:w="10100" w:type="dxa"/>
            <w:vAlign w:val="bottom"/>
          </w:tcPr>
          <w:p>
            <w:pPr>
              <w:ind w:left="540"/>
              <w:spacing w:after="0"/>
              <w:rPr>
                <w:sz w:val="20"/>
                <w:szCs w:val="20"/>
                <w:color w:val="auto"/>
              </w:rPr>
            </w:pPr>
            <w:r>
              <w:rPr>
                <w:rFonts w:ascii="Arial" w:cs="Arial" w:eastAsia="Arial" w:hAnsi="Arial"/>
                <w:sz w:val="18"/>
                <w:szCs w:val="18"/>
                <w:color w:val="auto"/>
                <w:w w:val="93"/>
              </w:rPr>
              <w:t>Certification of the Company’s Chief Executive Officer and Chief Financial Officer pursuant to Section 906 of the Sarbanes-Oxley</w:t>
            </w:r>
          </w:p>
        </w:tc>
      </w:tr>
      <w:tr>
        <w:trPr>
          <w:trHeight w:val="230"/>
        </w:trPr>
        <w:tc>
          <w:tcPr>
            <w:tcW w:w="1180" w:type="dxa"/>
            <w:vAlign w:val="bottom"/>
          </w:tcPr>
          <w:p>
            <w:pPr>
              <w:spacing w:after="0"/>
              <w:rPr>
                <w:sz w:val="20"/>
                <w:szCs w:val="20"/>
                <w:color w:val="auto"/>
              </w:rPr>
            </w:pPr>
          </w:p>
        </w:tc>
        <w:tc>
          <w:tcPr>
            <w:tcW w:w="10100" w:type="dxa"/>
            <w:vAlign w:val="bottom"/>
          </w:tcPr>
          <w:p>
            <w:pPr>
              <w:ind w:left="540"/>
              <w:spacing w:after="0"/>
              <w:rPr>
                <w:sz w:val="20"/>
                <w:szCs w:val="20"/>
                <w:color w:val="auto"/>
              </w:rPr>
            </w:pPr>
            <w:r>
              <w:rPr>
                <w:rFonts w:ascii="Arial" w:cs="Arial" w:eastAsia="Arial" w:hAnsi="Arial"/>
                <w:sz w:val="18"/>
                <w:szCs w:val="18"/>
                <w:color w:val="auto"/>
              </w:rPr>
              <w:t>Act of 2002</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w:t>
            </w:r>
          </w:p>
        </w:tc>
        <w:tc>
          <w:tcPr>
            <w:tcW w:w="10100" w:type="dxa"/>
            <w:vAlign w:val="bottom"/>
          </w:tcPr>
          <w:p>
            <w:pPr>
              <w:ind w:left="540"/>
              <w:spacing w:after="0"/>
              <w:rPr>
                <w:sz w:val="20"/>
                <w:szCs w:val="20"/>
                <w:color w:val="auto"/>
              </w:rPr>
            </w:pPr>
            <w:r>
              <w:rPr>
                <w:rFonts w:ascii="Arial" w:cs="Arial" w:eastAsia="Arial" w:hAnsi="Arial"/>
                <w:sz w:val="18"/>
                <w:szCs w:val="18"/>
                <w:color w:val="auto"/>
                <w:w w:val="93"/>
              </w:rPr>
              <w:t>Interactive data files pursuant to Rule 405 of Regulation S-T: (i) Consolidated Statement of Operations, (ii) Consolidated Balance</w:t>
            </w:r>
          </w:p>
        </w:tc>
      </w:tr>
      <w:tr>
        <w:trPr>
          <w:trHeight w:val="216"/>
        </w:trPr>
        <w:tc>
          <w:tcPr>
            <w:tcW w:w="1180" w:type="dxa"/>
            <w:vAlign w:val="bottom"/>
          </w:tcPr>
          <w:p>
            <w:pPr>
              <w:spacing w:after="0"/>
              <w:rPr>
                <w:sz w:val="18"/>
                <w:szCs w:val="18"/>
                <w:color w:val="auto"/>
              </w:rPr>
            </w:pPr>
          </w:p>
        </w:tc>
        <w:tc>
          <w:tcPr>
            <w:tcW w:w="10100" w:type="dxa"/>
            <w:vAlign w:val="bottom"/>
          </w:tcPr>
          <w:p>
            <w:pPr>
              <w:ind w:left="540"/>
              <w:spacing w:after="0"/>
              <w:rPr>
                <w:sz w:val="20"/>
                <w:szCs w:val="20"/>
                <w:color w:val="auto"/>
              </w:rPr>
            </w:pPr>
            <w:r>
              <w:rPr>
                <w:rFonts w:ascii="Arial" w:cs="Arial" w:eastAsia="Arial" w:hAnsi="Arial"/>
                <w:sz w:val="18"/>
                <w:szCs w:val="18"/>
                <w:color w:val="auto"/>
                <w:w w:val="99"/>
              </w:rPr>
              <w:t>Sheet, (iii) Consolidated Statement of Shareholders’ Equity, (iv) Consolidated Statement of Cash Flows, and (v) Notes to</w:t>
            </w:r>
          </w:p>
        </w:tc>
      </w:tr>
      <w:tr>
        <w:trPr>
          <w:trHeight w:val="230"/>
        </w:trPr>
        <w:tc>
          <w:tcPr>
            <w:tcW w:w="1180" w:type="dxa"/>
            <w:vAlign w:val="bottom"/>
          </w:tcPr>
          <w:p>
            <w:pPr>
              <w:spacing w:after="0"/>
              <w:rPr>
                <w:sz w:val="20"/>
                <w:szCs w:val="20"/>
                <w:color w:val="auto"/>
              </w:rPr>
            </w:pPr>
          </w:p>
        </w:tc>
        <w:tc>
          <w:tcPr>
            <w:tcW w:w="10100" w:type="dxa"/>
            <w:vAlign w:val="bottom"/>
          </w:tcPr>
          <w:p>
            <w:pPr>
              <w:ind w:left="540"/>
              <w:spacing w:after="0"/>
              <w:rPr>
                <w:sz w:val="20"/>
                <w:szCs w:val="20"/>
                <w:color w:val="auto"/>
              </w:rPr>
            </w:pPr>
            <w:r>
              <w:rPr>
                <w:rFonts w:ascii="Arial" w:cs="Arial" w:eastAsia="Arial" w:hAnsi="Arial"/>
                <w:sz w:val="18"/>
                <w:szCs w:val="18"/>
                <w:color w:val="auto"/>
              </w:rPr>
              <w:t>Consolidated financial Statements</w:t>
            </w:r>
          </w:p>
        </w:tc>
      </w:tr>
    </w:tbl>
    <w:p>
      <w:pPr>
        <w:spacing w:after="0" w:line="395" w:lineRule="exact"/>
        <w:rPr>
          <w:sz w:val="20"/>
          <w:szCs w:val="20"/>
          <w:color w:val="auto"/>
        </w:rPr>
      </w:pPr>
    </w:p>
    <w:p>
      <w:pPr>
        <w:ind w:left="960" w:hanging="925"/>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Identifies a management contract or compensatory plan or arrangement in which an executive officer or director of the Company participates.</w:t>
      </w:r>
    </w:p>
    <w:p>
      <w:pPr>
        <w:spacing w:after="0" w:line="73" w:lineRule="exact"/>
        <w:rPr>
          <w:sz w:val="20"/>
          <w:szCs w:val="20"/>
          <w:color w:val="auto"/>
        </w:rPr>
      </w:pPr>
    </w:p>
    <w:p>
      <w:pPr>
        <w:ind w:left="960" w:hanging="925"/>
        <w:spacing w:after="0"/>
        <w:tabs>
          <w:tab w:leader="none" w:pos="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Filed with this Form 10-K.</w:t>
      </w:r>
    </w:p>
    <w:p>
      <w:pPr>
        <w:spacing w:after="0" w:line="73" w:lineRule="exact"/>
        <w:rPr>
          <w:sz w:val="20"/>
          <w:szCs w:val="20"/>
          <w:color w:val="auto"/>
        </w:rPr>
      </w:pPr>
    </w:p>
    <w:p>
      <w:pPr>
        <w:ind w:left="960" w:hanging="925"/>
        <w:spacing w:after="0" w:line="329" w:lineRule="auto"/>
        <w:tabs>
          <w:tab w:leader="none" w:pos="9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Furnished herewith. This certification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40"/>
          </w:cols>
          <w:pgMar w:left="240" w:top="125" w:right="31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21.1</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SUBSIDIARIES OF THE REGISTRANT</w:t>
      </w:r>
    </w:p>
    <w:p>
      <w:pPr>
        <w:sectPr>
          <w:pgSz w:w="11900" w:h="16838" w:orient="portrait"/>
          <w:cols w:equalWidth="0" w:num="1">
            <w:col w:w="11380"/>
          </w:cols>
          <w:pgMar w:left="280" w:top="37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77470</wp:posOffset>
            </wp:positionV>
            <wp:extent cx="36277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Mercury Defense Systems, Inc.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LNX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Mercury Commercial Electronics, Inc.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Mercury Intelligence Systems, Inc.</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Riverneck Road, LLC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Nihon Mercury Computer Systems K.K.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Mercury Computer Systems N.V.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Mercury Computer Systems Ltd.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960"/>
        <w:spacing w:after="0"/>
        <w:rPr>
          <w:sz w:val="20"/>
          <w:szCs w:val="20"/>
          <w:color w:val="auto"/>
        </w:rPr>
      </w:pPr>
      <w:r>
        <w:rPr>
          <w:rFonts w:ascii="Arial" w:cs="Arial" w:eastAsia="Arial" w:hAnsi="Arial"/>
          <w:sz w:val="12"/>
          <w:szCs w:val="12"/>
          <w:b w:val="1"/>
          <w:bCs w:val="1"/>
          <w:color w:val="auto"/>
        </w:rPr>
        <w:t>JURISDICTION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92075</wp:posOffset>
            </wp:positionV>
            <wp:extent cx="35502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Massachusetts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ectPr>
          <w:pgSz w:w="11900" w:h="16838" w:orient="portrait"/>
          <w:cols w:equalWidth="0" w:num="2">
            <w:col w:w="5240" w:space="720"/>
            <w:col w:w="5420"/>
          </w:cols>
          <w:pgMar w:left="280" w:top="378" w:right="239" w:bottom="1440" w:gutter="0" w:footer="0" w:header="0"/>
          <w:type w:val="continuous"/>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Mercury Systems, Inc.:</w:t>
      </w:r>
    </w:p>
    <w:p>
      <w:pPr>
        <w:spacing w:after="0" w:line="31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We consent to the incorporation by reference in the registration statements (Nos. 333</w:t>
      </w:r>
      <w:r>
        <w:rPr>
          <w:rFonts w:ascii="MS PGothic" w:cs="MS PGothic" w:eastAsia="MS PGothic" w:hAnsi="MS PGothic"/>
          <w:sz w:val="17"/>
          <w:szCs w:val="17"/>
          <w:color w:val="auto"/>
        </w:rPr>
        <w:t>‑</w:t>
      </w:r>
      <w:r>
        <w:rPr>
          <w:rFonts w:ascii="Arial" w:cs="Arial" w:eastAsia="Arial" w:hAnsi="Arial"/>
          <w:sz w:val="17"/>
          <w:szCs w:val="17"/>
          <w:color w:val="auto"/>
        </w:rPr>
        <w:t>53291, 333-101993, 333-112990, 333-124294, 333-129929, 333-139019, 333-139020, 333-149046, 333-156364, 333-163705, 333-163707, 333-172775, 333-177770, 333-177771, 333-183240, 333-183240, and 333-184756) on Form S-8 and the registration statement (No. 333-175978) on Form S-3 of Mercury Systems, Inc. of our report dated August 16, 2013, with respect to the consolidated balance sheets of Mercury Systems, Inc. and subsidiaries as of June 30, 2013 and 2012, and the related consolidated statements of operations and comprehensive income (loss), shareholders’ equity, and cash flows, for each of the years in the three-year period ended June 30, 2013, and the related consolidated financial statement Schedule II, and the effectiveness of internal control over financial reporting as of June 30, 2013, which report appears in the June 30, 2013 annual report on Form 10-K of Mercury Systems, Inc.</w:t>
      </w:r>
    </w:p>
    <w:p>
      <w:pPr>
        <w:spacing w:after="0" w:line="2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report dated August 16, 2013, on the effectiveness of internal control over financial reporting as of June 30, 2013, contains an explanatory paragraph that states management excluded from its assessment of the effectiveness of Mercury Systems, Inc.’s internal control over financial reporting as of June 30, 2013 Micronetics, Inc. and subsidiaries internal control over financial reporting associated with total assets of 23 percent (of which 16 percent represented goodwill and intangible assets included within the scope of the assessment) and total revenues of 17 percent included in the consolidated financial statements of Mercury Systems, Inc. and subsidiaries as of and for the year ended June 30, 2013. Our audit of internal control over financial reporting of Mercury Systems, Inc. also excluded an evaluation of the internal control over financial reporting of Micronetics, Inc. and subsidiaries.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16, 2013</w:t>
      </w:r>
    </w:p>
    <w:p>
      <w:pPr>
        <w:sectPr>
          <w:pgSz w:w="11900" w:h="16838" w:orient="portrait"/>
          <w:cols w:equalWidth="0" w:num="1">
            <w:col w:w="11420"/>
          </w:cols>
          <w:pgMar w:left="240" w:top="553"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Mark Aslett, certify that:</w:t>
      </w:r>
    </w:p>
    <w:p>
      <w:pPr>
        <w:spacing w:after="0" w:line="117" w:lineRule="exact"/>
        <w:rPr>
          <w:sz w:val="20"/>
          <w:szCs w:val="20"/>
          <w:color w:val="auto"/>
        </w:rPr>
      </w:pPr>
    </w:p>
    <w:p>
      <w:pPr>
        <w:ind w:left="460" w:hanging="438"/>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Mercury Systems, Inc.;</w:t>
      </w:r>
    </w:p>
    <w:p>
      <w:pPr>
        <w:spacing w:after="0" w:line="117" w:lineRule="exact"/>
        <w:rPr>
          <w:rFonts w:ascii="Arial" w:cs="Arial" w:eastAsia="Arial" w:hAnsi="Arial"/>
          <w:sz w:val="18"/>
          <w:szCs w:val="18"/>
          <w:color w:val="auto"/>
        </w:rPr>
      </w:pPr>
    </w:p>
    <w:p>
      <w:pPr>
        <w:jc w:val="both"/>
        <w:ind w:left="460" w:hanging="438"/>
        <w:spacing w:after="0" w:line="295"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8"/>
          <w:szCs w:val="18"/>
          <w:color w:val="auto"/>
        </w:rPr>
      </w:pPr>
    </w:p>
    <w:p>
      <w:pPr>
        <w:ind w:left="460" w:hanging="438"/>
        <w:spacing w:after="0" w:line="309"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 w:lineRule="exact"/>
        <w:rPr>
          <w:rFonts w:ascii="Arial" w:cs="Arial" w:eastAsia="Arial" w:hAnsi="Arial"/>
          <w:sz w:val="18"/>
          <w:szCs w:val="18"/>
          <w:color w:val="auto"/>
        </w:rPr>
      </w:pPr>
    </w:p>
    <w:p>
      <w:pPr>
        <w:jc w:val="both"/>
        <w:ind w:left="460" w:hanging="438"/>
        <w:spacing w:after="0" w:line="295"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Arial" w:cs="Arial" w:eastAsia="Arial" w:hAnsi="Arial"/>
          <w:sz w:val="18"/>
          <w:szCs w:val="18"/>
          <w:color w:val="auto"/>
        </w:rPr>
      </w:pPr>
    </w:p>
    <w:p>
      <w:pPr>
        <w:jc w:val="both"/>
        <w:ind w:left="880" w:hanging="440"/>
        <w:spacing w:after="0" w:line="295" w:lineRule="auto"/>
        <w:tabs>
          <w:tab w:leader="none" w:pos="8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Arial" w:cs="Arial" w:eastAsia="Arial" w:hAnsi="Arial"/>
          <w:sz w:val="18"/>
          <w:szCs w:val="18"/>
          <w:color w:val="auto"/>
        </w:rPr>
      </w:pPr>
    </w:p>
    <w:p>
      <w:pPr>
        <w:jc w:val="both"/>
        <w:ind w:left="880" w:hanging="440"/>
        <w:spacing w:after="0" w:line="295" w:lineRule="auto"/>
        <w:tabs>
          <w:tab w:leader="none" w:pos="8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Arial" w:cs="Arial" w:eastAsia="Arial" w:hAnsi="Arial"/>
          <w:sz w:val="18"/>
          <w:szCs w:val="18"/>
          <w:color w:val="auto"/>
        </w:rPr>
      </w:pPr>
    </w:p>
    <w:p>
      <w:pPr>
        <w:ind w:left="880" w:hanging="440"/>
        <w:spacing w:after="0" w:line="341" w:lineRule="auto"/>
        <w:tabs>
          <w:tab w:leader="none" w:pos="8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880" w:hanging="440"/>
        <w:spacing w:after="0" w:line="295" w:lineRule="auto"/>
        <w:tabs>
          <w:tab w:leader="none" w:pos="8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Arial" w:cs="Arial" w:eastAsia="Arial" w:hAnsi="Arial"/>
          <w:sz w:val="18"/>
          <w:szCs w:val="18"/>
          <w:color w:val="auto"/>
        </w:rPr>
      </w:pPr>
    </w:p>
    <w:p>
      <w:pPr>
        <w:ind w:left="460" w:hanging="438"/>
        <w:spacing w:after="0" w:line="341" w:lineRule="auto"/>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hanging="440"/>
        <w:spacing w:after="0" w:line="309" w:lineRule="auto"/>
        <w:tabs>
          <w:tab w:leader="none" w:pos="8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 w:lineRule="exact"/>
        <w:rPr>
          <w:rFonts w:ascii="Arial" w:cs="Arial" w:eastAsia="Arial" w:hAnsi="Arial"/>
          <w:sz w:val="18"/>
          <w:szCs w:val="18"/>
          <w:color w:val="auto"/>
        </w:rPr>
      </w:pPr>
    </w:p>
    <w:p>
      <w:pPr>
        <w:ind w:left="880" w:hanging="440"/>
        <w:spacing w:after="0" w:line="309" w:lineRule="auto"/>
        <w:tabs>
          <w:tab w:leader="none" w:pos="8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2013</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460"/>
        <w:spacing w:after="0"/>
        <w:tabs>
          <w:tab w:leader="none" w:pos="1820" w:val="left"/>
        </w:tabs>
        <w:rPr>
          <w:sz w:val="20"/>
          <w:szCs w:val="20"/>
          <w:color w:val="auto"/>
        </w:rPr>
      </w:pPr>
      <w:r>
        <w:rPr>
          <w:rFonts w:ascii="Arial" w:cs="Arial" w:eastAsia="Arial" w:hAnsi="Arial"/>
          <w:sz w:val="18"/>
          <w:szCs w:val="18"/>
          <w:color w:val="auto"/>
        </w:rPr>
        <w:t>/s/</w:t>
        <w:tab/>
        <w:t>M</w:t>
      </w:r>
      <w:r>
        <w:rPr>
          <w:rFonts w:ascii="Arial" w:cs="Arial" w:eastAsia="Arial" w:hAnsi="Arial"/>
          <w:sz w:val="13"/>
          <w:szCs w:val="13"/>
          <w:color w:val="auto"/>
        </w:rPr>
        <w:t>ARK</w:t>
      </w:r>
      <w:r>
        <w:rPr>
          <w:rFonts w:ascii="Arial" w:cs="Arial" w:eastAsia="Arial" w:hAnsi="Arial"/>
          <w:sz w:val="18"/>
          <w:szCs w:val="18"/>
          <w:color w:val="auto"/>
        </w:rPr>
        <w:t xml:space="preserve"> A</w:t>
      </w:r>
      <w:r>
        <w:rPr>
          <w:rFonts w:ascii="Arial" w:cs="Arial" w:eastAsia="Arial" w:hAnsi="Arial"/>
          <w:sz w:val="13"/>
          <w:szCs w:val="13"/>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8" w:lineRule="exact"/>
        <w:rPr>
          <w:sz w:val="20"/>
          <w:szCs w:val="20"/>
          <w:color w:val="auto"/>
        </w:rPr>
      </w:pPr>
    </w:p>
    <w:p>
      <w:pPr>
        <w:ind w:left="1940"/>
        <w:spacing w:after="0"/>
        <w:rPr>
          <w:sz w:val="20"/>
          <w:szCs w:val="20"/>
          <w:color w:val="auto"/>
        </w:rPr>
      </w:pPr>
      <w:r>
        <w:rPr>
          <w:rFonts w:ascii="Arial" w:cs="Arial" w:eastAsia="Arial" w:hAnsi="Arial"/>
          <w:sz w:val="14"/>
          <w:szCs w:val="14"/>
          <w:b w:val="1"/>
          <w:bCs w:val="1"/>
          <w:color w:val="auto"/>
        </w:rPr>
        <w:t>Mark Aslett</w:t>
      </w:r>
    </w:p>
    <w:p>
      <w:pPr>
        <w:spacing w:after="0" w:line="4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850"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Kevin M. Bisson, certify that:</w:t>
      </w:r>
    </w:p>
    <w:p>
      <w:pPr>
        <w:spacing w:after="0" w:line="117" w:lineRule="exact"/>
        <w:rPr>
          <w:sz w:val="20"/>
          <w:szCs w:val="20"/>
          <w:color w:val="auto"/>
        </w:rPr>
      </w:pPr>
    </w:p>
    <w:p>
      <w:pPr>
        <w:ind w:left="460" w:hanging="438"/>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Mercury Systems, Inc.;</w:t>
      </w:r>
    </w:p>
    <w:p>
      <w:pPr>
        <w:spacing w:after="0" w:line="117" w:lineRule="exact"/>
        <w:rPr>
          <w:rFonts w:ascii="Arial" w:cs="Arial" w:eastAsia="Arial" w:hAnsi="Arial"/>
          <w:sz w:val="18"/>
          <w:szCs w:val="18"/>
          <w:color w:val="auto"/>
        </w:rPr>
      </w:pPr>
    </w:p>
    <w:p>
      <w:pPr>
        <w:jc w:val="both"/>
        <w:ind w:left="460" w:hanging="438"/>
        <w:spacing w:after="0" w:line="295"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8"/>
          <w:szCs w:val="18"/>
          <w:color w:val="auto"/>
        </w:rPr>
      </w:pPr>
    </w:p>
    <w:p>
      <w:pPr>
        <w:ind w:left="460" w:hanging="438"/>
        <w:spacing w:after="0" w:line="30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 w:lineRule="exact"/>
        <w:rPr>
          <w:rFonts w:ascii="Arial" w:cs="Arial" w:eastAsia="Arial" w:hAnsi="Arial"/>
          <w:sz w:val="18"/>
          <w:szCs w:val="18"/>
          <w:color w:val="auto"/>
        </w:rPr>
      </w:pPr>
    </w:p>
    <w:p>
      <w:pPr>
        <w:jc w:val="both"/>
        <w:ind w:left="460" w:hanging="438"/>
        <w:spacing w:after="0" w:line="295"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Arial" w:cs="Arial" w:eastAsia="Arial" w:hAnsi="Arial"/>
          <w:sz w:val="18"/>
          <w:szCs w:val="18"/>
          <w:color w:val="auto"/>
        </w:rPr>
      </w:pPr>
    </w:p>
    <w:p>
      <w:pPr>
        <w:jc w:val="both"/>
        <w:ind w:left="880" w:hanging="440"/>
        <w:spacing w:after="0" w:line="295" w:lineRule="auto"/>
        <w:tabs>
          <w:tab w:leader="none" w:pos="8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Arial" w:cs="Arial" w:eastAsia="Arial" w:hAnsi="Arial"/>
          <w:sz w:val="18"/>
          <w:szCs w:val="18"/>
          <w:color w:val="auto"/>
        </w:rPr>
      </w:pPr>
    </w:p>
    <w:p>
      <w:pPr>
        <w:jc w:val="both"/>
        <w:ind w:left="880" w:hanging="440"/>
        <w:spacing w:after="0" w:line="295" w:lineRule="auto"/>
        <w:tabs>
          <w:tab w:leader="none" w:pos="8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Arial" w:cs="Arial" w:eastAsia="Arial" w:hAnsi="Arial"/>
          <w:sz w:val="18"/>
          <w:szCs w:val="18"/>
          <w:color w:val="auto"/>
        </w:rPr>
      </w:pPr>
    </w:p>
    <w:p>
      <w:pPr>
        <w:ind w:left="880" w:hanging="440"/>
        <w:spacing w:after="0" w:line="341" w:lineRule="auto"/>
        <w:tabs>
          <w:tab w:leader="none" w:pos="880" w:val="left"/>
        </w:tabs>
        <w:numPr>
          <w:ilvl w:val="1"/>
          <w:numId w:val="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880" w:hanging="440"/>
        <w:spacing w:after="0" w:line="295" w:lineRule="auto"/>
        <w:tabs>
          <w:tab w:leader="none" w:pos="8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Arial" w:cs="Arial" w:eastAsia="Arial" w:hAnsi="Arial"/>
          <w:sz w:val="18"/>
          <w:szCs w:val="18"/>
          <w:color w:val="auto"/>
        </w:rPr>
      </w:pPr>
    </w:p>
    <w:p>
      <w:pPr>
        <w:ind w:left="460" w:hanging="438"/>
        <w:spacing w:after="0" w:line="341" w:lineRule="auto"/>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hanging="440"/>
        <w:spacing w:after="0" w:line="309" w:lineRule="auto"/>
        <w:tabs>
          <w:tab w:leader="none" w:pos="8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 w:lineRule="exact"/>
        <w:rPr>
          <w:rFonts w:ascii="Arial" w:cs="Arial" w:eastAsia="Arial" w:hAnsi="Arial"/>
          <w:sz w:val="18"/>
          <w:szCs w:val="18"/>
          <w:color w:val="auto"/>
        </w:rPr>
      </w:pPr>
    </w:p>
    <w:p>
      <w:pPr>
        <w:ind w:left="880" w:hanging="440"/>
        <w:spacing w:after="0" w:line="309" w:lineRule="auto"/>
        <w:tabs>
          <w:tab w:leader="none" w:pos="8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2013</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320"/>
        <w:spacing w:after="0"/>
        <w:tabs>
          <w:tab w:leader="none" w:pos="1700" w:val="left"/>
        </w:tabs>
        <w:rPr>
          <w:sz w:val="20"/>
          <w:szCs w:val="20"/>
          <w:color w:val="auto"/>
        </w:rPr>
      </w:pPr>
      <w:r>
        <w:rPr>
          <w:rFonts w:ascii="Arial" w:cs="Arial" w:eastAsia="Arial" w:hAnsi="Arial"/>
          <w:sz w:val="18"/>
          <w:szCs w:val="18"/>
          <w:color w:val="auto"/>
        </w:rPr>
        <w:t>/s/</w:t>
        <w:tab/>
        <w:t>K</w:t>
      </w:r>
      <w:r>
        <w:rPr>
          <w:rFonts w:ascii="Arial" w:cs="Arial" w:eastAsia="Arial" w:hAnsi="Arial"/>
          <w:sz w:val="13"/>
          <w:szCs w:val="13"/>
          <w:color w:val="auto"/>
        </w:rPr>
        <w:t>EVIN</w:t>
      </w:r>
      <w:r>
        <w:rPr>
          <w:rFonts w:ascii="Arial" w:cs="Arial" w:eastAsia="Arial" w:hAnsi="Arial"/>
          <w:sz w:val="18"/>
          <w:szCs w:val="18"/>
          <w:color w:val="auto"/>
        </w:rPr>
        <w:t xml:space="preserve"> M. B</w:t>
      </w:r>
      <w:r>
        <w:rPr>
          <w:rFonts w:ascii="Arial" w:cs="Arial" w:eastAsia="Arial" w:hAnsi="Arial"/>
          <w:sz w:val="13"/>
          <w:szCs w:val="13"/>
          <w:color w:val="auto"/>
        </w:rPr>
        <w:t>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8"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Kevin M. Bisson</w:t>
      </w:r>
    </w:p>
    <w:p>
      <w:pPr>
        <w:spacing w:after="0" w:line="4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SENIOR VICE PRESIDENT,</w:t>
      </w:r>
    </w:p>
    <w:p>
      <w:pPr>
        <w:jc w:val="center"/>
        <w:ind w:right="6840"/>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ind w:right="684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864"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Mercury Systems, Inc.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198" w:lineRule="exact"/>
        <w:rPr>
          <w:sz w:val="20"/>
          <w:szCs w:val="20"/>
          <w:color w:val="auto"/>
        </w:rPr>
      </w:pPr>
    </w:p>
    <w:p>
      <w:pPr>
        <w:jc w:val="both"/>
        <w:ind w:firstLine="446"/>
        <w:spacing w:after="0" w:line="332" w:lineRule="auto"/>
        <w:rPr>
          <w:sz w:val="20"/>
          <w:szCs w:val="20"/>
          <w:color w:val="auto"/>
        </w:rPr>
      </w:pPr>
      <w:r>
        <w:rPr>
          <w:rFonts w:ascii="Arial" w:cs="Arial" w:eastAsia="Arial" w:hAnsi="Arial"/>
          <w:sz w:val="16"/>
          <w:szCs w:val="16"/>
          <w:color w:val="auto"/>
        </w:rPr>
        <w:t>In connection with the Annual Report of Mercury Systems, Inc. (the “Company”) on Form 10-K for the fiscal year ended June 30, 2013 as filed with the Securities and Exchange Commission (the “Report”), we, Mark Aslett, President and Chief Executive Officer of the Company, and Kevin Bisson, Senior Vice President, Chief Financial Officer, and Treasurer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2013</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480"/>
        <w:spacing w:after="0"/>
        <w:tabs>
          <w:tab w:leader="none" w:pos="1800" w:val="left"/>
        </w:tabs>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w:t>
        <w:tab/>
        <w:t>M</w:t>
      </w:r>
      <w:r>
        <w:rPr>
          <w:rFonts w:ascii="Arial" w:cs="Arial" w:eastAsia="Arial" w:hAnsi="Arial"/>
          <w:sz w:val="13"/>
          <w:szCs w:val="13"/>
          <w:color w:val="auto"/>
        </w:rPr>
        <w:t>ARK</w:t>
      </w:r>
      <w:r>
        <w:rPr>
          <w:rFonts w:ascii="Arial" w:cs="Arial" w:eastAsia="Arial" w:hAnsi="Arial"/>
          <w:sz w:val="18"/>
          <w:szCs w:val="18"/>
          <w:color w:val="auto"/>
        </w:rPr>
        <w:t xml:space="preserve"> A</w:t>
      </w:r>
      <w:r>
        <w:rPr>
          <w:rFonts w:ascii="Arial" w:cs="Arial" w:eastAsia="Arial" w:hAnsi="Arial"/>
          <w:sz w:val="13"/>
          <w:szCs w:val="13"/>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8" w:lineRule="exact"/>
        <w:rPr>
          <w:sz w:val="20"/>
          <w:szCs w:val="20"/>
          <w:color w:val="auto"/>
        </w:rPr>
      </w:pPr>
    </w:p>
    <w:p>
      <w:pPr>
        <w:ind w:left="1940"/>
        <w:spacing w:after="0"/>
        <w:rPr>
          <w:sz w:val="20"/>
          <w:szCs w:val="20"/>
          <w:color w:val="auto"/>
        </w:rPr>
      </w:pPr>
      <w:r>
        <w:rPr>
          <w:rFonts w:ascii="Arial" w:cs="Arial" w:eastAsia="Arial" w:hAnsi="Arial"/>
          <w:sz w:val="14"/>
          <w:szCs w:val="14"/>
          <w:b w:val="1"/>
          <w:bCs w:val="1"/>
          <w:color w:val="auto"/>
        </w:rPr>
        <w:t>Mark Aslett</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310" w:lineRule="exact"/>
        <w:rPr>
          <w:sz w:val="20"/>
          <w:szCs w:val="20"/>
          <w:color w:val="auto"/>
        </w:rPr>
      </w:pPr>
    </w:p>
    <w:p>
      <w:pPr>
        <w:ind w:left="1340"/>
        <w:spacing w:after="0"/>
        <w:tabs>
          <w:tab w:leader="none" w:pos="1680" w:val="left"/>
        </w:tabs>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w:t>
        <w:tab/>
        <w:t>K</w:t>
      </w:r>
      <w:r>
        <w:rPr>
          <w:rFonts w:ascii="Arial" w:cs="Arial" w:eastAsia="Arial" w:hAnsi="Arial"/>
          <w:sz w:val="13"/>
          <w:szCs w:val="13"/>
          <w:color w:val="auto"/>
        </w:rPr>
        <w:t>EVIN</w:t>
      </w:r>
      <w:r>
        <w:rPr>
          <w:rFonts w:ascii="Arial" w:cs="Arial" w:eastAsia="Arial" w:hAnsi="Arial"/>
          <w:sz w:val="18"/>
          <w:szCs w:val="18"/>
          <w:color w:val="auto"/>
        </w:rPr>
        <w:t xml:space="preserve"> M. B</w:t>
      </w:r>
      <w:r>
        <w:rPr>
          <w:rFonts w:ascii="Arial" w:cs="Arial" w:eastAsia="Arial" w:hAnsi="Arial"/>
          <w:sz w:val="13"/>
          <w:szCs w:val="13"/>
          <w:color w:val="auto"/>
        </w:rPr>
        <w:t>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8"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Kevin M. Bisson</w:t>
      </w:r>
    </w:p>
    <w:p>
      <w:pPr>
        <w:jc w:val="center"/>
        <w:ind w:right="684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right="6840"/>
        <w:spacing w:after="0"/>
        <w:rPr>
          <w:sz w:val="20"/>
          <w:szCs w:val="20"/>
          <w:color w:val="auto"/>
        </w:rPr>
      </w:pPr>
      <w:r>
        <w:rPr>
          <w:rFonts w:ascii="Arial" w:cs="Arial" w:eastAsia="Arial" w:hAnsi="Arial"/>
          <w:sz w:val="14"/>
          <w:szCs w:val="14"/>
          <w:b w:val="1"/>
          <w:bCs w:val="1"/>
          <w:color w:val="auto"/>
        </w:rPr>
        <w:t>CHIEF FINANCIAL OFFICER, AND TREASURER</w:t>
      </w:r>
    </w:p>
    <w:sectPr>
      <w:pgSz w:w="11900" w:h="16838" w:orient="portrait"/>
      <w:cols w:equalWidth="0" w:num="1">
        <w:col w:w="11420"/>
      </w:cols>
      <w:pgMar w:left="240" w:top="1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1."/>
      <w:numFmt w:val="upperLetter"/>
      <w:start w:val="1"/>
    </w:lvl>
  </w:abstractNum>
  <w:abstractNum w:abstractNumId="19">
    <w:nsid w:val="3006C83E"/>
    <w:multiLevelType w:val="hybridMultilevel"/>
    <w:lvl w:ilvl="0">
      <w:lvlJc w:val="left"/>
      <w:lvlText w:val="%1."/>
      <w:numFmt w:val="upperLetter"/>
      <w:start w:val="2"/>
    </w:lvl>
  </w:abstractNum>
  <w:abstractNum w:abstractNumId="20">
    <w:nsid w:val="614FD4A1"/>
    <w:multiLevelType w:val="hybridMultilevel"/>
    <w:lvl w:ilvl="0">
      <w:lvlJc w:val="left"/>
      <w:lvlText w:val="%1."/>
      <w:numFmt w:val="upperLetter"/>
      <w:start w:val="3"/>
    </w:lvl>
  </w:abstractNum>
  <w:abstractNum w:abstractNumId="21">
    <w:nsid w:val="419AC241"/>
    <w:multiLevelType w:val="hybridMultilevel"/>
    <w:lvl w:ilvl="0">
      <w:lvlJc w:val="left"/>
      <w:lvlText w:val="%1."/>
      <w:numFmt w:val="upperLetter"/>
      <w:start w:val="4"/>
    </w:lvl>
  </w:abstractNum>
  <w:abstractNum w:abstractNumId="22">
    <w:nsid w:val="5577F8E1"/>
    <w:multiLevelType w:val="hybridMultilevel"/>
    <w:lvl w:ilvl="0">
      <w:lvlJc w:val="left"/>
      <w:lvlText w:val="%1."/>
      <w:numFmt w:val="upperLetter"/>
      <w:start w:val="7"/>
    </w:lvl>
  </w:abstractNum>
  <w:abstractNum w:abstractNumId="23">
    <w:nsid w:val="440BADFC"/>
    <w:multiLevelType w:val="hybridMultilevel"/>
    <w:lvl w:ilvl="0">
      <w:lvlJc w:val="left"/>
      <w:lvlText w:val="%1."/>
      <w:numFmt w:val="upperLetter"/>
      <w:start w:val="9"/>
    </w:lvl>
  </w:abstractNum>
  <w:abstractNum w:abstractNumId="24">
    <w:nsid w:val="5072367"/>
    <w:multiLevelType w:val="hybridMultilevel"/>
    <w:lvl w:ilvl="0">
      <w:lvlJc w:val="left"/>
      <w:lvlText w:val="%1."/>
      <w:numFmt w:val="upperLetter"/>
      <w:start w:val="10"/>
    </w:lvl>
  </w:abstractNum>
  <w:abstractNum w:abstractNumId="25">
    <w:nsid w:val="3804823E"/>
    <w:multiLevelType w:val="hybridMultilevel"/>
    <w:lvl w:ilvl="0">
      <w:lvlJc w:val="left"/>
      <w:lvlText w:val="%1."/>
      <w:numFmt w:val="upperLetter"/>
      <w:start w:val="11"/>
    </w:lvl>
  </w:abstractNum>
  <w:abstractNum w:abstractNumId="26">
    <w:nsid w:val="77465F01"/>
    <w:multiLevelType w:val="hybridMultilevel"/>
    <w:lvl w:ilvl="0">
      <w:lvlJc w:val="left"/>
      <w:lvlText w:val="%1."/>
      <w:numFmt w:val="upperLetter"/>
      <w:start w:val="13"/>
    </w:lvl>
  </w:abstractNum>
  <w:abstractNum w:abstractNumId="27">
    <w:nsid w:val="7724C67E"/>
    <w:multiLevelType w:val="hybridMultilevel"/>
    <w:lvl w:ilvl="0">
      <w:lvlJc w:val="left"/>
      <w:lvlText w:val="%1."/>
      <w:numFmt w:val="upperLetter"/>
      <w:start w:val="14"/>
    </w:lvl>
  </w:abstractNum>
  <w:abstractNum w:abstractNumId="28">
    <w:nsid w:val="5C482A97"/>
    <w:multiLevelType w:val="hybridMultilevel"/>
    <w:lvl w:ilvl="0">
      <w:lvlJc w:val="left"/>
      <w:lvlText w:val="%1."/>
      <w:numFmt w:val="upperLetter"/>
      <w:start w:val="15"/>
    </w:lvl>
  </w:abstractNum>
  <w:abstractNum w:abstractNumId="29">
    <w:nsid w:val="2463B9EA"/>
    <w:multiLevelType w:val="hybridMultilevel"/>
    <w:lvl w:ilvl="0">
      <w:lvlJc w:val="left"/>
      <w:lvlText w:val="%1"/>
      <w:numFmt w:val="upperLetter"/>
      <w:start w:val="1"/>
    </w:lvl>
    <w:lvl w:ilvl="1">
      <w:lvlJc w:val="left"/>
      <w:lvlText w:val="(%2)"/>
      <w:numFmt w:val="decimal"/>
      <w:start w:val="1"/>
    </w:lvl>
  </w:abstractNum>
  <w:abstractNum w:abstractNumId="30">
    <w:nsid w:val="5E884ADC"/>
    <w:multiLevelType w:val="hybridMultilevel"/>
    <w:lvl w:ilvl="0">
      <w:lvlJc w:val="left"/>
      <w:lvlText w:val="%1."/>
      <w:numFmt w:val="upperLetter"/>
      <w:start w:val="16"/>
    </w:lvl>
    <w:lvl w:ilvl="1">
      <w:lvlJc w:val="left"/>
      <w:lvlText w:val="%2"/>
      <w:numFmt w:val="decimal"/>
      <w:start w:val="1"/>
    </w:lvl>
  </w:abstractNum>
  <w:abstractNum w:abstractNumId="31">
    <w:nsid w:val="51EAD36B"/>
    <w:multiLevelType w:val="hybridMultilevel"/>
    <w:lvl w:ilvl="0">
      <w:lvlJc w:val="left"/>
      <w:lvlText w:val="•"/>
      <w:numFmt w:val="bullet"/>
      <w:start w:val="1"/>
    </w:lvl>
    <w:lvl w:ilvl="1">
      <w:lvlJc w:val="left"/>
      <w:lvlText w:val="•"/>
      <w:numFmt w:val="bullet"/>
      <w:start w:val="1"/>
    </w:lvl>
  </w:abstractNum>
  <w:abstractNum w:abstractNumId="32">
    <w:nsid w:val="2D517796"/>
    <w:multiLevelType w:val="hybridMultilevel"/>
    <w:lvl w:ilvl="0">
      <w:lvlJc w:val="left"/>
      <w:lvlText w:val="%1."/>
      <w:numFmt w:val="upperLetter"/>
      <w:start w:val="17"/>
    </w:lvl>
  </w:abstractNum>
  <w:abstractNum w:abstractNumId="33">
    <w:nsid w:val="580BD78F"/>
    <w:multiLevelType w:val="hybridMultilevel"/>
    <w:lvl w:ilvl="0">
      <w:lvlJc w:val="left"/>
      <w:lvlText w:val="(%1)"/>
      <w:numFmt w:val="lowerLetter"/>
      <w:start w:val="1"/>
    </w:lvl>
  </w:abstractNum>
  <w:abstractNum w:abstractNumId="34">
    <w:nsid w:val="153EA438"/>
    <w:multiLevelType w:val="hybridMultilevel"/>
    <w:lvl w:ilvl="0">
      <w:lvlJc w:val="left"/>
      <w:lvlText w:val="(%1)"/>
      <w:numFmt w:val="lowerLetter"/>
      <w:start w:val="2"/>
    </w:lvl>
  </w:abstractNum>
  <w:abstractNum w:abstractNumId="35">
    <w:nsid w:val="3855585C"/>
    <w:multiLevelType w:val="hybridMultilevel"/>
    <w:lvl w:ilvl="0">
      <w:lvlJc w:val="left"/>
      <w:lvlText w:val="(%1)"/>
      <w:numFmt w:val="lowerLetter"/>
      <w:start w:val="3"/>
    </w:lvl>
  </w:abstractNum>
  <w:abstractNum w:abstractNumId="36">
    <w:nsid w:val="70A64E2A"/>
    <w:multiLevelType w:val="hybridMultilevel"/>
    <w:lvl w:ilvl="0">
      <w:lvlJc w:val="left"/>
      <w:lvlText w:val="(%1)"/>
      <w:numFmt w:val="lowerLetter"/>
      <w:start w:val="4"/>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2"/>
    </w:lvl>
  </w:abstractNum>
  <w:abstractNum w:abstractNumId="41">
    <w:nsid w:val="2CD89A32"/>
    <w:multiLevelType w:val="hybridMultilevel"/>
    <w:lvl w:ilvl="0">
      <w:lvlJc w:val="left"/>
      <w:lvlText w:val="%1."/>
      <w:numFmt w:val="decimal"/>
      <w:start w:val="3"/>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2019-12-06T19:23:46Z</dcterms:created>
  <dcterms:modified xsi:type="dcterms:W3CDTF">2019-12-06T19:23:46Z</dcterms:modified>
</cp:coreProperties>
</file>