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January 31, 2016: 34,829,997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December 31, 2015 and June 30, 2015</w:t>
              </w:r>
            </w:hyperlink>
          </w:p>
        </w:tc>
        <w:tc>
          <w:tcPr>
            <w:tcW w:w="312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2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Income for the three and six months ended December</w:t>
              </w:r>
            </w:hyperlink>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31, 2015 and 2014</w:t>
              </w:r>
            </w:hyperlink>
          </w:p>
        </w:tc>
        <w:tc>
          <w:tcPr>
            <w:tcW w:w="7060" w:type="dxa"/>
            <w:vAlign w:val="bottom"/>
            <w:gridSpan w:val="9"/>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six months ended December 31, 2015 and 2014</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6860" w:type="dxa"/>
            <w:vAlign w:val="bottom"/>
            <w:tcBorders>
              <w:top w:val="single" w:sz="8" w:color="0000EE"/>
            </w:tcBorders>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56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708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81,554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77,586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 of allowance for doubtful accounts of $52 and $56 at December 31, 2015 and June 30, 2015,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35,468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31,765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22,021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36,707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31,960</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12,407</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Prepaid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2,880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8,678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198,978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188,164</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13,324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13,226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7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173,749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168,146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18,608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17,998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408,092</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389,988</w:t>
            </w:r>
          </w:p>
        </w:tc>
        <w:tc>
          <w:tcPr>
            <w:tcW w:w="0" w:type="dxa"/>
            <w:vAlign w:val="bottom"/>
          </w:tcPr>
          <w:p>
            <w:pPr>
              <w:spacing w:after="0"/>
              <w:rPr>
                <w:sz w:val="1"/>
                <w:szCs w:val="1"/>
                <w:color w:val="auto"/>
              </w:rPr>
            </w:pPr>
          </w:p>
        </w:tc>
      </w:tr>
      <w:tr>
        <w:trPr>
          <w:trHeight w:val="100"/>
        </w:trPr>
        <w:tc>
          <w:tcPr>
            <w:tcW w:w="680" w:type="dxa"/>
            <w:vAlign w:val="bottom"/>
            <w:tcBorders>
              <w:bottom w:val="single" w:sz="8" w:color="CCEEFF"/>
            </w:tcBorders>
          </w:tcPr>
          <w:p>
            <w:pPr>
              <w:spacing w:after="0"/>
              <w:rPr>
                <w:sz w:val="8"/>
                <w:szCs w:val="8"/>
                <w:color w:val="auto"/>
              </w:rPr>
            </w:pPr>
          </w:p>
        </w:tc>
        <w:tc>
          <w:tcPr>
            <w:tcW w:w="7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11,858</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6,928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9,005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9,875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9,406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7,477</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33,285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gain on sale-leaseback</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46,634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39,850</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I)</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gridSpan w:val="2"/>
          </w:tcPr>
          <w:p>
            <w:pPr>
              <w:ind w:left="380"/>
              <w:spacing w:after="0" w:line="157" w:lineRule="exact"/>
              <w:rPr>
                <w:sz w:val="20"/>
                <w:szCs w:val="20"/>
                <w:color w:val="auto"/>
              </w:rPr>
            </w:pPr>
            <w:r>
              <w:rPr>
                <w:rFonts w:ascii="Arial" w:cs="Arial" w:eastAsia="Arial" w:hAnsi="Arial"/>
                <w:sz w:val="14"/>
                <w:szCs w:val="14"/>
                <w:color w:val="auto"/>
                <w:w w:val="93"/>
              </w:rPr>
              <w:t>Common stock, $0.01 par value; 85,000,000 shares authorized; 33,240,461 and 32,570,959 shares issued and outstanding at December 31,</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2015 and June 30, 2015,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259,140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254,568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101,221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94,468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361,458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350,138</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408,092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389,988</w:t>
            </w:r>
          </w:p>
        </w:tc>
        <w:tc>
          <w:tcPr>
            <w:tcW w:w="0" w:type="dxa"/>
            <w:vAlign w:val="bottom"/>
          </w:tcPr>
          <w:p>
            <w:pPr>
              <w:spacing w:after="0"/>
              <w:rPr>
                <w:sz w:val="1"/>
                <w:szCs w:val="1"/>
                <w:color w:val="auto"/>
              </w:rPr>
            </w:pPr>
          </w:p>
        </w:tc>
      </w:tr>
      <w:tr>
        <w:trPr>
          <w:trHeight w:val="60"/>
        </w:trPr>
        <w:tc>
          <w:tcPr>
            <w:tcW w:w="680" w:type="dxa"/>
            <w:vAlign w:val="bottom"/>
            <w:tcBorders>
              <w:bottom w:val="single" w:sz="8" w:color="CCEEFF"/>
            </w:tcBorders>
            <w:shd w:val="clear" w:color="auto" w:fill="CCEEFF"/>
          </w:tcPr>
          <w:p>
            <w:pPr>
              <w:spacing w:after="0"/>
              <w:rPr>
                <w:sz w:val="5"/>
                <w:szCs w:val="5"/>
                <w:color w:val="auto"/>
              </w:rPr>
            </w:pPr>
          </w:p>
        </w:tc>
        <w:tc>
          <w:tcPr>
            <w:tcW w:w="7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111,150</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31,839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60,116</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51,034</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24,967</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15,846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Acquisition costs and other related expenses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46,767</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Basic net earnings (loss)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Diluted net 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31,880</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vMerge w:val="continue"/>
          </w:tcPr>
          <w:p>
            <w:pPr>
              <w:spacing w:after="0"/>
              <w:rPr>
                <w:sz w:val="19"/>
                <w:szCs w:val="19"/>
                <w:color w:val="auto"/>
              </w:rPr>
            </w:pPr>
          </w:p>
        </w:tc>
        <w:tc>
          <w:tcPr>
            <w:tcW w:w="57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33,831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32,686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33,819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32,720</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88" w:right="239" w:bottom="1440" w:gutter="0" w:footer="0" w:header="0"/>
          <w:type w:val="continuous"/>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 and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17,478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decrease in 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capital lease obligations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77,586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40"/>
              <w:spacing w:after="0" w:line="183" w:lineRule="exact"/>
              <w:rPr>
                <w:sz w:val="20"/>
                <w:szCs w:val="20"/>
                <w:color w:val="auto"/>
              </w:rPr>
            </w:pPr>
            <w:r>
              <w:rPr>
                <w:rFonts w:ascii="Arial" w:cs="Arial" w:eastAsia="Arial" w:hAnsi="Arial"/>
                <w:sz w:val="18"/>
                <w:szCs w:val="18"/>
                <w:color w:val="auto"/>
                <w:shd w:val="clear" w:color="auto" w:fill="CCEEFF"/>
              </w:rPr>
              <w:t>Supplemental disclosures—non-cash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8,241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Mercury Systems, Inc. (the "Company" or "Mercury") is a leading commercial provider of secure processing subsystems designed and made in the U.S.A. Optimized for customer and mission success, Mercury's solutions power a wide variety of critical defense and intelligence programs. Headquartered in Chelmsford, Massachusetts, Mercury is pioneering a next-generation defense electronics business model specifically designed to meet the industry's current and emerging technology needs.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goal is to grow and build on its position as a critical component of the defense industrial base and become the leading provider of affordable secure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affordable electronic warfare ("EW"), electronic attack ("EA") and electronic counter measure ("ECM") subsystems, significant capabilities in signals intelligence ("SIGINT"), electro-optical/infrared ("EO/IR") and secure processing technologies, and radar environment test and simulation systems.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June 2014, the Company initiated a plan to divest the Mercury Intelligence Systems (“MIS”) operating segment, based on the Company's strategic direction and investment priorities focusing on its core business. On January 23, 2015, the Company completed the sale of the MIS operating segment. See Note M to consolidated financial statements.</w:t>
      </w:r>
    </w:p>
    <w:p>
      <w:pPr>
        <w:spacing w:after="0" w:line="20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2015 which are contained in the Company’s Annual Report on Form 10-K filed with the Securities and Exchange Commission (“SEC”) on August 13, 2015. The results for the three and six months ended December 31, 2015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comprised of the following operating segments: MCE and MDS. See Note L of the Notes to consolidated financial statements for further discussion.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36% and 42% of total revenues in the three and six months ended December 31, 2015, respectively. Total revenue recognized under multiple-deliverable revenue arrangements was 26% and 28% of total revenues in the three and six months ended December 31, 2014,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also engages in long-term contracts for development, production and services activities which it accounts for consistent with FASB ASC 605-35,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and other relevant revenue recognition accounting literature. The Company considers the nature of these contracts and the types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7"/>
          <w:szCs w:val="17"/>
          <w:color w:val="auto"/>
        </w:rPr>
        <w:t>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ectPr>
          <w:pgSz w:w="11900" w:h="16838" w:orient="portrait"/>
          <w:cols w:equalWidth="0" w:num="1">
            <w:col w:w="11420"/>
          </w:cols>
          <w:pgMar w:left="240" w:top="692"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jc w:val="right"/>
        <w:ind w:right="2020"/>
        <w:spacing w:after="0"/>
        <w:rPr>
          <w:sz w:val="20"/>
          <w:szCs w:val="20"/>
          <w:color w:val="auto"/>
        </w:rPr>
      </w:pPr>
      <w:r>
        <w:rPr>
          <w:rFonts w:ascii="Arial" w:cs="Arial" w:eastAsia="Arial" w:hAnsi="Arial"/>
          <w:sz w:val="17"/>
          <w:szCs w:val="17"/>
          <w:color w:val="auto"/>
        </w:rPr>
        <w:t>Weighted-average shares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dilutive equity instruments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w:t>
            </w:r>
          </w:p>
        </w:tc>
        <w:tc>
          <w:tcPr>
            <w:tcW w:w="2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33,120</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32,052</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33,047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31,880</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711</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right"/>
              <w:spacing w:after="0"/>
              <w:rPr>
                <w:sz w:val="20"/>
                <w:szCs w:val="20"/>
                <w:color w:val="auto"/>
              </w:rPr>
            </w:pPr>
            <w:r>
              <w:rPr>
                <w:rFonts w:ascii="Arial" w:cs="Arial" w:eastAsia="Arial" w:hAnsi="Arial"/>
                <w:sz w:val="18"/>
                <w:szCs w:val="18"/>
                <w:color w:val="auto"/>
              </w:rPr>
              <w:t>33,831</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32,686</w:t>
            </w:r>
          </w:p>
        </w:tc>
        <w:tc>
          <w:tcPr>
            <w:tcW w:w="10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33,819</w:t>
            </w:r>
          </w:p>
        </w:tc>
        <w:tc>
          <w:tcPr>
            <w:tcW w:w="10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32,720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-556895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-205105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260" w:space="720"/>
            <w:col w:w="4440"/>
          </w:cols>
          <w:pgMar w:left="240" w:top="692" w:right="239" w:bottom="1440" w:gutter="0" w:footer="0" w:header="0"/>
          <w:type w:val="continuous"/>
        </w:sectPr>
      </w:pPr>
    </w:p>
    <w:p>
      <w:pPr>
        <w:jc w:val="both"/>
        <w:ind w:firstLine="432"/>
        <w:spacing w:after="0" w:line="259" w:lineRule="auto"/>
        <w:rPr>
          <w:sz w:val="20"/>
          <w:szCs w:val="20"/>
          <w:color w:val="auto"/>
        </w:rPr>
      </w:pPr>
      <w:r>
        <w:rPr>
          <w:rFonts w:ascii="Arial" w:cs="Arial" w:eastAsia="Arial" w:hAnsi="Arial"/>
          <w:sz w:val="18"/>
          <w:szCs w:val="18"/>
          <w:color w:val="auto"/>
        </w:rPr>
        <w:t>Equity instruments to purchase 2 and 25 shares of common stock were not included in the calculation of diluted net earnings per share for the three and six months ended December 31, 2015 because the equity instruments were anti-dilutive. Equity instruments to purchase 654 and 740 shares of common stock were not included in the calculation of diluted net earnings per share for the three and six months ended December 31, 2014 because the equity instruments were anti-dilutive.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type w:val="continuous"/>
        </w:sectPr>
      </w:pPr>
    </w:p>
    <w:bookmarkStart w:id="8" w:name="page9"/>
    <w:bookmarkEnd w:id="8"/>
    <w:p>
      <w:pPr>
        <w:ind w:left="840" w:hanging="832"/>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I</w:t>
      </w:r>
      <w:r>
        <w:rPr>
          <w:rFonts w:ascii="Arial" w:cs="Arial" w:eastAsia="Arial" w:hAnsi="Arial"/>
          <w:sz w:val="14"/>
          <w:szCs w:val="14"/>
          <w:color w:val="auto"/>
        </w:rPr>
        <w:t>NNOVATIVE</w:t>
      </w:r>
      <w:r>
        <w:rPr>
          <w:rFonts w:ascii="Arial" w:cs="Arial" w:eastAsia="Arial" w:hAnsi="Arial"/>
          <w:sz w:val="18"/>
          <w:szCs w:val="18"/>
          <w:color w:val="auto"/>
        </w:rPr>
        <w:t xml:space="preserve"> T</w:t>
      </w:r>
      <w:r>
        <w:rPr>
          <w:rFonts w:ascii="Arial" w:cs="Arial" w:eastAsia="Arial" w:hAnsi="Arial"/>
          <w:sz w:val="14"/>
          <w:szCs w:val="14"/>
          <w:color w:val="auto"/>
        </w:rPr>
        <w: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16, 2015, the Company entered into a share purchase agreement (the “Share Purchase Agreement”) with Lewis Innovative Technologies, Inc. (“LIT”) and the holders of the equity interests of LIT. Pursuant to the Share Purchase Agreement, the Company completed its purchase of all of the equity interests in LIT, and LIT became a wholly-owned subsidiary of the Company. Based in Decatur, Alabama, LIT provides advanced security technology and development services necessary for protecting systems critical to national security while meeting strict Department of Defense (“DoD”) program protection requirements. LIT is included in the MDS operating segment.</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acquired LIT for a cash purchase price of $9,764. The Company funded the purchase with cash on hand. The purchase price was subject to a post-closing adjustment based on a determination of LIT's closing net working capital. In accordance with the Share Purchase Agreement, $1,000 of the purchase price was placed into escrow to support the post-closing working capital adjustment and the sellers' indemnification obligations. The escrow is available for indemnification claims through June 16, 2017. The Company acquired LIT free of bank debt.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LIT:</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Amounts</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Consideration transferred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at closing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Working capital adjustment</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97"/>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9,764</w:t>
            </w:r>
          </w:p>
        </w:tc>
      </w:tr>
      <w:tr>
        <w:trPr>
          <w:trHeight w:val="257"/>
        </w:trPr>
        <w:tc>
          <w:tcPr>
            <w:tcW w:w="8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 and cost in excess of billings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and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net tangible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identifiable intangible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3,960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goodwill</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5,603</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assets acquired</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10,054</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57"/>
        </w:trPr>
        <w:tc>
          <w:tcPr>
            <w:tcW w:w="8800" w:type="dxa"/>
            <w:vAlign w:val="bottom"/>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9,764</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amounts above represent the preliminary fair value estimates as of December 31, 2015 and are subject to subsequent adjustment as the Company obtains additional information during the measurement period and finalizes its fair value estimates. The preliminary identifiable intangible asset estimates include completed technology of $3,240, customer relationships of $590 and backlog of $130. Any subsequent adjustments to these fair value estimates occurring during the measurement period will result in an adjustment to goodwill or income, as applicable.</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goodwill of $5,603 arising from the LIT acquisition largely reflects the potential synergies and expansion of the Company's service offerings across product segments and markets complementary to the Company’s existing products and markets. The LIT acquisition provides the Company with additional capabilities and expertise related to secure embedded processing applications. The acquisition is directly aligned with the Company's strategy of assembling critical and differentiated capabilities across the entire sensor processing chain. The goodwill from the LIT acquisition is included in the Company's MDS reporting unit.</w:t>
      </w:r>
    </w:p>
    <w:p>
      <w:pPr>
        <w:spacing w:after="0" w:line="8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 the shareholders of LIT have agreed to treat the acquisition of LIT as an asset purchase for tax purposes by filing the required election forms under IRC Section 338(h)(10). The Company has estimated the tax value of the intangible assets from this transaction and is amortizing the amount over 15 years for tax purposes. As of December 31, 2015, the Company had $5,603 of goodwill deductible for tax purposes.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consolidated results for the three and six months ended December 31, 2015 include $30 and $(40) of revenue and net loss, respectively, for LIT's operating results between the acquisition date and December 31, 2015. Pursuant to the completion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9"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of the LIT acquisition, the Company incurred $231 of impairment expense related to a pre-existing relationship. LIT acquisition costs and other related expenses were immaterial during the three and six months ended December 31, 2015. Additionally, the Company has not furnished pro forma financial information relating to LIT because such information is not material to the Company's financial results.</w:t>
      </w:r>
    </w:p>
    <w:p>
      <w:pPr>
        <w:spacing w:after="0" w:line="20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2015:</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51,529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Cost-method investment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51,793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r>
      <w:tr>
        <w:trPr>
          <w:trHeight w:val="27"/>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 The value of the certificates of deposit is based on the quoted price for identical or similar instruments in markets that are not active or are directly or indirectly observable. The cost-method investment does not have a readily determinable fair value, as such the Company recorded the investment as a long term asset at cost and will continue to evaluate the asset for impairment.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of the fair value of the Company's cost-method investment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2015</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11,190</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4,906</w:t>
            </w: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31,960</w:t>
            </w:r>
          </w:p>
        </w:tc>
      </w:tr>
      <w:tr>
        <w:trPr>
          <w:trHeight w:val="27"/>
        </w:trPr>
        <w:tc>
          <w:tcPr>
            <w:tcW w:w="8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changes in the carrying amount of goodwill by reporting unit for the six months ended December 31, 2015: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MDS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Goodwill arising from the LIT acquisition</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5,603</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39,371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173,749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six months ended December 31, 2015, there were no triggering events, as defined by FASB ASC 350, which required an interim goodwill impairment test. The Company performs its annual goodwill impairment test in the fourth quarter of each fiscal year.</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December 31,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unused outplacement services.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December 31, 2015, the Company incurred net restructuring and other charges of $221 and $559, respectively. In the event that the Company is unable to sublease the unoccupied portion of its headquarters complex in Chelmsford, Massachusetts, it will incur nominal, periodic restructuring charges through fiscal 2017 in its MCE reportable segment.</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recorded an income tax provision of $1,680 and $1,047 on income from continuing operations before income taxes of $6,473 and $3,933 for the three months ended December 31, 2015 and 2014, respectively. The Company recorded an income tax provision of $2,944 and $1,047 on income from continuing operations before income taxes of $9,697 and $4,650 for the six months ended December 31, 2015 and 2014, respectively. The effective tax rates for the three and six months ended December 31, 2015 differed from the federal statutory rate primarily due to federal research and development credits, domestic manufacturing deduction, stock compensation, and state taxes. The effective tax rates for the three and six months ended December 31, 2014 differed from the federal statutory rate primarily due to the impact of federal research and development credits, domestic manufacturing deduction, stock compensation, and state taxes.</w:t>
      </w:r>
    </w:p>
    <w:p>
      <w:pPr>
        <w:spacing w:after="0" w:line="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18, 2015, the Protecting Americans from Tax Hikes Act of 2015 was enacted, which retroactively reinstated and made permanent the federal research and development tax credit effective January 1, 2015. Based on the indefinite extension, the Company estimates that there was an additional $1,568 credit earned during the period January 1, 2015 through June 30, 2016, of which $568 relating to fiscal year 2015 was recognized as a discrete benefit in the three months ended December 31, 2015.</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material changes in the Company’s unrecognized tax positions occurred during the six months ended December 31, 2015. The Company is currently under audit by the Internal Revenue Service for fiscal year 2013. There have been no significant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3" w:right="239" w:bottom="1440" w:gutter="0" w:footer="0" w:header="0"/>
        </w:sectPr>
      </w:pPr>
    </w:p>
    <w:bookmarkStart w:id="11" w:name="page12"/>
    <w:bookmarkEnd w:id="11"/>
    <w:p>
      <w:pPr>
        <w:jc w:val="both"/>
        <w:ind w:right="20"/>
        <w:spacing w:after="0" w:line="264" w:lineRule="auto"/>
        <w:rPr>
          <w:sz w:val="20"/>
          <w:szCs w:val="20"/>
          <w:color w:val="auto"/>
        </w:rPr>
      </w:pPr>
      <w:r>
        <w:rPr>
          <w:rFonts w:ascii="Arial" w:cs="Arial" w:eastAsia="Arial" w:hAnsi="Arial"/>
          <w:sz w:val="18"/>
          <w:szCs w:val="18"/>
          <w:color w:val="auto"/>
        </w:rPr>
        <w:t>changes to the status of this examination during the six months ended December 31, 2015.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20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26, 2016, the Company received cash of $175 based on the lapse of the indemnity escrow period associated with the sale of the Company’s former MIS operating segment in January of 2015. The Company provided indemnification to the buyer of the MIS business, generally covering pre-closing tax liabilities of the business and buyer damages resulting from breaches of representations, warranties and covenants contained in the purchase and sale agreement. The Company’s indemnification obligations regarding the MIS operating segment are generally subject to caps. No claims were made against the escrow.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2015, the Company has entered into non-cancelable purchase commitments for certain inventory components and services used in its normal operations. The purchase commitments covered by these agreements are for less than one year and aggregate to $24,191.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September 1, 2015, the Company entered into a lease agreement for a new headquarters location in Andover, Massachusetts. The Company expects to occupy the new office space by May 2017. The Company's total obligation for the base rent is $21,070 based on utilization of not less than 114 square feet over the twelve year term of the lease. The Company has an option to expand its footprint to 145 square feet, or the entire facility, which would increase its corresponding total base rent obligation. This option must be exercised by the Company on or before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ENIOR</w:t>
      </w:r>
      <w:r>
        <w:rPr>
          <w:rFonts w:ascii="Arial" w:cs="Arial" w:eastAsia="Arial" w:hAnsi="Arial"/>
          <w:sz w:val="18"/>
          <w:szCs w:val="18"/>
          <w:color w:val="auto"/>
        </w:rPr>
        <w:t xml:space="preserve"> U</w:t>
      </w:r>
      <w:r>
        <w:rPr>
          <w:rFonts w:ascii="Arial" w:cs="Arial" w:eastAsia="Arial" w:hAnsi="Arial"/>
          <w:sz w:val="14"/>
          <w:szCs w:val="14"/>
          <w:color w:val="auto"/>
        </w:rPr>
        <w:t>NSECURED</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there was $162,697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and subject to compliance with the financial covenants in the credit agreement. There were no borrowings outstanding on the credit agreement; however, there were outstanding letters of credit of $5,113. The Company was in compliance with all covenants and conditions under the credit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15,252 shares at December 31, 2015. On October 21, 2015, the Company's number of shares authorized for issuance under the 2005 Plan increased 2 shares as a result of cancellations, forfeitures or terminations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2,786 shares available for future grant under the 2005 Plan at December 31, 2015.</w:t>
      </w:r>
    </w:p>
    <w:p>
      <w:pPr>
        <w:spacing w:after="0" w:line="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part of the Company's ongoing annual equity grant program for employees, the Company grants performance-based restricted stock awards to certain executives pursuant to the 2005 Plan. These performance awards vest over a three or four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monitors the probability of achieving the performance targets on a quarterly basis and may adjust periodic stock compensation expense accordingly.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1,800 shares. On December 8, 2015, the Company's shareholders approved an increase in the number of shares authorized for issuance under the ESPP to 1,800, an increase of 400.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46 and 41 shares issued under the ESPP during the six months ended December 31, 2015 and 2014, respectively. Shares available for future purchase under the ESPP totaled 440 at December 31,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5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1,866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Granted</w:t>
            </w:r>
          </w:p>
        </w:tc>
        <w:tc>
          <w:tcPr>
            <w:tcW w:w="5680" w:type="dxa"/>
            <w:vAlign w:val="bottom"/>
            <w:gridSpan w:val="2"/>
          </w:tcPr>
          <w:p>
            <w:pPr>
              <w:jc w:val="right"/>
              <w:ind w:right="28"/>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5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1,597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13</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and six months ended December 31, 2015 and 2014 in accordance with FASB ASC 718. During the three and six months ended December 31, 2015, the Company capitalized $153 of stock-based compensation expense on the consolidated balance sheets. In the prior years, the Company did not capitalize any such costs on the consolidated balance sheets, as such costs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from continuing operations included in the Company’s 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81"/>
              </w:rPr>
              <w:t>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jc w:val="both"/>
        <w:ind w:left="660" w:hanging="328"/>
        <w:spacing w:after="0" w:line="31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Mercury Commercial Electronics (“MCE”): this operating segment designs, develops and builds open sensor processing products and subsystems that include embedded processing modules and subsystems, RF and microwave multi-function assemblies as well as subsystems, and RF and microwave components. MCE also provides technology building blocks to Mercury Defense Systems on key classified and unclassified programs.</w:t>
      </w:r>
    </w:p>
    <w:p>
      <w:pPr>
        <w:spacing w:after="0" w:line="11" w:lineRule="exact"/>
        <w:rPr>
          <w:rFonts w:ascii="Arial" w:cs="Arial" w:eastAsia="Arial" w:hAnsi="Arial"/>
          <w:sz w:val="16"/>
          <w:szCs w:val="16"/>
          <w:color w:val="auto"/>
        </w:rPr>
      </w:pPr>
    </w:p>
    <w:p>
      <w:pPr>
        <w:jc w:val="both"/>
        <w:ind w:left="660" w:hanging="355"/>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Mercury Defense Systems (“MDS”): this operating segment provides significant capabilities relating to pre-integrated, open, affordable EW, EA and ECM subsystems, significant capabilities in signals intelligence, EO/IR processing technologies, and radar environment test and simulation systems, leveraging commercially available technologies and solutions (or “building blocks”) from the MCE business and other commercial suppliers. Recently, MDS has added advanced security technology and development services related to secure embedded processing applications.</w:t>
      </w:r>
    </w:p>
    <w:p>
      <w:pPr>
        <w:spacing w:after="0" w:line="1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2015</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53,015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60,417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60,417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 DECEMBER 31, 2014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103,021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118,826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SIX MONTHS ENDED DECEMBER 31, 2014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the Company’s income from continuing operations, the most directly comparable GAAP financial measure, to its adjusted EBITDA: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6"/>
                <w:szCs w:val="16"/>
                <w:color w:val="auto"/>
              </w:rPr>
            </w:pPr>
          </w:p>
        </w:tc>
        <w:tc>
          <w:tcPr>
            <w:tcW w:w="22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4"/>
              </w:rPr>
              <w:t>Six Months Ended December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Acquisition and financing costs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Litigation and settlement expenses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7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24,420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vMerge w:val="restart"/>
          </w:tcPr>
          <w:p>
            <w:pPr>
              <w:jc w:val="right"/>
              <w:ind w:right="6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58,211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60,417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60,417</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2014</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55,625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57,089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57,089</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115,573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118,826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118,826</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2014</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108,710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111,150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111,150</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13,127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13,226</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5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25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63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SEWIP</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F-35</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Patriot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Aegis</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2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ectPr>
          <w:pgSz w:w="11900" w:h="16838" w:orient="portrait"/>
          <w:cols w:equalWidth="0" w:num="1">
            <w:col w:w="11420"/>
          </w:cols>
          <w:pgMar w:left="240" w:top="69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92" w:right="239" w:bottom="1440" w:gutter="0" w:footer="0" w:header="0"/>
          <w:type w:val="continuous"/>
        </w:sectPr>
      </w:pPr>
    </w:p>
    <w:bookmarkStart w:id="16" w:name="page17"/>
    <w:bookmarkEnd w:id="16"/>
    <w:p>
      <w:pPr>
        <w:ind w:left="880" w:hanging="872"/>
        <w:spacing w:after="0"/>
        <w:tabs>
          <w:tab w:leader="none" w:pos="8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the third quarter of fiscal 2015, the Company completed the sale of the MIS operating segment. The MIS operating results have been reported as a discontinued operation for all periods presented. The Company does not have continuing involvement in the operations of MIS after its divestiture.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in loss from discontinued operations, net of income taxes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160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77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of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of discontinued operations: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1,247</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248</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2,283</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balances for the assets and liabilities of the discontinued operations for the periods ending December 31, 2015 and June 30, 2015.</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depreciation, amortization, and significant operating and investing non-cash items of the discontinued operations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50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79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248</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126</w:t>
            </w:r>
          </w:p>
        </w:tc>
      </w:tr>
    </w:tbl>
    <w:p>
      <w:pPr>
        <w:spacing w:after="0" w:line="25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9" w:right="239" w:bottom="1440" w:gutter="0" w:footer="0" w:header="0"/>
        </w:sectPr>
      </w:pPr>
    </w:p>
    <w:bookmarkStart w:id="17" w:name="page18"/>
    <w:bookmarkEnd w:id="17"/>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2015.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leading commercial provider of secure processing subsystems designed and made in the U.S.A. Optimized for customer and mission success, our solutions power a wide variety of critical defense and intelligence programs. Headquartered in Chelmsford, Massachusetts, we are pioneering a next-generation defense electronics business model specifically designed to meet the industry's current and emerging technology needs.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believe our total portfolio of services and solutions is unique in the industry for a commercial company. We operate across a broad spectrum of defense programs and deliver our solutions and services via two operating segments: (i) Mercury Commercial Electronics; and (ii) Mercury Defense Systems. During the third quarter of fiscal 2015, we completed the sale of the Mercury Intelligence Systems (“MIS”) operating segment. Consequently, its operating results are included in discontinued operations for all periods presented (see Note M to the consolidated financial statements).</w:t>
      </w:r>
    </w:p>
    <w:p>
      <w:pPr>
        <w:spacing w:after="0" w:line="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we had 682 employees. Our revenue, income from continuing operations, adjusted earnings per share ("adjusted EPS"), and adjusted EBITDA for the three months ended December 31, 2015 were $60.4 million, $4.8 million, $0.23, and $12.6 million, respectively. Our revenue, income from continuing operations, adjusted EPS, and adjusted EBITDA for the six month period ended December 31, 2015 were $118.8 million, $6.8 million, $0.42, and $24.4 million, respectively. See the Non-GAAP Financial Measures section for a reconciliation to our most directly comparable GAAP financial measures.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designs, develops and builds open sensor processing products and subsystems that include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modules and subsystems, radio frequency (“RF”) and microwave multi-function assemblies as well as subsystems, and RF and microwave components.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December 31, 2015, MCE accounted for 87% of our total net revenues.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Mercury Defense Systems, </w:t>
      </w:r>
      <w:r>
        <w:rPr>
          <w:rFonts w:ascii="Arial" w:cs="Arial" w:eastAsia="Arial" w:hAnsi="Arial"/>
          <w:sz w:val="18"/>
          <w:szCs w:val="18"/>
          <w:color w:val="auto"/>
        </w:rPr>
        <w:t>or MDS, provides significant capabilities relating to pre-integrated, open, affordable electronic warfare ("EW"),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attack ("EA") and electronic counter measure ("ECM") subsystems, significant capabilities in signals intelligence ("SIGINT"), electro-optical/infrared ("EO/IR") and secure processing technologies, and radar environment test and simulation systems. Recently, MDS added advanced security technology and development services related to secure embedded processing applications.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For the six months ended December 31, 2015, MDS accounted for 13%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and conduct much of our business with our defense customers as commercial item sales on commercial terms,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have limited ability to identify sequential quarterly trends, even within our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2015 compared to the three months ended December 31, 2014</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8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tcBorders>
              <w:bottom w:val="single" w:sz="8" w:color="CCEEFF"/>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60,417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54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31,839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28,578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Restructuring and other charges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10.7</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w:t>
            </w: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gridSpan w:val="2"/>
          </w:tcPr>
          <w:p>
            <w:pPr>
              <w:jc w:val="right"/>
              <w:ind w:right="26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7.9 %</w:t>
            </w:r>
          </w:p>
        </w:tc>
        <w:tc>
          <w:tcPr>
            <w:tcW w:w="10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54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4"/>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24"/>
                <w:szCs w:val="2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2014</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60" w:type="dxa"/>
            <w:vAlign w:val="bottom"/>
            <w:tcBorders>
              <w:bottom w:val="single" w:sz="8" w:color="CCEEFF"/>
            </w:tcBorders>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51,806</w:t>
            </w: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MDS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60,417</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57,089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$3.3 million, or 6%, to $60.4 million during the three months ended December 31, 2015 as compared to the same period in fiscal 2015. This increase was driven by higher defense sales of $5.7 million, partially offset by lower commercial sales of $2.4 million. The increase in total revenues is primarily attributed to higher revenues from the SEWIP, DEWS and an airborne surveillance programs, partially offset by lower Global Hawk revenue. International revenues, which consist of foreign military sales through prime defense contractor customers and direct sales to non-U.S. based customers, decreased $1.9 million to $12.7 million during the three months ended December 31, 2015, compared to $14.6 million in the same period in the prior fiscal year. The decrease was primarily driven by lower revenues from the Global Hawk program. International revenues represented 21% and 26% of total revenues during the three months ended December 31, 2015 and 2014,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jc w:val="both"/>
        <w:ind w:firstLine="432"/>
        <w:spacing w:after="0" w:line="308" w:lineRule="auto"/>
        <w:rPr>
          <w:sz w:val="20"/>
          <w:szCs w:val="20"/>
          <w:color w:val="auto"/>
        </w:rPr>
      </w:pPr>
      <w:r>
        <w:rPr>
          <w:rFonts w:ascii="Arial" w:cs="Arial" w:eastAsia="Arial" w:hAnsi="Arial"/>
          <w:sz w:val="17"/>
          <w:szCs w:val="17"/>
          <w:color w:val="auto"/>
        </w:rPr>
        <w:t>Net MCE revenues increased $1.2 million, or 2%, during the three months ended December 31, 2015 as compared to the same period in the prior fiscal year. This increase was primarily driven by higher SEWIP and DEWS program revenues, partially offset by lower Global Hawk revenue.</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MDS revenues increased $3.2 million, or 67%, during the three months ended December 31, 2015 as compared to the same period in the prior fiscal year. This increase was primarily driven by strength in an airborne surveillance program in the most recent quarter.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47.3% for the three months ended December 31, 2015, a decrease of 10 basis points from the 47.4% gross margin achieved during the same period in fiscal 2015. Despite the consistency in gross margin period over period, we had increased high margin F-35 royalty revenues during the three months ended December 31, 2015, partially offset by increased revenues from lower margin programs and a $1.5 million increase to our inventory reserve at MDS during the three months ended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Selling, general and administrative expenses decreased $0.1 million, or 1%, to $12.6 million during the three months ended December 31, 2015, compared to $12.7 million in the same period in fiscal 2015. The decrease was primarily due to operating leverage. Selling, general and administrative expenses decreased as a percentage of revenues to 20.8% during the three months ended December 31, 2015 from 22.2% during the same period in fiscal 2015. The decrease was due to higher revenues in the second quarter of fiscal 2016, as compared to the same period in fiscal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decreased approximately $0.2 million, or 3%, to $7.7 million during the three months ended December 31, 2015, compared to $7.9 million during the same period in fiscal 2015. The decrease was primarily due to higher customer funded development during fiscal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Restructuring and other charges decreased approximately $0.9 million, or 81%, to $0.2 million during the three months ended December 31, 2015, compared to $1.1 million during the same period in fiscal 2015. The decrease was driven by lower severance and facility costs in the second quarter of fiscal 2016 as our acquisition integration activities were completed during fiscal 2015. The second quarter of fiscal 2015 included the final phase of the Chelmsford, Massachusetts headquarters consolidation and related severance activities. We will incur nominal, periodic restructuring charges through fiscal 2017 in our MCE reportable segment if we are unable to sublease the unoccupied portion of our headquarters.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L</w:t>
      </w:r>
      <w:r>
        <w:rPr>
          <w:rFonts w:ascii="Arial" w:cs="Arial" w:eastAsia="Arial" w:hAnsi="Arial"/>
          <w:sz w:val="14"/>
          <w:szCs w:val="14"/>
          <w:color w:val="auto"/>
        </w:rPr>
        <w:t>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recorded an impairment charge of $0.2 million during the three months ended December 31, 2015, compared to $0.0 million during the same period in fiscal 2015. Pursuant to the completion of the LIT acquisition, we incurred $231 of impairment expense related to a pre-existing relationship.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incurred ($0.1) million of acquisition costs and other related expenses during the three months ended December 31, 2015, compared to $0.0 million during the same period in fiscal 2015. During the three months ended December 31, 2015, we incurred less than $0.1 million in LIT related acquisition costs, which were offset by a $0.2 million reduction associated with a change in estimate to accrued acquisition related fees. We expect to incur acquisition costs and other related expenses periodically as we continue to seek acquisition opportunities to expand our capabilities within RF, microwave and embedded processing with a goal to assemble differentiated capabilities across the entire sensor processing chain.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Other income, net decreased $0.3 million during the three months ended December 31, 2015, as compared to the same period in fiscal 2015. Both periods include $0.3 million related to the amortization of the gain on the sale leaseback of our corporate headquarters. These gains were offset by $0.2 million in bank fees during the three months ended December 31, 2015 which were classified as selling, general, and administrative expenses in periods prior to the third quarter of fiscal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recorded an income tax provision of $1.7 million during the three months ended December 31, 2015 as compared to $1.0 million for the same period in the prior fiscal year. Our effective tax rates for the three months ended December 31, 2015 and 2014 differed from the federal statutory tax rate of 35% primarily due to federal research and development credits, domestic manufacturing deduction, stock compensation, and state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completed the sale of our MIS operating segment during the third quarter of fiscal 2015 and have ceased continuing involvement in the operations of MIS after its divestiture. During the three months ended December 31, 2014, we incurred a loss from discontinued operations of $2.6 million, including a $2.3 million goodwill impairment of our MIS reporting unit.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use adjusted EBITDA as the profitability measure for our segment reporting. Adjusted EBITDA for MCE increased $2.4 million during the three months ended December 31, 2015 to $12.9 million as compared to $10.5 million for the comparable period in fiscal 2015. The increase in adjusted EBITDA was driven by higher revenues of $1.2 million primarily from the SEWIP and DEWS programs, coupled with higher margins from a change in product mix.</w:t>
      </w:r>
    </w:p>
    <w:p>
      <w:pPr>
        <w:spacing w:after="0" w:line="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decreased $0.7 million to ($0.4) million during the three months ended December 31, 2015 as compared to $0.3 million for the comparable period in fiscal 2015. The decrease in adjusted EBITDA was primarily driven by a $1.5 million increase in our inventory reserve, partially offset by higher revenues related to an airborne surveillance program.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2015 compared to the six months ended December 31, 2014</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2015</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Revenue</w:t>
            </w:r>
          </w:p>
        </w:tc>
        <w:tc>
          <w:tcPr>
            <w:tcW w:w="1460" w:type="dxa"/>
            <w:vAlign w:val="bottom"/>
            <w:gridSpan w:val="3"/>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118,826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50"/>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24"/>
                <w:szCs w:val="2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4"/>
                <w:szCs w:val="2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MDS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57"/>
        </w:trPr>
        <w:tc>
          <w:tcPr>
            <w:tcW w:w="40" w:type="dxa"/>
            <w:vAlign w:val="bottom"/>
          </w:tcPr>
          <w:p>
            <w:pPr>
              <w:spacing w:after="0"/>
              <w:rPr>
                <w:sz w:val="22"/>
                <w:szCs w:val="22"/>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118,826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111,150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Total revenues increased $7.7 million, or 7%, to $118.8 million during the six months ended December 31, 2015 as compared to the same period in fiscal 2015. This increase was driven by higher defense sales of $12.1 million, partially offset by a $4.4 million decrease in commercial sales. The increase in total revenues is primarily attributed to increases in the P8, Reaper and DEWS programs, and an airborne surveillance program that were partially offset by lower revenues from the Global Hawk and Patriot programs. International revenues, which consist of foreign military sales through prime defense contractor customers and direct sales to non-U.S. based customers, decreased $3.9 million to $21.1 million during the six months ended December 31, 2015, compared to $25.0 million in the same period in the prior fiscal year. The decrease was primarily driven by lower revenues from the Global Hawk program. International revenues represented 18% and 23% of total revenues during the six months ended December 31, 2015 and 2014, respectively.</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$2.7 million, or 3%, during the six months ended December 31, 2015 as compared to the same period in fiscal 2015. This increase was primarily driven by higher defense sales of $7.1 million related to increases in the P8, Reaper and DEWS programs, partially offset by a $4.4 million decrease in commercial sales.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MDS revenues increased $5.8 million, or 57%, during the six months ended December 31, 2015 as compared to the same period in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driven by higher revenues related to an airborne surveillance program.</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47.2% for the six months ended December 31, 2015, as compared to a 45.9% gross margin during the same period in fiscal 2015. The higher gross margin year over year was due to a favorable product mix, primarily driven by stronger revenues in our higher margin digital processing programs and products within MCE.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decreased $0.3 million, or 1%, to $24.7 million during the six months ended December 31, 2015, compared to $25.0 million in the same period in fiscal 2015. The decrease was primarily due to operating leverage. Selling, general and administrative expenses decreased as a percentage of revenues to 20.7% during the six months ended December 31, 2015 from 22.5% during the same period in fiscal 2015. The decrease was due to higher revenues in the first six months of fiscal 2016 coupled with overall expense reductions, as compared to the same period in fiscal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decreased $0.1 million, to $15.8 million during the six months ended December 31, 2015, compared to $15.9 million during the same period in fiscal 2015. The decrease was primarily due to higher customer funded development offset by increased compensation expenses during fiscal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Restructuring and other charges were $0.6 million for the six months ended December 31, 2015, as compared to $2.4 million during the same period in fiscal 2015. The decrease was driven by lower severance and facility costs in the first half of fiscal 2016 as our acquisition integration activities were completed during fiscal 2015. The first half of fiscal 2015 included the second and final phases of the Chelmsford, Massachusetts headquarters consolidation and related severance activities. We will incur nominal, periodic restructuring charges through fiscal 2017 in our MCE reportable segment if we are unable to sublease the unoccupied portion of our headquarters.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L</w:t>
      </w:r>
      <w:r>
        <w:rPr>
          <w:rFonts w:ascii="Arial" w:cs="Arial" w:eastAsia="Arial" w:hAnsi="Arial"/>
          <w:sz w:val="14"/>
          <w:szCs w:val="14"/>
          <w:color w:val="auto"/>
        </w:rPr>
        <w:t>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recorded an impairment charge of $0.2 million during the six months ended December 31, 2015, compared to $0.0 million during the same period in fiscal 2015. Pursuant to the completion of the LIT acquisition, we incurred $231 of impairment expense related to a pre-existing relationship.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2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$2.0 million of acquisition costs and other related expenses during the six months ended December 31, 2015, compared to $0.0 million during the same period in fiscal 2015. We expect to incur acquisition costs and other related expenses periodically as we continue to seek acquisition opportunities to expand our capabilities within RF, microwave, and embedded processing with a goal to assemble differentiated capabilities across the entire sensor processing chain.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income, net decreased $0.2 million during the six months ended December 31, 2015, as compared to the same period in fiscal 2015. Both periods include $0.6 million related to the amortization of the gain on the sale leaseback of our corporate headquarters. These gains were offset by $0.4 million in bank fees during the six months ended December 31, 2015 which were classified as selling, general, and administrative expenses in periods prior to the third quarter of fiscal 2015, and a $0.3 million write off of an escrow receivable in the first quarter of fiscal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recorded an income tax provision of $2.9 million during the six months ended December 31, 2015 as compared to a $1.0 million income tax provision for the same period in fiscal 2015. Our effective tax rates for the six months ended December 31, 2015 and 2014 differed from the federal statutory tax rate of 35% primarily due to federal research and development tax credits, domestic manufacturing deduction, stock compensation, state taxes and the realization of previously unrecognized tax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completed the sale of our MIS operating segment during the third quarter of fiscal 2015 and have ceased continuing involvement in the operations of MIS after its divestiture. During the six months ended December 31, 2014, we incurred a loss from discontinued operations of $2.8 million, including a $2.3 million goodwill impairment of our MIS reporting unit.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$6.5 million during the six months ended December 31, 2015 to $24.3 million as compared to $17.8 million for the same period in fiscal 2015. The increase in adjusted EBITDA is primarily driven by higher revenues of $2.7 million primarily from the P8 and Reaper programs, coupled with higher gross margins from a change in product mix.</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decreased $0.7 million during the six months ended December 31, 2015 to $0.1 million as compared to $0.8 million for the same period in fiscal 2015. The decrease in adjusted EBITDA was primarily due to a $1.5 million increase in our inventory reserve, partially offset by higher revenues related to an airborne surveillance program.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there was $162.7 million of borrowing capacity available under our credit agreement with a syndicate of commercial banks, with Key Bank National Association acting as the administrative agent. The credit agreement provides for borrowing up to a maximum $200.0 million based on the Company's consolidated EBITDA for the trailing four quarters and subject to compliance with the financial covenants in the credit agreement. There were no borrowings outstanding on the credit agreement; however, there were outstanding letters of credit of $5.1 million. We were in compliance with all covenants and conditions under the credit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As Of and For the Six</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17,478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10,406</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81,554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56,987</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cash and cash equivalents increased by $4.0 million from June 30, 2015 to December 31, 2015, primarily as a result of $17.5 million in cash generated from operating activities, partially offset by $9.8 million used for the acquisition of LIT, and $4.1 million in payments for the retirement of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the six months ended December 31, 2015, we generated $17.5 million in cash from operating activities, an increase of $7.1 million when compared to $10.4 million in cash generated from operating activities during the same period in fiscal 2015. During the six months ended December 31, 2015, we generated $6.0 million in higher comparable net income, used $8.0 million less cash for prepaid expenses and other current assets, and generated $2.9 million more cash from the timing of payables as compared to the same period in the prior year. These increases were partially offset by $6.3 million higher inventory purchase, $2.7 million less in non-cash activities and used $1.2 million more in other non-current assets as compared to the same period in fiscal 2015.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six months ended December 31, 2015, we used $13.1 million in investing activities compared to $2.1 million during the same period in fiscal 2015. The increase was primarily driven by $9.8 million used for the acquisition of LIT and $1.0 million higher capital expenditures in fiscal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December 31, 2015, we used $0.5 million in financing activities compared to $1.5 million generated from financing activities during the same period in fiscal 2015. The $2.0 million increase in cash used in financing activities was primarily due to $4.1 million for the retirement of common stock, partially offset by a $1.0 million increase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proceeds from our employee stock plan and a $0.8 million increase in excess tax benefits from stock-based compensation during the six months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7"/>
          <w:szCs w:val="17"/>
          <w:color w:val="auto"/>
        </w:rPr>
        <w:t>We have a liability at December 31, 2015 of $2.3 million for uncertain tax positions that have been taken or are expected to be taken in various income tax returns. It is reasonably possible that within the next 12 months this liability, exclusive of interest, may decrease by up to $0.8 million upon the conclusion of the Internal Revenue Service audit of fiscal year 2013. We do not know the ultimate resolution on these uncertain tax positions and as such, do not know the ultimate timing of payments related to this liability. Accordingly, these amounts are not included in the above table.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$24.2 million at December 31, 2015.</w:t>
      </w:r>
    </w:p>
    <w:p>
      <w:pPr>
        <w:spacing w:after="0" w:line="12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January 26, 2016, we received cash of $0.2 million based on the lapse of the indemnity escrow period associated with the sale of our former MIS operating segment in January of 2015. We provided indemnification to the buyer of the MIS business, generally covering pre-closing tax liabilities of the business and buyer damages resulting from breaches of representations, warranties and covenants contained in the purchase and sale agreement. Our indemnification obligations regarding the MIS operating segment are generally subject to caps. No claims were made against the escrow.</w:t>
      </w:r>
    </w:p>
    <w:p>
      <w:pPr>
        <w:spacing w:after="0" w:line="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our statement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31, 2015, we had approximately $11.5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continue to conclude that it is more likely than not that most domestic deferred tax assets would be realizable based on current financial performance, projected future taxable income and the reversal of existing deferred tax liabilities.</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continue to record a full valuation allowance on certain state research and development and investment tax credits, and capital loss carryforwards as of December 31, 2015 as management continues to believe that it is not more likely than not that these deferred tax assets would be realized. Any future reversals of the valuation allowance will impact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four important measures that are not calculated according to U.S. generally accepted accounting principles (“GAAP”), adjusted EBITDA, free cash flow, adjusted income from continuing operations, and adjusted earnings per share ("adjusted EPS").</w:t>
      </w:r>
    </w:p>
    <w:p>
      <w:pPr>
        <w:spacing w:after="0" w:line="3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Adjusted EBITDA, the profitability measure for our segment reporting,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We use adjusted EBITDA as an important indicator of the operating performance of our business. We exclude the above-described items from our internal forecasts and models when establishing internal operating budgets, supplementing the financial results and forecasts reported to our board of directors, determining the portion of bonus compensation for executive officers and other key employees based on operating performance, evaluating short-term and long-term operating trends in our operations, and allocating resources to various initiatives and operational requirements. We believe the adjusted EBITDA financial measure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are valuable indicators of our operating performance.</w:t>
      </w:r>
    </w:p>
    <w:p>
      <w:pPr>
        <w:spacing w:after="0" w:line="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our income from continuing operations, the most directly comparable GAAP financial measure, to our adjusted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1"/>
              <w:spacing w:after="0"/>
              <w:rPr>
                <w:sz w:val="20"/>
                <w:szCs w:val="20"/>
                <w:color w:val="auto"/>
              </w:rPr>
            </w:pPr>
            <w:r>
              <w:rPr>
                <w:rFonts w:ascii="Arial" w:cs="Arial" w:eastAsia="Arial" w:hAnsi="Arial"/>
                <w:sz w:val="14"/>
                <w:szCs w:val="14"/>
                <w:b w:val="1"/>
                <w:bCs w:val="1"/>
                <w:color w:val="auto"/>
                <w:w w:val="96"/>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4,807</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12,579</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24,420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Free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5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23" w:right="239" w:bottom="1440" w:gutter="0" w:footer="0" w:header="0"/>
        </w:sectPr>
      </w:pPr>
    </w:p>
    <w:bookmarkStart w:id="26" w:name="page27"/>
    <w:bookmarkEnd w:id="26"/>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11,865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10,576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Adjusted income from continuing operations and adjusted EPS exclude the impact of certain items and, therefore, have not been calculated in accordance with GAAP. We believe that exclusion of these items assists in providing a more complete understanding of our underlying continuing operations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from continuing operations as income from continuing operations before amortization of intangible assets, restructuring and other charges, impairment of long-lived assets, acquisition and financing costs, fair value adjustments from purchase accounting, litigation and settlement expenses, stock-based compensation expense, and the tax impact of those items. Adjusted EPS expresses adjusted income from continuing operations on a per share basis using weighted average diluted shares outstanding.</w:t>
      </w:r>
    </w:p>
    <w:p>
      <w:pPr>
        <w:spacing w:after="0" w:line="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income from continuing operations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from continuing operations and adjusted EPS financial adjustments described above, and investors should not infer from our presentation of these non-GAAP financial measures that these costs are unusual, infrequent or non-recurring.</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reconciles income from continuing operations and diluted net earnings per share, the most directly comparable GAAP measures, to adjusted income from continuing operations and adjusted EPS: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and earnings per share</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and financing costs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Impact to income taxes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89"/>
              </w:rPr>
              <w:t>Adjusted income from continuing operations and adjusted earnings per share</w:t>
            </w:r>
          </w:p>
        </w:tc>
        <w:tc>
          <w:tcPr>
            <w:tcW w:w="13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80" w:type="dxa"/>
            <w:vAlign w:val="bottom"/>
            <w:vMerge w:val="restart"/>
          </w:tcPr>
          <w:p>
            <w:pPr>
              <w:jc w:val="right"/>
              <w:ind w:right="1090"/>
              <w:spacing w:after="0"/>
              <w:rPr>
                <w:sz w:val="20"/>
                <w:szCs w:val="20"/>
                <w:color w:val="auto"/>
              </w:rPr>
            </w:pPr>
            <w:r>
              <w:rPr>
                <w:rFonts w:ascii="Arial" w:cs="Arial" w:eastAsia="Arial" w:hAnsi="Arial"/>
                <w:sz w:val="18"/>
                <w:szCs w:val="18"/>
                <w:color w:val="auto"/>
                <w:w w:val="89"/>
              </w:rPr>
              <w:t>27</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6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 and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0.20</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r>
      <w:tr>
        <w:trPr>
          <w:trHeight w:val="243"/>
        </w:trPr>
        <w:tc>
          <w:tcPr>
            <w:tcW w:w="20" w:type="dxa"/>
            <w:vAlign w:val="bottom"/>
          </w:tcPr>
          <w:p>
            <w:pPr>
              <w:spacing w:after="0"/>
              <w:rPr>
                <w:sz w:val="21"/>
                <w:szCs w:val="21"/>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Restructuring and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Fair value adjustments from purchase accounting</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Impact to income taxes</w:t>
            </w:r>
          </w:p>
        </w:tc>
        <w:tc>
          <w:tcPr>
            <w:tcW w:w="4640" w:type="dxa"/>
            <w:vAlign w:val="bottom"/>
            <w:tcBorders>
              <w:bottom w:val="single" w:sz="8" w:color="CCEEFF"/>
            </w:tcBorders>
            <w:gridSpan w:val="2"/>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(3,615)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Adjusted income from continuing operations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10,749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0.33</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33,819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32,720</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Simplifying Income Statement Presentation by Eliminating the Concept of Extraordinary Items,</w:t>
      </w:r>
      <w:r>
        <w:rPr>
          <w:rFonts w:ascii="Arial" w:cs="Arial" w:eastAsia="Arial" w:hAnsi="Arial"/>
          <w:sz w:val="17"/>
          <w:szCs w:val="17"/>
          <w:color w:val="auto"/>
        </w:rPr>
        <w:t xml:space="preserve">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fiscal years, and interim periods within those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September 2015, the FASB issued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an amendment of the FASB Accounting Standards Codification. This ASU eliminates the requirement for an acquirer to retrospectively adjust the financial statements for measurement-period adjustments that occur in periods after a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26" w:right="239" w:bottom="1440" w:gutter="0" w:footer="0" w:header="0"/>
        </w:sectPr>
      </w:pPr>
    </w:p>
    <w:bookmarkStart w:id="28" w:name="page29"/>
    <w:bookmarkEnd w:id="28"/>
    <w:p>
      <w:pPr>
        <w:jc w:val="both"/>
        <w:spacing w:after="0" w:line="308" w:lineRule="auto"/>
        <w:rPr>
          <w:sz w:val="20"/>
          <w:szCs w:val="20"/>
          <w:color w:val="auto"/>
        </w:rPr>
      </w:pPr>
      <w:r>
        <w:rPr>
          <w:rFonts w:ascii="Arial" w:cs="Arial" w:eastAsia="Arial" w:hAnsi="Arial"/>
          <w:sz w:val="17"/>
          <w:szCs w:val="17"/>
          <w:color w:val="auto"/>
        </w:rPr>
        <w:t>combination is consummated. The ASU is effective for public business entities for annual and interim periods in fiscal years beginning after December 15, 2015. Early adoption is permitted. We do not expect this guidance to have a material impact to our consolidated financial statements.</w:t>
      </w:r>
    </w:p>
    <w:p>
      <w:pPr>
        <w:spacing w:after="0" w:line="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an amendment of the FASB Accounting Standards Codification. This ASU simplifies the presentation of deferred taxes by requiring deferred tax assets and liabilities be classified as non-current on the balance sheet. The ASU is effective for us on July 1, 2016 and can be early adopted as of the beginning of an interim or annual reporting period. The ASU allows prospective or retrospective applications. We intend to early adopt the ASU in the period beginning January 1, 2016, and do not expect this guidance to have a material impact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October 1, 2015, we adopted FASB ASU No. 2014-17,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Such adoption did not have any impact to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2015 to December 31, 2015.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2015.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December 31, 2015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2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2015. There have been no material changes from the factors disclosed in our 2015 Annual Report on Form 10-K filed on August 13, 2015,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2015</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4, 2016.</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240" w:top="580" w:right="9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2016</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2016</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December 31, 2015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2016</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1."/>
      <w:numFmt w:val="upperLetter"/>
      <w:start w:val="2"/>
    </w:lvl>
  </w:abstractNum>
  <w:abstractNum w:abstractNumId="4">
    <w:nsid w:val="109CF92E"/>
    <w:multiLevelType w:val="hybridMultilevel"/>
    <w:lvl w:ilvl="0">
      <w:lvlJc w:val="left"/>
      <w:lvlText w:val="%1."/>
      <w:numFmt w:val="upperLetter"/>
      <w:start w:val="3"/>
    </w:lvl>
  </w:abstractNum>
  <w:abstractNum w:abstractNumId="5">
    <w:nsid w:val="DED7263"/>
    <w:multiLevelType w:val="hybridMultilevel"/>
    <w:lvl w:ilvl="0">
      <w:lvlJc w:val="left"/>
      <w:lvlText w:val="%1."/>
      <w:numFmt w:val="upperLetter"/>
      <w:start w:val="4"/>
    </w:lvl>
  </w:abstractNum>
  <w:abstractNum w:abstractNumId="6">
    <w:nsid w:val="7FDCC233"/>
    <w:multiLevelType w:val="hybridMultilevel"/>
    <w:lvl w:ilvl="0">
      <w:lvlJc w:val="left"/>
      <w:lvlText w:val="%1."/>
      <w:numFmt w:val="upperLetter"/>
      <w:start w:val="5"/>
    </w:lvl>
  </w:abstractNum>
  <w:abstractNum w:abstractNumId="7">
    <w:nsid w:val="1BEFD79F"/>
    <w:multiLevelType w:val="hybridMultilevel"/>
    <w:lvl w:ilvl="0">
      <w:lvlJc w:val="left"/>
      <w:lvlText w:val="%1."/>
      <w:numFmt w:val="upperLetter"/>
      <w:start w:val="6"/>
    </w:lvl>
  </w:abstractNum>
  <w:abstractNum w:abstractNumId="8">
    <w:nsid w:val="41A7C4C9"/>
    <w:multiLevelType w:val="hybridMultilevel"/>
    <w:lvl w:ilvl="0">
      <w:lvlJc w:val="left"/>
      <w:lvlText w:val="%1."/>
      <w:numFmt w:val="upperLetter"/>
      <w:start w:val="7"/>
    </w:lvl>
  </w:abstractNum>
  <w:abstractNum w:abstractNumId="9">
    <w:nsid w:val="6B68079A"/>
    <w:multiLevelType w:val="hybridMultilevel"/>
    <w:lvl w:ilvl="0">
      <w:lvlJc w:val="left"/>
      <w:lvlText w:val="%1."/>
      <w:numFmt w:val="upperLetter"/>
      <w:start w:val="8"/>
    </w:lvl>
  </w:abstractNum>
  <w:abstractNum w:abstractNumId="10">
    <w:nsid w:val="4E6AFB66"/>
    <w:multiLevelType w:val="hybridMultilevel"/>
    <w:lvl w:ilvl="0">
      <w:lvlJc w:val="left"/>
      <w:lvlText w:val="%1."/>
      <w:numFmt w:val="upperLetter"/>
      <w:start w:val="9"/>
    </w:lvl>
  </w:abstractNum>
  <w:abstractNum w:abstractNumId="11">
    <w:nsid w:val="25E45D32"/>
    <w:multiLevelType w:val="hybridMultilevel"/>
    <w:lvl w:ilvl="0">
      <w:lvlJc w:val="left"/>
      <w:lvlText w:val="%1."/>
      <w:numFmt w:val="upperLetter"/>
      <w:start w:val="10"/>
    </w:lvl>
  </w:abstractNum>
  <w:abstractNum w:abstractNumId="12">
    <w:nsid w:val="519B500D"/>
    <w:multiLevelType w:val="hybridMultilevel"/>
    <w:lvl w:ilvl="0">
      <w:lvlJc w:val="left"/>
      <w:lvlText w:val="%1."/>
      <w:numFmt w:val="upperLetter"/>
      <w:start w:val="11"/>
    </w:lvl>
  </w:abstractNum>
  <w:abstractNum w:abstractNumId="13">
    <w:nsid w:val="431BD7B7"/>
    <w:multiLevelType w:val="hybridMultilevel"/>
    <w:lvl w:ilvl="0">
      <w:lvlJc w:val="left"/>
      <w:lvlText w:val="%1."/>
      <w:numFmt w:val="upperLetter"/>
      <w:start w:val="12"/>
    </w:lvl>
  </w:abstractNum>
  <w:abstractNum w:abstractNumId="14">
    <w:nsid w:val="3F2DBA31"/>
    <w:multiLevelType w:val="hybridMultilevel"/>
    <w:lvl w:ilvl="0">
      <w:lvlJc w:val="left"/>
      <w:lvlText w:val="•"/>
      <w:numFmt w:val="bullet"/>
      <w:start w:val="1"/>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upperLetter"/>
      <w:start w:val="13"/>
    </w:lvl>
  </w:abstractNum>
  <w:abstractNum w:abstractNumId="17">
    <w:nsid w:val="62BBD95A"/>
    <w:multiLevelType w:val="hybridMultilevel"/>
    <w:lvl w:ilvl="0">
      <w:lvlJc w:val="left"/>
      <w:lvlText w:val="%1."/>
      <w:numFmt w:val="upperLetter"/>
      <w:start w:val="14"/>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2019-12-29T13:10:16Z</dcterms:created>
  <dcterms:modified xsi:type="dcterms:W3CDTF">2019-12-29T13:10:16Z</dcterms:modified>
</cp:coreProperties>
</file>