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-199390</wp:posOffset>
            </wp:positionV>
            <wp:extent cx="1646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323215</wp:posOffset>
            </wp:positionV>
            <wp:extent cx="1646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720" w:right="880" w:hanging="685"/>
        <w:spacing w:after="0" w:line="278" w:lineRule="auto"/>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JUNE 30, 2015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860" w:hanging="670"/>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32" w:lineRule="exact"/>
        <w:rPr>
          <w:sz w:val="24"/>
          <w:szCs w:val="24"/>
          <w:color w:val="auto"/>
        </w:rPr>
      </w:pPr>
    </w:p>
    <w:p>
      <w:pPr>
        <w:ind w:left="860"/>
        <w:spacing w:after="0"/>
        <w:tabs>
          <w:tab w:leader="none" w:pos="2900" w:val="left"/>
          <w:tab w:leader="none" w:pos="398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0-23599</w:t>
      </w:r>
    </w:p>
    <w:p>
      <w:pPr>
        <w:spacing w:after="0" w:line="270" w:lineRule="exact"/>
        <w:rPr>
          <w:sz w:val="24"/>
          <w:szCs w:val="24"/>
          <w:color w:val="auto"/>
        </w:rPr>
      </w:pPr>
    </w:p>
    <w:tbl>
      <w:tblPr>
        <w:tblLayout w:type="fixed"/>
        <w:tblInd w:w="340" w:type="dxa"/>
        <w:tblCellMar>
          <w:top w:w="0" w:type="dxa"/>
          <w:left w:w="0" w:type="dxa"/>
          <w:bottom w:w="0" w:type="dxa"/>
          <w:right w:w="0" w:type="dxa"/>
        </w:tblCellMar>
      </w:tblPr>
      <w:tr>
        <w:trPr>
          <w:trHeight w:val="25"/>
        </w:trPr>
        <w:tc>
          <w:tcPr>
            <w:tcW w:w="4080" w:type="dxa"/>
            <w:vAlign w:val="bottom"/>
            <w:gridSpan w:val="2"/>
          </w:tcPr>
          <w:p>
            <w:pPr>
              <w:spacing w:after="0"/>
              <w:rPr>
                <w:sz w:val="2"/>
                <w:szCs w:val="2"/>
                <w:color w:val="auto"/>
              </w:rPr>
            </w:pPr>
          </w:p>
        </w:tc>
        <w:tc>
          <w:tcPr>
            <w:tcW w:w="2620" w:type="dxa"/>
            <w:vAlign w:val="bottom"/>
            <w:tcBorders>
              <w:right w:val="single" w:sz="8" w:color="auto"/>
            </w:tcBorders>
            <w:shd w:val="clear" w:color="auto" w:fill="000000"/>
          </w:tcPr>
          <w:p>
            <w:pPr>
              <w:spacing w:after="0"/>
              <w:rPr>
                <w:sz w:val="2"/>
                <w:szCs w:val="2"/>
                <w:color w:val="auto"/>
              </w:rPr>
            </w:pPr>
          </w:p>
        </w:tc>
        <w:tc>
          <w:tcPr>
            <w:tcW w:w="1680" w:type="dxa"/>
            <w:vAlign w:val="bottom"/>
            <w:vMerge w:val="restart"/>
          </w:tcPr>
          <w:p>
            <w:pPr>
              <w:spacing w:after="0"/>
              <w:rPr>
                <w:sz w:val="20"/>
                <w:szCs w:val="20"/>
                <w:color w:val="auto"/>
              </w:rPr>
            </w:pPr>
            <w:r>
              <w:rPr>
                <w:rFonts w:ascii="Arial" w:cs="Arial" w:eastAsia="Arial" w:hAnsi="Arial"/>
                <w:sz w:val="29"/>
                <w:szCs w:val="29"/>
                <w:b w:val="1"/>
                <w:bCs w:val="1"/>
                <w:color w:val="auto"/>
              </w:rPr>
              <w:t>INC.</w:t>
            </w: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6700" w:type="dxa"/>
            <w:vAlign w:val="bottom"/>
            <w:gridSpan w:val="3"/>
          </w:tcPr>
          <w:p>
            <w:pPr>
              <w:ind w:left="3540"/>
              <w:spacing w:after="0" w:line="308" w:lineRule="exact"/>
              <w:rPr>
                <w:sz w:val="20"/>
                <w:szCs w:val="20"/>
                <w:color w:val="auto"/>
              </w:rPr>
            </w:pPr>
            <w:r>
              <w:rPr>
                <w:rFonts w:ascii="Arial" w:cs="Arial" w:eastAsia="Arial" w:hAnsi="Arial"/>
                <w:sz w:val="29"/>
                <w:szCs w:val="29"/>
                <w:b w:val="1"/>
                <w:bCs w:val="1"/>
                <w:color w:val="auto"/>
              </w:rPr>
              <w:t>MERCURY SYSTEMS,</w:t>
            </w:r>
          </w:p>
        </w:tc>
        <w:tc>
          <w:tcPr>
            <w:tcW w:w="16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380" w:type="dxa"/>
            <w:vAlign w:val="bottom"/>
            <w:gridSpan w:val="4"/>
          </w:tcPr>
          <w:p>
            <w:pPr>
              <w:jc w:val="center"/>
              <w:ind w:left="227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20" w:type="dxa"/>
            <w:vAlign w:val="bottom"/>
            <w:tcBorders>
              <w:bottom w:val="single" w:sz="8" w:color="auto"/>
            </w:tcBorders>
          </w:tcPr>
          <w:p>
            <w:pPr>
              <w:spacing w:after="0"/>
              <w:rPr>
                <w:sz w:val="22"/>
                <w:szCs w:val="22"/>
                <w:color w:val="auto"/>
              </w:rPr>
            </w:pPr>
          </w:p>
        </w:tc>
        <w:tc>
          <w:tcPr>
            <w:tcW w:w="1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3820" w:type="dxa"/>
            <w:vAlign w:val="bottom"/>
          </w:tcPr>
          <w:p>
            <w:pPr>
              <w:jc w:val="center"/>
              <w:ind w:left="978"/>
              <w:spacing w:after="0"/>
              <w:rPr>
                <w:sz w:val="20"/>
                <w:szCs w:val="20"/>
                <w:color w:val="auto"/>
              </w:rPr>
            </w:pPr>
            <w:r>
              <w:rPr>
                <w:rFonts w:ascii="Arial" w:cs="Arial" w:eastAsia="Arial" w:hAnsi="Arial"/>
                <w:sz w:val="16"/>
                <w:szCs w:val="16"/>
                <w:b w:val="1"/>
                <w:bCs w:val="1"/>
                <w:color w:val="auto"/>
                <w:w w:val="99"/>
              </w:rPr>
              <w:t>MASSACHUSETTS</w:t>
            </w:r>
          </w:p>
        </w:tc>
        <w:tc>
          <w:tcPr>
            <w:tcW w:w="4560" w:type="dxa"/>
            <w:vAlign w:val="bottom"/>
            <w:gridSpan w:val="3"/>
          </w:tcPr>
          <w:p>
            <w:pPr>
              <w:jc w:val="right"/>
              <w:spacing w:after="0"/>
              <w:rPr>
                <w:sz w:val="20"/>
                <w:szCs w:val="20"/>
                <w:color w:val="auto"/>
              </w:rPr>
            </w:pPr>
            <w:r>
              <w:rPr>
                <w:rFonts w:ascii="Arial" w:cs="Arial" w:eastAsia="Arial" w:hAnsi="Arial"/>
                <w:sz w:val="16"/>
                <w:szCs w:val="16"/>
                <w:b w:val="1"/>
                <w:bCs w:val="1"/>
                <w:color w:val="auto"/>
              </w:rPr>
              <w:t>04-2741391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jc w:val="center"/>
              <w:ind w:left="978"/>
              <w:spacing w:after="0"/>
              <w:rPr>
                <w:sz w:val="20"/>
                <w:szCs w:val="20"/>
                <w:color w:val="auto"/>
              </w:rPr>
            </w:pPr>
            <w:r>
              <w:rPr>
                <w:rFonts w:ascii="Arial" w:cs="Arial" w:eastAsia="Arial" w:hAnsi="Arial"/>
                <w:sz w:val="14"/>
                <w:szCs w:val="14"/>
                <w:b w:val="1"/>
                <w:bCs w:val="1"/>
                <w:color w:val="auto"/>
                <w:w w:val="93"/>
              </w:rPr>
              <w:t>(State or other jurisdiction of</w:t>
            </w:r>
          </w:p>
        </w:tc>
        <w:tc>
          <w:tcPr>
            <w:tcW w:w="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70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20" w:type="dxa"/>
            <w:vAlign w:val="bottom"/>
          </w:tcPr>
          <w:p>
            <w:pPr>
              <w:jc w:val="center"/>
              <w:ind w:left="978"/>
              <w:spacing w:after="0"/>
              <w:rPr>
                <w:sz w:val="20"/>
                <w:szCs w:val="20"/>
                <w:color w:val="auto"/>
              </w:rPr>
            </w:pPr>
            <w:r>
              <w:rPr>
                <w:rFonts w:ascii="Arial" w:cs="Arial" w:eastAsia="Arial" w:hAnsi="Arial"/>
                <w:sz w:val="14"/>
                <w:szCs w:val="14"/>
                <w:b w:val="1"/>
                <w:bCs w:val="1"/>
                <w:color w:val="auto"/>
                <w:w w:val="94"/>
              </w:rPr>
              <w:t>incorporation or organization)</w:t>
            </w:r>
          </w:p>
        </w:tc>
        <w:tc>
          <w:tcPr>
            <w:tcW w:w="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70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63"/>
        </w:trPr>
        <w:tc>
          <w:tcPr>
            <w:tcW w:w="3820" w:type="dxa"/>
            <w:vAlign w:val="bottom"/>
          </w:tcPr>
          <w:p>
            <w:pPr>
              <w:jc w:val="center"/>
              <w:ind w:left="978"/>
              <w:spacing w:after="0"/>
              <w:rPr>
                <w:sz w:val="20"/>
                <w:szCs w:val="20"/>
                <w:color w:val="auto"/>
              </w:rPr>
            </w:pPr>
            <w:r>
              <w:rPr>
                <w:rFonts w:ascii="Arial" w:cs="Arial" w:eastAsia="Arial" w:hAnsi="Arial"/>
                <w:sz w:val="16"/>
                <w:szCs w:val="16"/>
                <w:b w:val="1"/>
                <w:bCs w:val="1"/>
                <w:color w:val="auto"/>
              </w:rPr>
              <w:t>201 RIVERNECK ROAD</w:t>
            </w:r>
          </w:p>
        </w:tc>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tcPr>
          <w:p>
            <w:pPr>
              <w:jc w:val="center"/>
              <w:ind w:left="978"/>
              <w:spacing w:after="0"/>
              <w:rPr>
                <w:sz w:val="20"/>
                <w:szCs w:val="20"/>
                <w:color w:val="auto"/>
              </w:rPr>
            </w:pPr>
            <w:r>
              <w:rPr>
                <w:rFonts w:ascii="Arial" w:cs="Arial" w:eastAsia="Arial" w:hAnsi="Arial"/>
                <w:sz w:val="16"/>
                <w:szCs w:val="16"/>
                <w:b w:val="1"/>
                <w:bCs w:val="1"/>
                <w:color w:val="auto"/>
              </w:rPr>
              <w:t>CHELMSFORD, MA</w:t>
            </w:r>
          </w:p>
        </w:tc>
        <w:tc>
          <w:tcPr>
            <w:tcW w:w="4560" w:type="dxa"/>
            <w:vAlign w:val="bottom"/>
            <w:gridSpan w:val="3"/>
          </w:tcPr>
          <w:p>
            <w:pPr>
              <w:jc w:val="right"/>
              <w:ind w:right="92"/>
              <w:spacing w:after="0"/>
              <w:rPr>
                <w:sz w:val="20"/>
                <w:szCs w:val="20"/>
                <w:color w:val="auto"/>
              </w:rPr>
            </w:pPr>
            <w:r>
              <w:rPr>
                <w:rFonts w:ascii="Arial" w:cs="Arial" w:eastAsia="Arial" w:hAnsi="Arial"/>
                <w:sz w:val="16"/>
                <w:szCs w:val="16"/>
                <w:b w:val="1"/>
                <w:bCs w:val="1"/>
                <w:color w:val="auto"/>
              </w:rPr>
              <w:t>01824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20" w:type="dxa"/>
            <w:vAlign w:val="bottom"/>
          </w:tcPr>
          <w:p>
            <w:pPr>
              <w:jc w:val="center"/>
              <w:ind w:left="9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80" w:type="dxa"/>
            <w:vAlign w:val="bottom"/>
            <w:gridSpan w:val="2"/>
            <w:vMerge w:val="restart"/>
          </w:tcPr>
          <w:p>
            <w:pPr>
              <w:jc w:val="center"/>
              <w:ind w:left="159"/>
              <w:spacing w:after="0"/>
              <w:rPr>
                <w:sz w:val="20"/>
                <w:szCs w:val="20"/>
                <w:color w:val="auto"/>
              </w:rPr>
            </w:pPr>
            <w:r>
              <w:rPr>
                <w:rFonts w:ascii="Arial" w:cs="Arial" w:eastAsia="Arial" w:hAnsi="Arial"/>
                <w:sz w:val="16"/>
                <w:szCs w:val="16"/>
                <w:b w:val="1"/>
                <w:bCs w:val="1"/>
                <w:color w:val="auto"/>
                <w:w w:val="92"/>
              </w:rPr>
              <w:t>978-256-1300</w:t>
            </w:r>
          </w:p>
        </w:tc>
        <w:tc>
          <w:tcPr>
            <w:tcW w:w="1680" w:type="dxa"/>
            <w:vAlign w:val="bottom"/>
          </w:tcPr>
          <w:p>
            <w:pPr>
              <w:jc w:val="center"/>
              <w:ind w:left="812"/>
              <w:spacing w:after="0"/>
              <w:rPr>
                <w:sz w:val="20"/>
                <w:szCs w:val="20"/>
                <w:color w:val="auto"/>
              </w:rPr>
            </w:pPr>
            <w:r>
              <w:rPr>
                <w:rFonts w:ascii="Arial" w:cs="Arial" w:eastAsia="Arial" w:hAnsi="Arial"/>
                <w:sz w:val="14"/>
                <w:szCs w:val="14"/>
                <w:b w:val="1"/>
                <w:bCs w:val="1"/>
                <w:color w:val="auto"/>
                <w:w w:val="95"/>
              </w:rPr>
              <w:t>(Zip Code)</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20" w:type="dxa"/>
            <w:vAlign w:val="bottom"/>
          </w:tcPr>
          <w:p>
            <w:pPr>
              <w:spacing w:after="0"/>
              <w:rPr>
                <w:sz w:val="15"/>
                <w:szCs w:val="15"/>
                <w:color w:val="auto"/>
              </w:rPr>
            </w:pPr>
          </w:p>
        </w:tc>
        <w:tc>
          <w:tcPr>
            <w:tcW w:w="288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380" w:type="dxa"/>
            <w:vAlign w:val="bottom"/>
            <w:gridSpan w:val="4"/>
          </w:tcPr>
          <w:p>
            <w:pPr>
              <w:jc w:val="center"/>
              <w:ind w:left="22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80" w:type="dxa"/>
            <w:vAlign w:val="bottom"/>
            <w:gridSpan w:val="2"/>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6"/>
        </w:trPr>
        <w:tc>
          <w:tcPr>
            <w:tcW w:w="8380" w:type="dxa"/>
            <w:vAlign w:val="bottom"/>
            <w:gridSpan w:val="4"/>
          </w:tcPr>
          <w:p>
            <w:pPr>
              <w:jc w:val="center"/>
              <w:ind w:left="2278"/>
              <w:spacing w:after="0"/>
              <w:rPr>
                <w:sz w:val="20"/>
                <w:szCs w:val="20"/>
                <w:color w:val="auto"/>
              </w:rPr>
            </w:pPr>
            <w:r>
              <w:rPr>
                <w:rFonts w:ascii="Arial" w:cs="Arial" w:eastAsia="Arial" w:hAnsi="Arial"/>
                <w:sz w:val="16"/>
                <w:szCs w:val="16"/>
                <w:b w:val="1"/>
                <w:bCs w:val="1"/>
                <w:color w:val="auto"/>
              </w:rPr>
              <w:t>SECURITIES REGISTERED PURSUANT TO SECTION 12(b) OF THE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4560" w:type="dxa"/>
            <w:vAlign w:val="bottom"/>
            <w:gridSpan w:val="3"/>
          </w:tcPr>
          <w:p>
            <w:pPr>
              <w:jc w:val="center"/>
              <w:ind w:right="1372"/>
              <w:spacing w:after="0"/>
              <w:rPr>
                <w:sz w:val="20"/>
                <w:szCs w:val="20"/>
                <w:color w:val="auto"/>
              </w:rPr>
            </w:pPr>
            <w:r>
              <w:rPr>
                <w:rFonts w:ascii="Arial" w:cs="Arial" w:eastAsia="Arial" w:hAnsi="Arial"/>
                <w:sz w:val="16"/>
                <w:szCs w:val="16"/>
                <w:b w:val="1"/>
                <w:bCs w:val="1"/>
                <w:color w:val="auto"/>
              </w:rPr>
              <w:t>SECURITIES EXCHANGE ACT OF 1934: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3820" w:type="dxa"/>
            <w:vAlign w:val="bottom"/>
          </w:tcPr>
          <w:p>
            <w:pPr>
              <w:jc w:val="center"/>
              <w:ind w:left="978"/>
              <w:spacing w:after="0"/>
              <w:rPr>
                <w:sz w:val="20"/>
                <w:szCs w:val="20"/>
                <w:color w:val="auto"/>
              </w:rPr>
            </w:pPr>
            <w:r>
              <w:rPr>
                <w:rFonts w:ascii="Arial" w:cs="Arial" w:eastAsia="Arial" w:hAnsi="Arial"/>
                <w:sz w:val="14"/>
                <w:szCs w:val="14"/>
                <w:b w:val="1"/>
                <w:bCs w:val="1"/>
                <w:color w:val="auto"/>
                <w:w w:val="93"/>
              </w:rPr>
              <w:t>Title of Each Class</w:t>
            </w:r>
          </w:p>
        </w:tc>
        <w:tc>
          <w:tcPr>
            <w:tcW w:w="260" w:type="dxa"/>
            <w:vAlign w:val="bottom"/>
          </w:tcPr>
          <w:p>
            <w:pPr>
              <w:spacing w:after="0"/>
              <w:rPr>
                <w:sz w:val="24"/>
                <w:szCs w:val="24"/>
                <w:color w:val="auto"/>
              </w:rPr>
            </w:pPr>
          </w:p>
        </w:tc>
        <w:tc>
          <w:tcPr>
            <w:tcW w:w="5320" w:type="dxa"/>
            <w:vAlign w:val="bottom"/>
            <w:gridSpan w:val="3"/>
          </w:tcPr>
          <w:p>
            <w:pPr>
              <w:jc w:val="center"/>
              <w:ind w:left="24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36"/>
        </w:trPr>
        <w:tc>
          <w:tcPr>
            <w:tcW w:w="3820" w:type="dxa"/>
            <w:vAlign w:val="bottom"/>
          </w:tcPr>
          <w:p>
            <w:pPr>
              <w:jc w:val="center"/>
              <w:ind w:left="978"/>
              <w:spacing w:after="0"/>
              <w:rPr>
                <w:sz w:val="20"/>
                <w:szCs w:val="20"/>
                <w:color w:val="auto"/>
              </w:rPr>
            </w:pPr>
            <w:r>
              <w:rPr>
                <w:rFonts w:ascii="Arial" w:cs="Arial" w:eastAsia="Arial" w:hAnsi="Arial"/>
                <w:sz w:val="16"/>
                <w:szCs w:val="16"/>
                <w:color w:val="auto"/>
                <w:w w:val="90"/>
              </w:rPr>
              <w:t>Common Stock, Par Value $.01 Per Share</w:t>
            </w: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700" w:type="dxa"/>
            <w:vAlign w:val="bottom"/>
            <w:gridSpan w:val="2"/>
          </w:tcPr>
          <w:p>
            <w:pPr>
              <w:jc w:val="center"/>
              <w:ind w:right="39"/>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r>
        <w:trPr>
          <w:trHeight w:val="411"/>
        </w:trPr>
        <w:tc>
          <w:tcPr>
            <w:tcW w:w="8380" w:type="dxa"/>
            <w:vAlign w:val="bottom"/>
            <w:gridSpan w:val="4"/>
          </w:tcPr>
          <w:p>
            <w:pPr>
              <w:jc w:val="center"/>
              <w:ind w:left="2278"/>
              <w:spacing w:after="0"/>
              <w:rPr>
                <w:sz w:val="20"/>
                <w:szCs w:val="20"/>
                <w:color w:val="auto"/>
              </w:rPr>
            </w:pPr>
            <w:r>
              <w:rPr>
                <w:rFonts w:ascii="Arial" w:cs="Arial" w:eastAsia="Arial" w:hAnsi="Arial"/>
                <w:sz w:val="16"/>
                <w:szCs w:val="16"/>
                <w:b w:val="1"/>
                <w:bCs w:val="1"/>
                <w:color w:val="auto"/>
              </w:rPr>
              <w:t>SECURITIES REGISTERED PURSUANT TO SECTION 12(g) OF THE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80" w:type="dxa"/>
            <w:vAlign w:val="bottom"/>
            <w:gridSpan w:val="4"/>
          </w:tcPr>
          <w:p>
            <w:pPr>
              <w:jc w:val="center"/>
              <w:ind w:left="2278"/>
              <w:spacing w:after="0"/>
              <w:rPr>
                <w:sz w:val="20"/>
                <w:szCs w:val="20"/>
                <w:color w:val="auto"/>
              </w:rPr>
            </w:pPr>
            <w:r>
              <w:rPr>
                <w:rFonts w:ascii="Arial" w:cs="Arial" w:eastAsia="Arial" w:hAnsi="Arial"/>
                <w:sz w:val="16"/>
                <w:szCs w:val="16"/>
                <w:b w:val="1"/>
                <w:bCs w:val="1"/>
                <w:color w:val="auto"/>
              </w:rPr>
              <w:t>SECURITIES EXCHANGE ACT OF 1934: NONE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080" w:type="dxa"/>
            <w:vAlign w:val="bottom"/>
            <w:gridSpan w:val="2"/>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8380" w:type="dxa"/>
            <w:vAlign w:val="bottom"/>
            <w:gridSpan w:val="4"/>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4"/>
              </w:rPr>
              <w:t>☐</w:t>
            </w:r>
          </w:p>
        </w:tc>
        <w:tc>
          <w:tcPr>
            <w:tcW w:w="102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3"/>
        </w:trPr>
        <w:tc>
          <w:tcPr>
            <w:tcW w:w="8380" w:type="dxa"/>
            <w:vAlign w:val="bottom"/>
            <w:gridSpan w:val="4"/>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4"/>
              </w:rPr>
              <w:t>☐</w:t>
            </w:r>
          </w:p>
        </w:tc>
        <w:tc>
          <w:tcPr>
            <w:tcW w:w="102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right="520" w:firstLine="324"/>
        <w:spacing w:after="0" w:line="18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24"/>
        <w:spacing w:after="0" w:line="18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324"/>
        <w:spacing w:after="0" w:line="189"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 w:lineRule="exact"/>
        <w:rPr>
          <w:sz w:val="24"/>
          <w:szCs w:val="24"/>
          <w:color w:val="auto"/>
        </w:rPr>
      </w:pPr>
    </w:p>
    <w:p>
      <w:pPr>
        <w:ind w:firstLine="324"/>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5" w:lineRule="exact"/>
        <w:rPr>
          <w:sz w:val="24"/>
          <w:szCs w:val="24"/>
          <w:color w:val="auto"/>
        </w:rPr>
      </w:pPr>
    </w:p>
    <w:p>
      <w:pPr>
        <w:ind w:left="340"/>
        <w:spacing w:after="0" w:line="184" w:lineRule="exact"/>
        <w:tabs>
          <w:tab w:leader="none" w:pos="7860" w:val="left"/>
          <w:tab w:leader="none" w:pos="8500" w:val="left"/>
        </w:tabs>
        <w:rPr>
          <w:sz w:val="20"/>
          <w:szCs w:val="20"/>
          <w:color w:val="auto"/>
        </w:rPr>
      </w:pPr>
      <w:r>
        <w:rPr>
          <w:rFonts w:ascii="Arial" w:cs="Arial" w:eastAsia="Arial" w:hAnsi="Arial"/>
          <w:sz w:val="15"/>
          <w:szCs w:val="15"/>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ind w:right="100" w:firstLine="324"/>
        <w:spacing w:after="0" w:line="281" w:lineRule="auto"/>
        <w:rPr>
          <w:sz w:val="20"/>
          <w:szCs w:val="20"/>
          <w:color w:val="auto"/>
        </w:rPr>
      </w:pPr>
      <w:r>
        <w:rPr>
          <w:rFonts w:ascii="Arial" w:cs="Arial" w:eastAsia="Arial" w:hAnsi="Arial"/>
          <w:sz w:val="14"/>
          <w:szCs w:val="14"/>
          <w:color w:val="auto"/>
        </w:rPr>
        <w:t>The aggregate market value of the Common Stock held by non-affiliates of the registrant was approximately $475.4 million based upon the closing price of the Common Stock as reported on the Nasdaq Global Select Market on December 31, 2014, the last business day of the registrant’s most recently completed second fiscal quarter.</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Shares of Common Stock outstanding as of July 31, 2015: 34,430,270 shares</w:t>
      </w:r>
    </w:p>
    <w:p>
      <w:pPr>
        <w:spacing w:after="0" w:line="5"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left="4900" w:right="960" w:hanging="4557"/>
        <w:spacing w:after="0" w:line="257" w:lineRule="auto"/>
        <w:rPr>
          <w:sz w:val="20"/>
          <w:szCs w:val="20"/>
          <w:color w:val="auto"/>
        </w:rPr>
      </w:pPr>
      <w:r>
        <w:rPr>
          <w:rFonts w:ascii="Arial" w:cs="Arial" w:eastAsia="Arial" w:hAnsi="Arial"/>
          <w:sz w:val="16"/>
          <w:szCs w:val="16"/>
          <w:color w:val="auto"/>
        </w:rPr>
        <w:t>Portions of the registrant’s definitive Proxy Statement for its 2015 Annual Meeting of Shareholders are incorporated by reference into Part III of this report. Exhibit Index on Page 77</w:t>
      </w:r>
    </w:p>
    <w:p>
      <w:pPr>
        <w:sectPr>
          <w:pgSz w:w="11900" w:h="16838" w:orient="portrait"/>
          <w:cols w:equalWidth="0" w:num="1">
            <w:col w:w="11400"/>
          </w:cols>
          <w:pgMar w:left="240" w:top="459" w:right="259" w:bottom="1440" w:gutter="0" w:footer="0" w:header="0"/>
        </w:sect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459"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0" w:type="dxa"/>
            <w:vAlign w:val="bottom"/>
            <w:gridSpan w:val="8"/>
          </w:tcPr>
          <w:p>
            <w:pPr>
              <w:jc w:val="center"/>
              <w:ind w:right="3360"/>
              <w:spacing w:after="0"/>
              <w:rPr>
                <w:sz w:val="20"/>
                <w:szCs w:val="20"/>
                <w:color w:val="auto"/>
              </w:rPr>
            </w:pPr>
            <w:r>
              <w:rPr>
                <w:rFonts w:ascii="Arial" w:cs="Arial" w:eastAsia="Arial" w:hAnsi="Arial"/>
                <w:sz w:val="18"/>
                <w:szCs w:val="18"/>
                <w:b w:val="1"/>
                <w:bCs w:val="1"/>
                <w:color w:val="auto"/>
                <w:w w:val="99"/>
              </w:rPr>
              <w:t>MERCURY SYSTEMS, INC.</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INDEX</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7"/>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PAGE</w:t>
            </w:r>
          </w:p>
        </w:tc>
      </w:tr>
      <w:tr>
        <w:trPr>
          <w:trHeight w:val="192"/>
        </w:trPr>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NUMBER</w:t>
            </w:r>
          </w:p>
        </w:tc>
      </w:tr>
      <w:tr>
        <w:trPr>
          <w:trHeight w:val="203"/>
        </w:trPr>
        <w:tc>
          <w:tcPr>
            <w:tcW w:w="1040" w:type="dxa"/>
            <w:vAlign w:val="bottom"/>
          </w:tcPr>
          <w:p>
            <w:pPr>
              <w:spacing w:after="0"/>
              <w:rPr>
                <w:sz w:val="17"/>
                <w:szCs w:val="17"/>
                <w:color w:val="auto"/>
              </w:rPr>
            </w:pPr>
          </w:p>
        </w:tc>
        <w:tc>
          <w:tcPr>
            <w:tcW w:w="9320" w:type="dxa"/>
            <w:vAlign w:val="bottom"/>
            <w:gridSpan w:val="24"/>
          </w:tcPr>
          <w:p>
            <w:pPr>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1020" w:type="dxa"/>
            <w:vAlign w:val="bottom"/>
            <w:gridSpan w:val="4"/>
          </w:tcPr>
          <w:p>
            <w:pPr>
              <w:jc w:val="right"/>
              <w:ind w:right="20"/>
              <w:spacing w:after="0" w:line="202" w:lineRule="exact"/>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680" w:type="dxa"/>
            <w:vAlign w:val="bottom"/>
            <w:gridSpan w:val="2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6"/>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42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9320" w:type="dxa"/>
            <w:vAlign w:val="bottom"/>
            <w:gridSpan w:val="2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728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26</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2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00" w:type="dxa"/>
            <w:vAlign w:val="bottom"/>
            <w:gridSpan w:val="9"/>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Removed and Reserved</w:t>
              </w:r>
            </w:hyperlink>
          </w:p>
        </w:tc>
        <w:tc>
          <w:tcPr>
            <w:tcW w:w="7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4.1.</w:t>
            </w:r>
          </w:p>
        </w:tc>
        <w:tc>
          <w:tcPr>
            <w:tcW w:w="2600" w:type="dxa"/>
            <w:vAlign w:val="bottom"/>
            <w:gridSpan w:val="1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Executive Officers of the Registrant</w:t>
              </w:r>
            </w:hyperlink>
          </w:p>
        </w:tc>
        <w:tc>
          <w:tcPr>
            <w:tcW w:w="67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660" w:type="dxa"/>
            <w:vAlign w:val="bottom"/>
            <w:gridSpan w:val="3"/>
          </w:tcPr>
          <w:p>
            <w:pPr>
              <w:spacing w:after="0"/>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PART II</w:t>
              </w:r>
            </w:hyperlink>
          </w:p>
        </w:tc>
        <w:tc>
          <w:tcPr>
            <w:tcW w:w="1940" w:type="dxa"/>
            <w:vAlign w:val="bottom"/>
            <w:gridSpan w:val="10"/>
          </w:tcPr>
          <w:p>
            <w:pPr>
              <w:spacing w:after="0"/>
              <w:rPr>
                <w:sz w:val="24"/>
                <w:szCs w:val="24"/>
                <w:color w:val="auto"/>
              </w:rPr>
            </w:pPr>
          </w:p>
        </w:tc>
        <w:tc>
          <w:tcPr>
            <w:tcW w:w="672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23"/>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Market for Registrant’s Common Equity, Related Stockholder Matters and Issuer Purchases of Equity Securities</w:t>
              </w:r>
            </w:hyperlink>
          </w:p>
        </w:tc>
        <w:tc>
          <w:tcPr>
            <w:tcW w:w="124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24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0"/>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286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502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21"/>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Changes in and Disagreements with Accountants on Accounting and Financial Disclosure</w:t>
              </w:r>
            </w:hyperlink>
          </w:p>
        </w:tc>
        <w:tc>
          <w:tcPr>
            <w:tcW w:w="284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2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2840" w:type="dxa"/>
            <w:vAlign w:val="bottom"/>
            <w:gridSpan w:val="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73</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1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756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1300" w:type="dxa"/>
            <w:vAlign w:val="bottom"/>
            <w:gridSpan w:val="8"/>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III</w:t>
              </w:r>
            </w:hyperlink>
          </w:p>
        </w:tc>
        <w:tc>
          <w:tcPr>
            <w:tcW w:w="8020" w:type="dxa"/>
            <w:vAlign w:val="bottom"/>
            <w:gridSpan w:val="16"/>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9320" w:type="dxa"/>
            <w:vAlign w:val="bottom"/>
            <w:gridSpan w:val="2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11"/>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Executive Compensation</w:t>
              </w:r>
            </w:hyperlink>
          </w:p>
        </w:tc>
        <w:tc>
          <w:tcPr>
            <w:tcW w:w="2280" w:type="dxa"/>
            <w:vAlign w:val="bottom"/>
            <w:gridSpan w:val="6"/>
          </w:tcPr>
          <w:p>
            <w:pPr>
              <w:spacing w:after="0"/>
              <w:rPr>
                <w:sz w:val="21"/>
                <w:szCs w:val="21"/>
                <w:color w:val="auto"/>
              </w:rPr>
            </w:pPr>
          </w:p>
        </w:tc>
        <w:tc>
          <w:tcPr>
            <w:tcW w:w="524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320" w:type="dxa"/>
            <w:vAlign w:val="bottom"/>
            <w:gridSpan w:val="2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204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3880" w:type="dxa"/>
            <w:vAlign w:val="bottom"/>
            <w:gridSpan w:val="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40" w:type="dxa"/>
            <w:vAlign w:val="bottom"/>
          </w:tcPr>
          <w:p>
            <w:pPr>
              <w:spacing w:after="0"/>
              <w:rPr>
                <w:sz w:val="24"/>
                <w:szCs w:val="24"/>
                <w:color w:val="auto"/>
              </w:rPr>
            </w:pPr>
          </w:p>
        </w:tc>
        <w:tc>
          <w:tcPr>
            <w:tcW w:w="720" w:type="dxa"/>
            <w:vAlign w:val="bottom"/>
            <w:gridSpan w:val="4"/>
          </w:tcPr>
          <w:p>
            <w:pPr>
              <w:spacing w:after="0"/>
              <w:rPr>
                <w:rFonts w:ascii="Arial" w:cs="Arial" w:eastAsia="Arial" w:hAnsi="Arial"/>
                <w:sz w:val="18"/>
                <w:szCs w:val="18"/>
                <w:b w:val="1"/>
                <w:bCs w:val="1"/>
                <w:color w:val="0000EE"/>
                <w:w w:val="95"/>
              </w:rPr>
            </w:pPr>
            <w:hyperlink w:anchor="page74">
              <w:r>
                <w:rPr>
                  <w:rFonts w:ascii="Arial" w:cs="Arial" w:eastAsia="Arial" w:hAnsi="Arial"/>
                  <w:sz w:val="18"/>
                  <w:szCs w:val="18"/>
                  <w:b w:val="1"/>
                  <w:bCs w:val="1"/>
                  <w:color w:val="0000EE"/>
                  <w:w w:val="95"/>
                </w:rPr>
                <w:t>PART IV</w:t>
              </w:r>
            </w:hyperlink>
          </w:p>
        </w:tc>
        <w:tc>
          <w:tcPr>
            <w:tcW w:w="2140" w:type="dxa"/>
            <w:vAlign w:val="bottom"/>
            <w:gridSpan w:val="10"/>
          </w:tcPr>
          <w:p>
            <w:pPr>
              <w:spacing w:after="0"/>
              <w:rPr>
                <w:sz w:val="24"/>
                <w:szCs w:val="24"/>
                <w:color w:val="auto"/>
              </w:rPr>
            </w:pPr>
          </w:p>
        </w:tc>
        <w:tc>
          <w:tcPr>
            <w:tcW w:w="6460" w:type="dxa"/>
            <w:vAlign w:val="bottom"/>
            <w:gridSpan w:val="10"/>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5"/>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Exhibits and Financial Statement Schedules</w:t>
              </w:r>
            </w:hyperlink>
          </w:p>
        </w:tc>
        <w:tc>
          <w:tcPr>
            <w:tcW w:w="616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gridSpan w:val="5"/>
          </w:tcPr>
          <w:p>
            <w:pPr>
              <w:spacing w:after="0"/>
              <w:rPr>
                <w:rFonts w:ascii="Arial" w:cs="Arial" w:eastAsia="Arial" w:hAnsi="Arial"/>
                <w:sz w:val="18"/>
                <w:szCs w:val="18"/>
                <w:color w:val="0000EE"/>
                <w:w w:val="85"/>
              </w:rPr>
            </w:pPr>
            <w:hyperlink w:anchor="page75">
              <w:r>
                <w:rPr>
                  <w:rFonts w:ascii="Arial" w:cs="Arial" w:eastAsia="Arial" w:hAnsi="Arial"/>
                  <w:sz w:val="18"/>
                  <w:szCs w:val="18"/>
                  <w:color w:val="0000EE"/>
                  <w:w w:val="85"/>
                </w:rPr>
                <w:t>Signatures</w:t>
              </w:r>
            </w:hyperlink>
          </w:p>
        </w:tc>
        <w:tc>
          <w:tcPr>
            <w:tcW w:w="2400" w:type="dxa"/>
            <w:vAlign w:val="bottom"/>
            <w:gridSpan w:val="10"/>
          </w:tcPr>
          <w:p>
            <w:pPr>
              <w:spacing w:after="0"/>
              <w:rPr>
                <w:sz w:val="21"/>
                <w:szCs w:val="21"/>
                <w:color w:val="auto"/>
              </w:rPr>
            </w:pPr>
          </w:p>
        </w:tc>
        <w:tc>
          <w:tcPr>
            <w:tcW w:w="616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76</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34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 w:type="dxa"/>
            <w:vAlign w:val="bottom"/>
            <w:gridSpan w:val="7"/>
          </w:tcPr>
          <w:p>
            <w:pPr>
              <w:spacing w:after="0"/>
              <w:rPr>
                <w:rFonts w:ascii="Arial" w:cs="Arial" w:eastAsia="Arial" w:hAnsi="Arial"/>
                <w:sz w:val="18"/>
                <w:szCs w:val="18"/>
                <w:color w:val="0000EE"/>
                <w:w w:val="93"/>
              </w:rPr>
            </w:pPr>
            <w:hyperlink w:anchor="page76">
              <w:r>
                <w:rPr>
                  <w:rFonts w:ascii="Arial" w:cs="Arial" w:eastAsia="Arial" w:hAnsi="Arial"/>
                  <w:sz w:val="18"/>
                  <w:szCs w:val="18"/>
                  <w:color w:val="0000EE"/>
                  <w:w w:val="93"/>
                </w:rPr>
                <w:t>Exhibit Index</w:t>
              </w:r>
            </w:hyperlink>
          </w:p>
        </w:tc>
        <w:tc>
          <w:tcPr>
            <w:tcW w:w="8340" w:type="dxa"/>
            <w:vAlign w:val="bottom"/>
            <w:gridSpan w:val="1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77</w:t>
              </w:r>
            </w:hyperlink>
          </w:p>
        </w:tc>
      </w:tr>
      <w:tr>
        <w:trPr>
          <w:trHeight w:val="507"/>
        </w:trPr>
        <w:tc>
          <w:tcPr>
            <w:tcW w:w="1040" w:type="dxa"/>
            <w:vAlign w:val="bottom"/>
          </w:tcPr>
          <w:p>
            <w:pPr>
              <w:spacing w:after="0"/>
              <w:rPr>
                <w:sz w:val="24"/>
                <w:szCs w:val="24"/>
                <w:color w:val="auto"/>
              </w:rPr>
            </w:pPr>
          </w:p>
        </w:tc>
        <w:tc>
          <w:tcPr>
            <w:tcW w:w="980" w:type="dxa"/>
            <w:vAlign w:val="bottom"/>
            <w:tcBorders>
              <w:top w:val="single" w:sz="8" w:color="0000EE"/>
            </w:tcBorders>
            <w:gridSpan w:val="7"/>
          </w:tcPr>
          <w:p>
            <w:pPr>
              <w:spacing w:after="0"/>
              <w:rPr>
                <w:sz w:val="24"/>
                <w:szCs w:val="24"/>
                <w:color w:val="auto"/>
              </w:rPr>
            </w:pPr>
          </w:p>
        </w:tc>
        <w:tc>
          <w:tcPr>
            <w:tcW w:w="4460" w:type="dxa"/>
            <w:vAlign w:val="bottom"/>
            <w:gridSpan w:val="12"/>
          </w:tcPr>
          <w:p>
            <w:pPr>
              <w:jc w:val="center"/>
              <w:ind w:left="275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b w:val="1"/>
          <w:bCs w:val="1"/>
          <w:color w:val="auto"/>
        </w:rPr>
        <w:t>This Annual Report on Form 10-K contains forward-looking statements within the meaning of Section 27A of the Securities Act of 1933, as amended, and Section 21E of the Securities Exchange Act of 1934, as amended. Actual results could differ materially from those set forth in the forward-looking statements. Certain factors that might cause such a difference are discussed in this annual report on Form 10-K, including in the section entitled “Risk Factors.”</w:t>
      </w:r>
    </w:p>
    <w:p>
      <w:pPr>
        <w:spacing w:after="0" w:line="1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When used in this report, the terms “Mercury,” “we,” “our,” “us,” and “the Company” refer to Mercury Systems, Inc. and its consolidated subsidiaries, except where the context otherwise requires or as otherwise indicated. The term “fiscal” with respect to a year refers to the period from July 1 to June 30. For example, fiscal 2015 refers to the period from July 1, 2014 to June 30, 2015.</w:t>
      </w:r>
    </w:p>
    <w:p>
      <w:pPr>
        <w:spacing w:after="0" w:line="1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Mercury Systems, Inc. is a leading high-tech commercial provider of more affordable secure and sensor processing subsystems designed and made in the U.S.A. powering today's critical defense and intelligence applications. We deliver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and Reaper. Our organizational structure allows us to deliver capabilities that combine technology building blocks and deep domain expertise in the defense sector. We operate across a broad spectrum of defense programs and deliver our solutions and services via two operating segments: (i) Mercury Commercial Electronics; and (ii) Mercury Defense Systems.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Mercury Commercial Electronics, or MCE, provides more affordable, innovative, commercially designed and developed, specialized processing subsystems for critical defense and intelligence applications. We deliver innovative solutions, rapid time-to-value and service and support to our prime defense contractors customers. Our technologies and capabilities include embedded processing modules and subsystems, RF and microwave multi-function assemblies as well as subsystems, and RF and microwave components.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MCE utilizes leading edge, high performance computing technologies architected by leveraging open standards and open architectures to address highly data-intensive applications that include data signal, sensor and image processing; all of this while addressing the packaging challenges, often referred to as “SWaP” (size, weight, and power) that are common in military applications. In addition, MCE designs and builds RF and microwave components and subsystems to meet the needs of the electronic warfare ("EW"), signals intelligence ("SIGINT") and other high bandwidth communications requirements and applications.</w:t>
      </w:r>
    </w:p>
    <w:p>
      <w:pPr>
        <w:spacing w:after="0" w:line="13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Mercury Defense Systems, or MDS, provides significant capabilities relating to pre-integrated, open, more affordable EW, electronic attack ("EA") and electronic counter measure ("ECM") subsystems, SIGINT and electro-optical/infrared ("EO/IR") processing technologies, and radar environment test and simulation systems. MDS deploys these solutions on behalf of defense prime contractors and the Department of Defense ("DoD"), leveraging commercially available technologies and solutions (or “building blocks”) from our MCE business and other commercial suppliers. MDS leverages this technology to design and build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two operating segments allow us to deliver capabilities that combine technology building blocks, deep domain expertise in the defense sector and critical solution areas, and specialized skills in serving the DoD and the intelligence community.</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consolidated revenues, income from continuing operations and adjusted EBITDA for fiscal 2015 were $234.8 million, $14.4 million and $44.4 million, respectively. Our consolidated revenues, (loss) from continuing operations and adjusted EBITDA for fiscal 2014 were $208.7 million, $(4.1) million and $23.5 million, respectively. See the Non-GAAP Financial Measures section of this annual report for a reconciliation of our adjusted EBITDA to net income (loss) from continuing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fiscal 2015, we successfully completed the final phase of integration activities relating to our previous acquisitions. The acquisition integration plan included the consolidation of manufacturing facilities, centralization of administrative and manufacturing functions using common information systems and processes, and realignment of research and development resources. Restructuring expenses in fiscal 2015 amounted to $3.2 million and affected both the MCE and MDS reportable segments. We currently do not anticipate any future restructuring activities.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fiscal 2015, we also completed the sale of our former operating segment Mercury Intelligence Systems ("MIS"). Since the fourth quarter of fiscal 2014, MIS has been reported as a discontinued operation for all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Since 1981, we have operated as a provider of advanced embedded computing products primarily for end markets in the defense industry. Over time, we expanded our business to focus on a number of commercial end markets, including the biotechnology, embedded systems and professional services, visual imaging software and life sciences markets. While this strategy was designed to expand our target market, in the mid-2000’s many of these new businesses required large investments, which significantly reduced our profitability, and we found ourselves spread across several disparate, unprofitable end-user segments.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November 2007, we embarked on a strategy to refocus the business and return to growth and profitability. Since then, we have successfully sold or shut down five non-core business units, returned the Company to profitability and growth for the next four consecutive years, and transformed the Company into a provider of commercially developed, specialized processing subsystems, and services for critical commercial, defense and intelligence applications. Fiscal 2013 was a challenging year in light of uncertainty within the defense sector while fiscal 2014 was a return to revenue growth and improved operating performance positioning us such that we achieved our target business model in fiscal 2015. Fiscal 2015 highlights include:</w:t>
      </w:r>
    </w:p>
    <w:p>
      <w:pPr>
        <w:spacing w:after="0" w:line="104"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bookings of $268.6 million with a 1.14 book-to-bill ratio;</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backlog of $208.0 million;</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growth of 12.5%;</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from continuing operations of $0.44 per diluted share;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provided by operating activities of $32.2 million;</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near doubling of adjusted EBITDA to $44.4 million;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of our acquisition integration activities.</w:t>
      </w:r>
    </w:p>
    <w:p>
      <w:pPr>
        <w:spacing w:after="0" w:line="17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Over the past eight years, we continued to have success on programs such as Aegis, Global Hawk, Gorgon Stare, Predator, F-35 and Reaper and have reinvested in our business. We improved our position in our target markets, with major design wins including the Patriot missile program, and SEWIP, the EW improvement program for surface vessels to counteract a variety of emerging threats. In fiscal 2010, we grew organically, improved our working capital position and profitability metrics, continued to refresh our product portfolio, and grew our services and systems integration business. We strengthened our position in our core intelligence, surveillance and reconnaissance ("ISR"), EW and ballistic missile defense markets. In fiscal 2011 and 2012, we continued to strengthen and grow our core business by enhancing our product portfolio and increasing our ISR, EW, and missile defense system domain expertise and capabilities. During fiscal 2013, we addressed significant industry headwinds aggressively by aligning our cost structure to lower revenue levels via two restructuring actions. These initiatives reduced our operating expenses by approximately $22 million annually. In addition, we acquired unique EW program capabilities through the acquisition of Micronetics early in fiscal 2013. During fiscal 2014, we completed the bulk of the integration of our recent acquisitions, including consolidating four facilities, moving into a new Advanced Microelectronics Center, and installing integrated business systems. In fiscal 2015, we completed the final phase of acquisition integration activities relating to our previous acquisitions and created a business and operations platform that we can continue to grow organically and scale through future acquisitions. The completed acquisition integration plan is expected to reduce our operating expenses by approximately $16 million annually. Our continued momentum in revenue growth, coupled with the operating leverage yielded by our now-completed integration plan, has begun translating into increased shareholder value.</w:t>
      </w:r>
    </w:p>
    <w:p>
      <w:pPr>
        <w:spacing w:after="0" w:line="13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continue to be successful on our existing programs and to pursue new design wins on high growth, high priority programs. In response to new and emerging threats, and the need for better intelligence in shorter time frames, we have developed new products and capabilities that, in conjunction with our customers, seek to address those areas of concern. We have also grown and anticipate growing further through acquisitions that will complement, strengthen and grow our core business. While we look at acquisitions on an on-going basis, we also are doing this as we balance our assessment of the industry environment, our business outlook and the potential to further build-out the sensor processing chain, all while also prudently managing the business. As a result of these efforts, we believe we are well-positioned to capture existing and future growth opportunities in our end markets. We also continually look at our organizational, product development, and go-to-market capabilities to ensure we maintain an orientation towards “time to value” for our customers. This approach will help us reach our goal of providing the best solutions as we apply our commercially developed technologies to solve complex customer problems.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market opportunity is defined by the growing demand for domestically designed and manufactured advanced sensor and mission processing capabilities for critical defense and intelligence applications. Our primary market has historically been the defense sector, specifically C4ISR (command, control, communications, computers, intelligence, surveillance and reconnaissance), EW, and ballistic missile defense; and commercial markets, which include commercial communications and other commercial computing applications. We believe we are well-positioned in growing, sustainable market segments of the defense sector that leverage advanced technology to improve warfighter capability and provide enhanced force protection capabilities.</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there are a number of evolving trends that are reshaping our target market and accordingly provide us with attractive growth opportunities, including:</w:t>
      </w:r>
    </w:p>
    <w:p>
      <w:pPr>
        <w:spacing w:after="0" w:line="1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i w:val="1"/>
          <w:iCs w:val="1"/>
          <w:color w:val="auto"/>
        </w:rPr>
        <w:t xml:space="preserve">The defense electronics market is expected to grow in government fiscal 2016, in spite of DoD budget uncertainty, opaque execution of the U.S. budget sequestration mandate, and on-going uncertainty around future spending. According to The Teal Group, world defense electronics funding available to the U.S. was approximately $42.8 billion in fiscal 2015, or approximately 8.7% of the government fiscal 2015 appropriated U.S. DoD base budget. The defense electronics market is projected to increase to $43.0 billion in government fiscal 2016. </w:t>
      </w:r>
      <w:r>
        <w:rPr>
          <w:rFonts w:ascii="Arial" w:cs="Arial" w:eastAsia="Arial" w:hAnsi="Arial"/>
          <w:sz w:val="16"/>
          <w:szCs w:val="16"/>
          <w:color w:val="auto"/>
        </w:rPr>
        <w:t>We believe ISR, EW and ballistic missile defense have a high priority</w:t>
      </w:r>
      <w:r>
        <w:rPr>
          <w:rFonts w:ascii="Arial" w:cs="Arial" w:eastAsia="Arial" w:hAnsi="Arial"/>
          <w:sz w:val="16"/>
          <w:szCs w:val="16"/>
          <w:i w:val="1"/>
          <w:iCs w:val="1"/>
          <w:color w:val="auto"/>
        </w:rPr>
        <w:t xml:space="preserve"> </w:t>
      </w:r>
      <w:r>
        <w:rPr>
          <w:rFonts w:ascii="Arial" w:cs="Arial" w:eastAsia="Arial" w:hAnsi="Arial"/>
          <w:sz w:val="16"/>
          <w:szCs w:val="16"/>
          <w:color w:val="auto"/>
        </w:rPr>
        <w:t>for future DoD spending. We have positioned ourselves well in these important areas and have won a position on many programs and platforms. We continue to build on our strengths in the design and development of performance optimized electronic subsystems for the ISR and EW markets. As a leader in these markets, we often contract with multiple defense prime contractors as they bid for a particular project, thereby increasing our chance of a successful outcome.</w:t>
      </w:r>
    </w:p>
    <w:p>
      <w:pPr>
        <w:spacing w:after="0" w:line="11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i w:val="1"/>
          <w:iCs w:val="1"/>
          <w:color w:val="auto"/>
        </w:rPr>
        <w:t>The rapidly expanding demand for tactical ISR is leading to significant growth in sensor data being generated, causing even greater demand for the capability of our products to process data onboard platforms</w:t>
      </w:r>
      <w:r>
        <w:rPr>
          <w:rFonts w:ascii="Arial" w:cs="Arial" w:eastAsia="Arial" w:hAnsi="Arial"/>
          <w:sz w:val="17"/>
          <w:szCs w:val="17"/>
          <w:color w:val="auto"/>
        </w:rPr>
        <w:t>. An increase in the prevalence and resolution of ISR sensors is generating significant growth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associated data that needs to be turned into information for the warfighter in a timely manner. In addition, several factors are driving the defense and intelligence industries to demand greater capability to collect and process data onboard the aircraft, unmanned aerial vehicles, or UAVs, ships and other vehicles, which we refer to collectively as platforms. Each platform has limited communications bandwidth and cannot realistically transmit all the data that is collected onboard the platform, and this problem will increase over time as sensor generated data will continue to outstrip data communication capabilities. Looking forward, we believe our armed forces will need platforms that operate more autonomously and possibly in denied communication environments. In addition, the platforms themselves require increased persistence, and reducing the need to communicate data off the platform can help increase the ability of the platform to remain on or fly above the battlefield for extended periods. Finally, the scarcity and cost of human analysts, the demand for timely and relevant quality information and the increasing need to fuse data not only from multiple onboard sensors but also with intelligence generated from other platforms is causing even greater demand for the onboard processing capabilities our products provide.</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Rogue nations’ missile programs and threats from peer nations are causing greater investment in advanced new radar, EW and ballistic missile defense capabilities</w:t>
      </w:r>
      <w:r>
        <w:rPr>
          <w:rFonts w:ascii="Arial" w:cs="Arial" w:eastAsia="Arial" w:hAnsi="Arial"/>
          <w:sz w:val="18"/>
          <w:szCs w:val="18"/>
          <w:color w:val="auto"/>
        </w:rPr>
        <w:t>. There are a number of new and emerging threats, such as peer nations developing stealth technologies, including stealth aircraft and new anti-ship ballistic missiles that potentially threaten the U.S. naval fleet. Finally, U.S. armed forces require enhanced signals intelligence and jamming capabilities. In response to these emerging threats, we have engaged in the following:</w:t>
      </w:r>
    </w:p>
    <w:p>
      <w:pPr>
        <w:spacing w:after="0" w:line="52" w:lineRule="exact"/>
        <w:rPr>
          <w:sz w:val="20"/>
          <w:szCs w:val="20"/>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the core radar processing on both the Aegis ballistic missile defense system as well as the Patriot missile system, a ground-based missile defense platform;</w:t>
      </w:r>
    </w:p>
    <w:p>
      <w:pPr>
        <w:spacing w:after="0" w:line="3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advanced RF, microwave and digital products for the U.S. Navy's SEWIP Block 2 program, designed to upgrade the Naval Surface Fleet EW capability and counteract a range of new emerging threats;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provide radar processing capabilities for the F-22 Raptor and F-35 Joint Strike Fighter, the latest generation of U.S. stealth-enabled fighters;</w:t>
      </w:r>
    </w:p>
    <w:p>
      <w:pPr>
        <w:spacing w:after="0" w:line="101" w:lineRule="exact"/>
        <w:rPr>
          <w:rFonts w:ascii="Arial" w:cs="Arial" w:eastAsia="Arial" w:hAnsi="Arial"/>
          <w:sz w:val="17"/>
          <w:szCs w:val="17"/>
          <w:color w:val="auto"/>
        </w:rPr>
      </w:pPr>
    </w:p>
    <w:p>
      <w:pPr>
        <w:ind w:left="640" w:right="2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RF and microwave content for the U.S. Airforce F-15 EW upgrade program, designed to provide fighter jets with advanced radar warning and countermeasures capabilities. This is applicable to both U.S. DoD and foreign military sales; and</w:t>
      </w:r>
    </w:p>
    <w:p>
      <w:pPr>
        <w:spacing w:after="0" w:line="3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respond to the need for the modernization and upgrades to radar capabilities on the F-16, we achieved a new design win for the next generation of the Scalable Agile Beam Radar, or SABR, program.</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The long-term DoD budget pressure is pushing more dollars toward upgrades of the electronic subsystems on existing platforms, which may increase demand for our products</w:t>
      </w:r>
      <w:r>
        <w:rPr>
          <w:rFonts w:ascii="Arial" w:cs="Arial" w:eastAsia="Arial" w:hAnsi="Arial"/>
          <w:sz w:val="18"/>
          <w:szCs w:val="18"/>
          <w:color w:val="auto"/>
        </w:rPr>
        <w:t>. The DoD is moving from major new weapons systems developments to upgrades of the electronic subsystems on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These upgrades are expected to include more sensors, signal processing, ISR algorithms, multi-intelligence fusion exploitation, computing and communications. We believe that upgrades to provide new urgent war fighting capability, driven by combatant commanders, are occurring more rapidly than traditional defense prime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contractors can easily react to. We believe these trends will cause defense prime contractors to increasingly seek out our high performance, cost-effective open architecture products.</w:t>
      </w:r>
    </w:p>
    <w:p>
      <w:pPr>
        <w:spacing w:after="0" w:line="116"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i w:val="1"/>
          <w:iCs w:val="1"/>
          <w:color w:val="auto"/>
        </w:rPr>
        <w:t>Defense procurement reform is causing the defense prime contractors to outsource more work to commercial companies</w:t>
      </w:r>
      <w:r>
        <w:rPr>
          <w:rFonts w:ascii="Arial" w:cs="Arial" w:eastAsia="Arial" w:hAnsi="Arial"/>
          <w:sz w:val="16"/>
          <w:szCs w:val="16"/>
          <w:color w:val="auto"/>
        </w:rPr>
        <w:t>. The U.S. government is</w:t>
      </w:r>
      <w:r>
        <w:rPr>
          <w:rFonts w:ascii="Arial" w:cs="Arial" w:eastAsia="Arial" w:hAnsi="Arial"/>
          <w:sz w:val="16"/>
          <w:szCs w:val="16"/>
          <w:i w:val="1"/>
          <w:iCs w:val="1"/>
          <w:color w:val="auto"/>
        </w:rPr>
        <w:t xml:space="preserve"> </w:t>
      </w:r>
      <w:r>
        <w:rPr>
          <w:rFonts w:ascii="Arial" w:cs="Arial" w:eastAsia="Arial" w:hAnsi="Arial"/>
          <w:sz w:val="16"/>
          <w:szCs w:val="16"/>
          <w:color w:val="auto"/>
        </w:rPr>
        <w:t>intensely focused on making systems more affordable and shortening their development time. As a company that provides commercial items to the defense industry, we believe our products are often more affordable than products with the same functionality developed by a defense prime contractor. Defense prime contractors are increasingly being asked to work under firm fixed price contract awards, which can pressure profit margins and increase program risk. Defense prime contractors are also being asked to produce systems much more rapidly than they have in the past. In addition, the U.S. government is demanding more use of commercial items and open system architectures. In this budget environment, there are fewer research and development dollars available with which defense prime contractors can invest early-on to differentiate their offerings while competing for new program awards or re-competes. As a result, defense prime contractors are generally trying to adjust their cost model from a high fixed cost model to a variable cost model. All of these factors are providing incentives for defense prime contractors to outsource more work to subcontractors with significant expertise and cost-effective technology capabilities, and we have transformed our business model over the last several years to address these long-term outsourcing needs and other trends.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strategy is built around our key strengths as a leading high-tech commercial provider of more affordable secure and sensor processing subsystems designed and made in the U.S.A. powering today's critical defense and intelligence applications. By driving this strategy consistently, we are able to help our customers, mostly defense prime contractors, to reduce program cost, minimize technical risk, and stay on-schedule. Tactically, we have a reputation of relentless execution on behalf of our customers that supports the successful evolution of our strategy.</w:t>
      </w:r>
    </w:p>
    <w:p>
      <w:pPr>
        <w:spacing w:after="0" w:line="11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intend to accelerate our strategic direction through continued investment in advanced new products and solutions development in the fields of radio frequency, analog-to-digital and digital to analog conversion, advanced multi- and many-core sensor processing systems including GPUs, embedded security, digital storage, and digital radio frequency memory ("DRFM") solutions as well as software defined communications capabilities. We leverage our engineering development services including systems integration to accelerate our move to become a commercial outsourcing partner to the large defense prime contractors as they seek the more rapid design, development and delivery of affordable, commercially developed, open sensor processing solutions within the markets we serve. Our services-led engagements can help lead to long-term production subsystem annuity revenues that will continue long after the initial services are delivered. This business model positions us to be paid for work we would have previously expensed through our own income statement, to team concurrently with multiple defense prime contractors as they pursue new business with the government, and to engage with our customers much earlier in the design cycle and ahead of our competition. In fiscal 2013, 2014, and 2015, we have substantially added to our technology portfolio by adding capabilities in RF and microwave subsystems and components as critical building blocks to support programs in EW, EA, and ECM.</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strategy to accomplish our continued growth objectives include:</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 xml:space="preserve">Achieve Design Wins on High Growth, High Priority Defense Programs. </w:t>
      </w:r>
      <w:r>
        <w:rPr>
          <w:rFonts w:ascii="Arial" w:cs="Arial" w:eastAsia="Arial" w:hAnsi="Arial"/>
          <w:sz w:val="18"/>
          <w:szCs w:val="18"/>
          <w:color w:val="auto"/>
        </w:rPr>
        <w:t>We believe our advanced embedded sensor processing solutions position us</w:t>
      </w:r>
      <w:r>
        <w:rPr>
          <w:rFonts w:ascii="Arial" w:cs="Arial" w:eastAsia="Arial" w:hAnsi="Arial"/>
          <w:sz w:val="18"/>
          <w:szCs w:val="18"/>
          <w:i w:val="1"/>
          <w:iCs w:val="1"/>
          <w:color w:val="auto"/>
        </w:rPr>
        <w:t xml:space="preserve"> </w:t>
      </w:r>
      <w:r>
        <w:rPr>
          <w:rFonts w:ascii="Arial" w:cs="Arial" w:eastAsia="Arial" w:hAnsi="Arial"/>
          <w:sz w:val="18"/>
          <w:szCs w:val="18"/>
          <w:color w:val="auto"/>
        </w:rPr>
        <w:t>well going forward to capture design wins on key high growth, high priority defense programs within our targeted segments of the C4ISR market. We have won designs in persistent ISR related signals intelligence payloads on UAVs and other aerial platforms. As a result of these successes, we now have significant content on major UAV platforms, including Global Hawk, Predator, Triton, Reaper and Gorgon Stare. Our ballistic missile defense wins include additional designs on the Aegis program, as well as wins on the Patriot missile program. In EW, we have won key designs related to the U.S. Navy's SEWIP program and the Ships Signal Exploitation Equipment ("SSEE") programs. Additional wins in the critical EW space include the Navy's Filthy Badger and Filthy Buzzard programs, focusing on vulnerability assessment and training for manned aircraft. Together, these wins represent substantial opportunity for us in the years ahead.</w:t>
      </w:r>
    </w:p>
    <w:p>
      <w:pPr>
        <w:spacing w:after="0" w:line="1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Continue to Provide Excellent Performance on Our Existing Programs. </w:t>
      </w:r>
      <w:r>
        <w:rPr>
          <w:rFonts w:ascii="Arial" w:cs="Arial" w:eastAsia="Arial" w:hAnsi="Arial"/>
          <w:sz w:val="17"/>
          <w:szCs w:val="17"/>
          <w:color w:val="auto"/>
        </w:rPr>
        <w:t>The foundation for our growth remains our continued involvement with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that are in late-stage development or currently in production, such as Aegis, the F-35 Joint Strike Fighter, Patriot missile, the F-16 and F-15 aircrafts, the Global Hawk, Predator and Reaper UAVs, the P-8 MMA as well as the Suite of Integrated Radio Frequency Countermeasures ("SIRFIC") program. As part of a long-term reprioritization, the DoD is shifting its emphasis from major new weapons systems development to upgrades of existing programs and platforms. We believe the upgrades on these programs focus on four key areas: improved sensors; more advanced on-board embedded computing; enhanced ISR algorithms; and better communications on and off the platform. A key element of our strategy is to continue to provide high performance, cost-effective solutions on these programs and for these customers.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Pursue Strategic, Capability-Enhancing Acquisitions. </w:t>
      </w:r>
      <w:r>
        <w:rPr>
          <w:rFonts w:ascii="Arial" w:cs="Arial" w:eastAsia="Arial" w:hAnsi="Arial"/>
          <w:sz w:val="18"/>
          <w:szCs w:val="18"/>
          <w:color w:val="auto"/>
        </w:rPr>
        <w:t>We will continue to pursue strategic acquisitions to augment our businesses using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 adding technologies or products that expand MCE's core business by competing more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effectively in the ISR, EW, and missile defense markets; adding content and services to the defense programs and platforms in which we currently participate or could participate in the future and enhancing key customer relationships and forming relationships with potential new customers. Our acquisitions of LNX and KOR in fiscal 2011 and 2012 supported these objectives. Adding LNX to our business significantly strengthened our product portfolio in radio frequency and our capabilities in signals intelligence and EW. Similarly, adding KOR has brought key domain expertise in EW and capabilities with DRFM technologies that combine well with the RF domain expertise of LNX and the embedded computing and packaging design expertise developed organically at Mercury. Our acquisition of Micronetics in fiscal 2013 expanded our RF and microwave technology and subsystems integration capabilities. Our acquisition strategy also focuses on scaling our operations and broadening our program and customer base.</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Capitalize on Outsourcing and Other Dynamics in the Defense Industry. </w:t>
      </w:r>
      <w:r>
        <w:rPr>
          <w:rFonts w:ascii="Arial" w:cs="Arial" w:eastAsia="Arial" w:hAnsi="Arial"/>
          <w:sz w:val="18"/>
          <w:szCs w:val="18"/>
          <w:color w:val="auto"/>
        </w:rPr>
        <w:t>We are well-positioned to take advantage of several changing dynamics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defense industry. Defense prime contractors are increasingly being awarded firm fixed price contracts. These contracts shift risk to the defense prime contractors, and as a result they are beginning to outsource increasing levels of subsystem development and production and other higher value program content. In addition, the U.S. government is shifting toward shorter program timelines, which require increased flexibility and responsiveness from defense prime contractors. Finally, more programs are moving to open systems architectures encompassing best-of-breed capabilities. We believe that these dynamics will result in defense prime contractors outsourcing increasing levels of program content to us as a provider of differentiated products, subsystems engineering services and system integration.</w:t>
      </w:r>
    </w:p>
    <w:p>
      <w:pPr>
        <w:spacing w:after="0" w:line="13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i w:val="1"/>
          <w:iCs w:val="1"/>
          <w:color w:val="auto"/>
        </w:rPr>
        <w:t xml:space="preserve">Leverage Our Research and Development Efforts to Anticipate Market Needs and Maintain our Technology Leadership. </w:t>
      </w:r>
      <w:r>
        <w:rPr>
          <w:rFonts w:ascii="Arial" w:cs="Arial" w:eastAsia="Arial" w:hAnsi="Arial"/>
          <w:sz w:val="16"/>
          <w:szCs w:val="16"/>
          <w:color w:val="auto"/>
        </w:rPr>
        <w:t>Our high performance, quick</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 subsystems and capabilities require increasingly more sophisticated hardware, software and middleware technology. In addition, as the defense industries shift to products with open systems architectures, we believe that our software expertise will become increasingly important and differentiates us from many of our competitors as we have the ability to map complex algorithms onto size, weight, and power-constrained on-board embedded sensor processing solutions. We have substantially and will continue to refresh both our sensor processing and multicomputer product lines while increasing our product development velocity. Faster product development velocity aligns us with the U.S. government’s demands on the defense prime contractors for quick reaction capabilities. By shortening our product development times, we have been able to quickly launch the products we need to win new designs from the defense prime contractor community that will ultimately generate bookings and revenue for us. We intend to continue to utilize company and customer-funded research and development, as well as our acquisition strategy, to develop technologies, products and solutions that have significant potential for near-term and long-term value creation in the defense industry. We devote significant resources in order to anticipate the future requirements in our target defense markets, including monitoring and pioneering advances in advanced embedded computing hardware and software, anticipating changes in U.S. government spending and procurement practices and leveraging insight from direct interaction with our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We believe the following competitive strengths will allow us to take advantage of the evolving trends in our industry and successfully pursue our business strategy:</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Subsystem Solutions Provider for the C4ISR and EW Markets. </w:t>
      </w:r>
      <w:r>
        <w:rPr>
          <w:rFonts w:ascii="Arial" w:cs="Arial" w:eastAsia="Arial" w:hAnsi="Arial"/>
          <w:sz w:val="17"/>
          <w:szCs w:val="17"/>
          <w:color w:val="auto"/>
        </w:rPr>
        <w:t>Through our commercially developed, specialized processing subsystem solutions, we</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the challenges associated with the collection and processing of massive, continuous streams of data and dramatically shorten the time that it takes to give information to U.S. armed forces at the tactical edge. Our solutions are specifically designed for flexibility and interoperability, allowing our products to be easily integrated into larger system-level solutions. Our ability to integrate subsystem-level capabilities allows us to provide solutions that most effectively address the mission-critical challenges within the C4ISR market, including multi-intelligence data fusion and intelligence processing onboard the platform. We leverage our deep expertise in embedded multi-computing, embedded sensor processing, with the recent addition of our RF and microwave subsystems and components, along with strategic investments in research and development to provide solutions across the sensor processing chain. Our deep domain knowledge within MDS rounds-out our full capabilities in service to our prime contractor and DoD customers.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Diverse Mix of Stable, Growth Programs Aligned with DoD Funding Priorities. </w:t>
      </w:r>
      <w:r>
        <w:rPr>
          <w:rFonts w:ascii="Arial" w:cs="Arial" w:eastAsia="Arial" w:hAnsi="Arial"/>
          <w:sz w:val="18"/>
          <w:szCs w:val="18"/>
          <w:color w:val="auto"/>
        </w:rPr>
        <w:t>Our products and solutions have been deployed on more than 300</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programs and over 25 different defense prime contractors. We serve high priority markets for the DoD and foreign militaries, such as UAVs, ballistic missile defense, airborne reconnaissance, EW, ECM, and have secured positions on mission-critical programs including Aegis, Predator and Reaper UAVs, F-35 Joint Strike Fighter, Patriot missile, and SEWIP. In addition, we consistently leverage our technology and capability across 15 to 20 programs on an annual basis, providing significant operating leverage and cost savings.</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Value-Added Subsystem Solution Provider for Defense Prime Contractors. </w:t>
      </w:r>
      <w:r>
        <w:rPr>
          <w:rFonts w:ascii="Arial" w:cs="Arial" w:eastAsia="Arial" w:hAnsi="Arial"/>
          <w:sz w:val="18"/>
          <w:szCs w:val="18"/>
          <w:color w:val="auto"/>
        </w:rPr>
        <w:t>Because of the DoD’s shift towards a firm fixed price contract procurement</w:t>
      </w:r>
      <w:r>
        <w:rPr>
          <w:rFonts w:ascii="Arial" w:cs="Arial" w:eastAsia="Arial" w:hAnsi="Arial"/>
          <w:sz w:val="18"/>
          <w:szCs w:val="18"/>
          <w:i w:val="1"/>
          <w:iCs w:val="1"/>
          <w:color w:val="auto"/>
        </w:rPr>
        <w:t xml:space="preserve"> </w:t>
      </w:r>
      <w:r>
        <w:rPr>
          <w:rFonts w:ascii="Arial" w:cs="Arial" w:eastAsia="Arial" w:hAnsi="Arial"/>
          <w:sz w:val="18"/>
          <w:szCs w:val="18"/>
          <w:color w:val="auto"/>
        </w:rPr>
        <w:t>model, an increasingly uncertain budgetary and procurement environment, and increased budget pressures from both the U.S. and allied governments, defense prime contractors are accelerating their move towards outsourcing opportunities to help mitigate the increased program and financial risk. Our differentiated advanced sensor processing solutions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offer meaningful capabilities upgrades for our customers and enable the rapid, cost-effective deployment of systems to the end customer. We believe our open architecture subsystems offer differentiated sensor processing and data analytics capabilities that cannot be easily replicated. Our solutions minimize program risk, maximize application portability, and accelerate customers’ time to market.</w:t>
      </w:r>
    </w:p>
    <w:p>
      <w:pPr>
        <w:spacing w:after="0" w:line="12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MDS Enables the Delivery of Platform-Ready Solutions for Classified Programs. </w:t>
      </w:r>
      <w:r>
        <w:rPr>
          <w:rFonts w:ascii="Arial" w:cs="Arial" w:eastAsia="Arial" w:hAnsi="Arial"/>
          <w:sz w:val="17"/>
          <w:szCs w:val="17"/>
          <w:color w:val="auto"/>
        </w:rPr>
        <w:t>MDS was created in fiscal 2013 to enable us to directly pursue</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integration opportunities within the DoD. On top of that, we have the ability, within MDS, to draw on the critical subsystem innovations from MCE. We believe the development work through MDS will provide us leverage and implement key classified government intellectual property, including critical intelligence and signal processing algorithms. Within MDS, we will also be able to leverage our combination of domain knowledge, plus building blocks from MCE to serve the needs of our core defense prime contractor customer base. We believe that MDS also provides us the opportunity to directly integrate these building blocks along with intellectual property onto our existing MCE business, enabling us to deliver affordable, platform-ready integrated ISR subsystems that leverage our open architecture solutions and address key government technology and procurement concerns. MDS operations in this environment will also influence future product development so that critical future needs can be met in a timely manner.</w:t>
      </w:r>
    </w:p>
    <w:p>
      <w:pPr>
        <w:spacing w:after="0" w:line="1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 xml:space="preserve">Advanced Microelectronics Centers. </w:t>
      </w:r>
      <w:r>
        <w:rPr>
          <w:rFonts w:ascii="Arial" w:cs="Arial" w:eastAsia="Arial" w:hAnsi="Arial"/>
          <w:sz w:val="17"/>
          <w:szCs w:val="17"/>
          <w:color w:val="auto"/>
        </w:rPr>
        <w:t>Our Advanced Microelectronics Centers (“AMCs”) in Hudson, New Hampshire and West Caldwell, New Jersey</w:t>
      </w:r>
      <w:r>
        <w:rPr>
          <w:rFonts w:ascii="Arial" w:cs="Arial" w:eastAsia="Arial" w:hAnsi="Arial"/>
          <w:sz w:val="17"/>
          <w:szCs w:val="17"/>
          <w:i w:val="1"/>
          <w:iCs w:val="1"/>
          <w:color w:val="auto"/>
        </w:rPr>
        <w:t xml:space="preserve"> </w:t>
      </w:r>
      <w:r>
        <w:rPr>
          <w:rFonts w:ascii="Arial" w:cs="Arial" w:eastAsia="Arial" w:hAnsi="Arial"/>
          <w:sz w:val="17"/>
          <w:szCs w:val="17"/>
          <w:color w:val="auto"/>
        </w:rPr>
        <w:t>design, build and test both RF and microwave components and subsystems in support of a variety of key customer programs. With our fiscal 2014 move into our new AMC in Hudson, New Hampshire, including the installation of integrated business systems into both our AMCs, we have a platform for scalable, continued growth in our RF and microwave product lines. With our company-wide focus on continuous improvement in our security policies and practices, our AMCs, like most of our facilities, have earned Superior security ratings in vulnerability assessments conducted by the Defense Security Service ("DSS"). A Superior rating, the highest level awarded to cleared defense contractors by DSS, is awarded to contractors that consistently and fully implement the requirements of the National Industrial Security Program Operating Manual in an effective fashion, resulting in a security posture that is superior to other contractors of similar size and complexity. Our scalable microelectronics manufacturing operations at our AMCs enable rapid, cost-effective deployment of RF and microwave solutions to our customers.</w:t>
      </w:r>
    </w:p>
    <w:p>
      <w:pPr>
        <w:spacing w:after="0" w:line="12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Long-Standing Industry Relationships</w:t>
      </w:r>
      <w:r>
        <w:rPr>
          <w:rFonts w:ascii="Arial" w:cs="Arial" w:eastAsia="Arial" w:hAnsi="Arial"/>
          <w:sz w:val="18"/>
          <w:szCs w:val="18"/>
          <w:color w:val="auto"/>
        </w:rPr>
        <w:t>. We have established long-standing relationships with defense prime contractors, the U.S. government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key organizations in the defense industry over our 30 years in the defense electronics industry. Our customers include BAE Systems, the Boeing Company, Exelis, Lockheed Martin Corporation, Northrop Grumman Corporation, and Raytheon Company. Over this period, we have become recognized for our ability to develop new technologies and meet stringent program requirements. We believe we are well-positioned to maintain these high-level customer engagements.</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Over the past several years, our senior management team has refocused the Company on its economic core, developed a</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compelling strategy for the defense markets and restored profitability to the business. Having completed these critical steps to rebuild the Company and with a senior management team with significant experience in growing and scaling businesses, both through operating execution and acquisitions, we believe that we have demonstrated our operational capabilities and we are well-positioned for the next phase to transform, grow and scale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our strategy, we are focusing on being a commercial outsourcing partner to the large defense prime contractors as they seek the more rapid design, development and delivery of affordable, commercially developed, specialized processing solutions within the markets we serve. We deliver subsystem level engineering expertise as well as ongoing systems integration services addressing our strategy to capitalize on the multi-billion dollar subsystem market within the defense embedded electronics market segment.</w:t>
      </w:r>
    </w:p>
    <w:p>
      <w:pPr>
        <w:spacing w:after="0" w:line="13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the U.S. government mandates more outsourcing and open standards, a major shift is occurring within the defense prime contractor community towards procurement of integrated subsystems that enable quick application level porting through standards-based methodologies. We believe that our core expertise in this area is well aligned to capitalize on this trend. By leveraging our open architecture and high performance modular product set, we provide defense prime contractors with rapid deployment and quick reaction capabilities through our professional services and systems integration offerings. This results in less risk for the defense prime contractors, shortened development cycles, quicker solution deployment and reduced lifecycle costs.</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define service revenues as revenue from activities that are not associated with the design, development, production, or delivery of tangible assets, software or specific capabilities sold by us. Examples of our service revenues include: analyst services and systems engineering support, consulting, maintenance and other support, testing and installation. We combine our product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revenues into a single class as services revenues do not exceed 10 percent of total revenues. Formerly, a significant portion of our service revenues were provided by our former MIS operating segment, which was disposed of in fiscal 2015 and classified as a discontinued operation in all periods presented herein.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Products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actively design, market and sell complete software and middleware environments to accelerate development and execution of complex signal and image processing applications on a broad range of heterogeneous, multi-computing platforms. Our software suite is based on open standards and includes heterogeneous processor support with extensive high performance math libraries, multi-computing fabric support, net-centric and system management enabling services, extended operating system services, board support packages and development tools.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software is developed using some of the most advanced integrated development environments ("IDE’s"), such as Eclipse, and our work is done on multiple platforms including open source platforms such as Linux. Our software development teams are schooled in the most up-to-date software development methodologies.</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software and middleware provides customer application-level algorithm portability across rapidly evolving hardware processor types with math and input/output, or I/O, interfaces running at industry leading performance rates. In order to develop, test and integrate software ahead of hardware availability, we have invested in the notion of a Virtual Multi-Computer. The Virtual Multi-Computer model allows for concurrent engineering internally and with customers to accelerate time to deployment, improve quality and reduce development costs. In most cases, these software products are bundled together with broader solutions including hardware and/or services, while in other cases they are licensed separately.</w:t>
      </w:r>
    </w:p>
    <w:p>
      <w:pPr>
        <w:spacing w:after="0" w:line="119"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 xml:space="preserve">Our multi-computer software packages are marketed and licensed under the </w:t>
      </w:r>
      <w:r>
        <w:rPr>
          <w:rFonts w:ascii="Arial" w:cs="Arial" w:eastAsia="Arial" w:hAnsi="Arial"/>
          <w:sz w:val="18"/>
          <w:szCs w:val="18"/>
          <w:i w:val="1"/>
          <w:iCs w:val="1"/>
          <w:color w:val="auto"/>
        </w:rPr>
        <w:t>MultiCore Plus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registered trademark. These software products are a key differentiator for our systems business and represent only a modest amount of stand-alone revenue. We generally charge a user-based development license fee and bundle software run-time licenses with our hardware. We offer a standards-based software value proposition to our customers and provide this offer through several integrated software packages and service offerings.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Products</w:t>
      </w:r>
    </w:p>
    <w:p>
      <w:pPr>
        <w:spacing w:after="0" w:line="17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6"/>
          <w:szCs w:val="16"/>
          <w:color w:val="auto"/>
        </w:rPr>
        <w:t>We offer a broad family of products designed to meet the full range of requirements in compute-intensive, signal processing and image processing applications, multi-computer interconnect fabrics, sensor interfaces and command and control functions. To maintain a competitive advantage, we seek to leverage technology investments across multiple product lines. We are also influential in the industry-standard organizations associated with our market segments. For example, we started the OpenVPX</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initiative with the goal of providing customers with multi-vendor interoperable hardware built to well-defined system standards. We continue to leverage our embedded high performance processing technologies with our Intel server-class processing products as well as graphics based processor ("GPGPU") products. While this multi-computing and embedded processing technology is a core skill of Mercury Systems, the size, weight, and power ("SWaP") constraints that occur concurrent with the high performance embedded processing create unique challenges. For example, with the heat build-up involved in small subsystems, we introduced a key innovation in fiscal 2013 designed to address this challenge. The technology is called Air-Flow-By</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it allows previously unattainable levels of processing power within a small footprint by effectively removing heat so the server-class processors can perform at maximum designed power limits. In rugged environments where air is limited, such as high altitude operations, a technology developed in fiscal 2014 called Liquid-Flow-By</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has been successfully customer tested allowing maximum server-class processor performance in high altitude missions. These innovative cooling techniques for the first time allow full performance server-class processing in rugged environments enabling new and advanced modes of operation that enhance the multi-intelligence, situational awareness and EW capabilities in military platforms.</w:t>
      </w:r>
    </w:p>
    <w:p>
      <w:pPr>
        <w:spacing w:after="0" w:line="13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hardware products are typically compute-intensive and require extremely high inter-processor bandwidth and high I/O capacity. These systems often must also meet significant size, weight and power constraints for use in aircraft, UAVs, ships and other vehicles, and be ruggedized for use in highly demanding use environments. They are used in both commercial industrial applications, such as ground radar air traffic control, and advanced defense and intelligence applications, including space-time adaptive processing, synthetic aperture radar, airborne early warning, command, control, communication and information systems, mission planning, image intelligence and signal intelligence systems. Our products transform the massive streams of digital data created in these applications into usable information in real time. The systems can scale from a few processors to thousands of processors.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hardware products into the following categories:</w:t>
      </w:r>
    </w:p>
    <w:p>
      <w:pPr>
        <w:spacing w:after="0" w:line="90" w:lineRule="exact"/>
        <w:rPr>
          <w:sz w:val="20"/>
          <w:szCs w:val="20"/>
          <w:color w:val="auto"/>
        </w:rPr>
      </w:pPr>
    </w:p>
    <w:p>
      <w:pPr>
        <w:ind w:left="90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signal and image processing, multi-computer and sensor interfaces, including embedded processing boards, switch fabric boards, high speed input/output boards, digital receiver boards, and chassis-based systems using air, conduction, and proprietary cooling technologies;</w:t>
      </w:r>
    </w:p>
    <w:p>
      <w:pPr>
        <w:spacing w:after="0" w:line="11"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RF and microwave assemblies, including tuners, converters, transceivers, and switch filters;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RF and microwave components, including power amplifiers and limiters, switches, oscillators, and equalizers.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address the current challenges facing the war fighter, our government and defense prime contractors, we have developed a new product architecture that supports a more dynamic, iterative, spiral development process by leveraging open architecture standards and leading-edge commercial technologies and products. Configured and productized as integrated subsystems, customers can rapidly and cost-effectively port and adapt their applications to changing threats.</w:t>
      </w:r>
    </w:p>
    <w:p>
      <w:pPr>
        <w:spacing w:after="0" w:line="13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6"/>
          <w:szCs w:val="16"/>
          <w:color w:val="auto"/>
        </w:rPr>
        <w:t>Our open architecture is carried throughout our entire Ensemble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from the very small form-factor subsystems to the high-end, where ultimate processing power and reliability is of paramount importance to the mission. Our commercially-developed hardware and software product capabilities cover the entire ISR spectrum from acquisition and digitization of the signal, to processing of the signal, through the exploitation and dissemination of the information. We work continuously to improve our hardware technology with an eye toward optimization of SWaP demands, as outlined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research and development efforts are focused on developing new products and systems as well as enhancing existing hardware and software products in mission, signal and image processing. Our research and development goal is to fully exploit and maintain our technological lead in the high-performance, real-time sensor processing industry. Expenditures for research and development amounted to $32.6 million in fiscal 2015, $35.7 million in fiscal 2014 and $32.6 million in fiscal 2013. As of June 30, 2015, we had 207 employees, including hardware and software architects and design engineers, primarily engaged in engineering and research and product development activities. These individuals, in conjunction with our sales team, also devote a portion of their time to assisting customers in utilizing our products, developing new uses for these products and anticipating customer requirements for new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Commercial Electronics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majority of our sales are produced in International Organization for Standardization, or ISO, 9001:2000 quality system certified facilities. The current scope of delivered hardware products includes commercial and industrial class printed circuit board assemblies (modules), complex chassis systems, and RF &amp; microwave components and subsystems.</w:t>
      </w:r>
    </w:p>
    <w:p>
      <w:pPr>
        <w:spacing w:after="0" w:line="1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printed circuit board assemblies and chassis systems' manufacturing operations consist primarily of materials planning and procurement, final assembly and test and logistics (inventory and traffic management). We subcontract the assembly and testing of most embedded multi-computing products to contract manufacturers in the U.S. to build to our specifications. We currently rely primarily on one contract manufacturer. We have a comprehensive quality and process control plan for each of our products, which include an effective supply chain management program and the use of automated inspection and test equipment to assure the quality and reliability of our products. We perform most post sales service obligations (both warranty and other lifecycle support) in-house through a dedicated service and repair operation. We periodically review our contract manufacturing capabilities to ensure we are optimized for the right mix of quality, affordability, performance and on-time delivery.</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built out a new microelectronics facility in Hudson, New Hampshire that opened during fiscal 2014. This new facility consolidated the former microelectronics operations in Salem, New Hampshire and Hudson, New Hampshire as well as the former facilities in Ewing, New Jersey and Monroe, Connecticut. This new facility is specifically aimed at providing scalable manufacturing within our critical RF and microwave businesses. We leverage best practices in design, development, manufacturing and materials handling at this facility. The facility is part of our Advanced Microelectronics Centers, which includes our RF/microwave subsystems group in West Caldwell, New Jersey. The Advanced Microelectronics Centers design, build and test both RF and microwave components and subsystems in support of a variety of key customer programs.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Although we generally use standard parts and components for our products, certain components, including custom designed ASICs, static random access memory, FPGAs, microprocessors and other third-party chassis peripherals (single board computers, power supplies, blowers, etc.), are currently available only from a single source or from limited sources. With the exception of certain components that have gone “end of life”, we strive to maintain minimal supply commitments from our vendors and generally purchase components on a purchase order basis as opposed to entering into long-term procurement agreements with vendors. We have generally been able to obtain adequate supplies of components in a timely manner from current vendors or, when necessary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meet production needs, from alternate vendors. We believe that, in most cases, alternate vendors can be identified if current vendors are unable to fulfill needs.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Defense Systems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MDS designs, develops, and manufactures digital radio frequency memory (“DRFM”) units for a variety of modern EW applications, as well as radar environment simulation and test systems for defense and intelligence applications. MDS develops high performance SIGINT payloads and electro-optical/infrared ("EO/IR") technologies for small UAV platforms as well as powerful onboard UAV processor systems for real-time Wide Area Motion Imagery ("WAMI").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Commercial Electronics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MCE operates in a highly competitive marketplace characterized by rapidly changing technology, frequent product performance improvements, increasing speed of deployment to align with warfighters’ needs, and evolving industry standards and requirements coming from our customers or the DoD. Competition typically occurs at the design stage of a prospective customer’s product, where the customer evaluates alternative technologies and design approaches.</w:t>
      </w:r>
    </w:p>
    <w:p>
      <w:pPr>
        <w:spacing w:after="0" w:line="13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principal competitive factors in our market are price/performance value proposition, available new products at the time of design win engagement, services and systems integration capability, effective marketing and sales efforts, and reputation in the market. Our competitive strengths include innovative engineering in both hardware and software products, subsystem design expertise, advanced packaging capability to deliver the most optimized size, weight and power solution possible, our ability to rapidly respond to varied customer requirements, and a track record of successfully supporting many high profile programs in both the commercial and defense markets. There are a limited number of competitors across the market segments and application types in which we compete. Some of these competitors are larger and have greater resources than us. Some of these competitors compete against us at purely a board-level, others at a subsystem level. We also compete with in-house design teams at our customers. The DoD as well as the defense prime contractors are pushing for more outsourcing of subsystem designs to mitigate risk and to enable concurrent design of the platform which ultimately leads to faster time to deployment. We have aligned our strategy to capitalize on that trend and are leveraging our long standing subsystem expertise to provide this value to our customers.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Defense Systems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MDS competes with many specialized providers of EW-related solutions, test and simulation and SIGINT capabilities. These competitors range from small specialized pure play providers with limited solutions capabilities to full scale integrated providers who can provide large scale solutions and subsystems.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work directly with the DoD as well as with defense prime contractors. We can help drive subsystem development and deployment in both a classified and unclassified environment. We can produce DRFM based ECM solutions for tactical, testing and training applications. We have developed, within MDS, high performance SIGINT payloads for small UAV platforms as well as powerful onboard UAV processor systems for real-time Wide Area Motion Imagery ("WAMI"). These systems digest multiple simultaneous image sources to produce imagery for storage and exploitation. MDS has the ability to drive engineering experience, understanding of customer needs in critical domains, and then leverage MCE's building blocks, SWaP and packaging expertise and embedded processing legacy of excellence.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2015, we held 39 patents of varying duration issued in the United States. We file U.S. patent applications and, where appropriate, foreign patent applications. We also file continuations to cover both new and improved designs and products. At present, we have several U.S. and foreign patent applications in process.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also rely on a combination of trade secret, copyright, and trademark laws, as well as contractual agreements, to safeguard our proprietary rights in technology and products. In seeking to limit access to sensitive information to the greatest practical extent, we routinely enter into confidentiality and assignment of invention agreements with each of our employees and consultants and nondisclosure agreements with our key customers and vendors.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2015, we had a backlog of orders aggregating approximately $208.0 million, of which $166.5 million is expected to be delivered within the next twelve months. As of June 30, 2014, backlog was approximately $174.1 million. The defense backlog at June 30, 2015 was $198.9 million, a $38.1 million increase from June 30, 2014. We include in our backlog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orders for products and services for which we have accepted signed purchase orders, as long as that order is scheduled to ship or invoice in whole, or in part, within the next 24 months. Orders included in backlog may be canceled or rescheduled by customers, although the customer may incur cancellation penalties depending on the timing of the cancellation. A variety of conditions, both specific to the individual customer and generally affecting the customer’s industry, may cause customers to cancel, reduce or delay orders that were previously made or anticipated. We cannot assure the timely replacement of canceled, delayed or reduced orders. Significant or numerous cancellations, reductions or delays in orders by a customer or group of customers could materially and adversely affect our results of operations or our ability to predict future revenues. Backlog should not be relied upon as indicative of our revenues for any future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June 30, 2015, we employed a total of 629 people excluding contractors, including 207 in research and development, 67 in sales and marketing, 251 in manufacturing and customer support and 104 in general and administrative functions. We have five employees located in Europe, one located in Japan, and 623 located in the United States. We do not have any employees represented by a labor organization, and we believe that our relations with our employees are good.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revenues are concentrated in three defense prime contractors including Lockheed Martin Corporation, Raytheon Company and Northrop Grumman Corporation for the years ended June 30, 2015, 2014 and 2013. These three defense prime contractors comprised an aggregate of 61%, 43% and 38% of our revenues in each of the years ended June 30, 2015, 2014 and 2013, respectively. While we typically have customers which compose 10% or more of our revenue, the sales to each of these customers are spread across multiple programs and platforms.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www.mrcy.com</w:t>
      </w:r>
      <w:r>
        <w:rPr>
          <w:rFonts w:ascii="Arial" w:cs="Arial" w:eastAsia="Arial" w:hAnsi="Arial"/>
          <w:sz w:val="18"/>
          <w:szCs w:val="18"/>
          <w:color w:val="auto"/>
        </w:rPr>
        <w:t xml:space="preserve">. We make available on our website, free of charge, our annual report on Form 10-K, quarterly reports on Form 10-Q, and current reports on Form 8-K, including exhibits and amendments to those reports filed or furnished pursuant to Section 13(a) or 15(d) of the Securities Exchange Act of 1934, as soon as reasonably practicable after such reports are electronically filed with, or furnished to, the Securities and Exchange Commission (“SEC”). Our code of business conduct and ethics is also available on our website. We intend to disclose any future amendments to, or waivers from, our code of business conduct and ethics within four business days of the waiver or amendment through a website posting or by filing a current report on Form 8-K with the SEC. Information contained on our website does not constitute part of this report. Our reports filed with, or furnished to, the SEC are also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EchoCore, Echotek, Ensemble, PowerStream, RACE++ and MultiCore Plus are registered trademarks, and Mercury Systems, Innovation that Matters, Air Flow-By, Liquid Flow-By, and POET are trademarks of Mercury Systems, Inc. OpenVPX is a trademark of the VMEbus International Trade Association. All other trademarks and registered trademarks are the property of their respective holders, and are hereby acknowledged.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depend heavily on defense electronics programs that incorporate our products and services, which may be only partially funded and are subject to potential termination and reductions and delays in government spending.</w:t>
      </w:r>
    </w:p>
    <w:p>
      <w:pPr>
        <w:spacing w:after="0" w:line="11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Sales of our products and related services, primarily as an indirect subcontractor or team member with defense prime contractors, and in some cases directly, to the U.S. government and its agencies, as well as foreign governments and agencies, accounted for approximately 94%, 92%, and 90% of our total net revenues in fiscal 2015, 2014, and 2013, respectively. Our products and services are incorporated into many different domestic and international defense programs. Over the lifetime of a defense program, the award of many different individual contracts and subcontracts may impact our products’ requirements. The funding of U.S. government programs is subject to Congressional appropriations. Although multiple-year contracts may be planned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 and prime contracts receive such funding. The reduction or delay in funding or termination of a government program in which we are involved would result in a loss of or delay in receiving anticipated future revenues attributable to that program and contracts or orders received. The U.S. government could reduce or terminate a prime contract under which we are a subcontractor or team member irrespective of the quality of our products or services. The termination of a program or the reduction in or failure to commit additional funds to a program in which we are involved could negatively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impact our revenues and have a material adverse effect on our financial condition and results of operations. The U.S. defense budget frequently operates under a continuing budget resolution, which increases revenue uncertainty and volatility. During fiscal 2014, the Presidential election, bipartisan gridlock in Congress, a continuing budget resolution, and the implementation of defense budget sequestration impacted our revenues and increased uncertainty in our business and financial planning. For fiscal 2016 and beyond, the potential for further bipartisan gridlock in Congress, another continuing budget resolution, and the defense industry operating under sequestration may continue to adversely impact our revenues and increase uncertainty in our business and financial planning. In addition, delays in the funding for new or existing programs, or of the defense appropriation generally, could negatively impact our revenues and have a material adverse effect on our financial condition and results of operations for the period in which such revenues were originally anticipated. Further, oil price volatility and the decline in oil prices may negatively impact foreign military sales funding program size due to oil's impact on foreign budgets.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could adversely affect our business, results of operations and financial condition.</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world’s financial markets have experienced turmoil, characterized by reductions in available credit, volatility in security prices, rating downgrades of investments, and reduced valuations of securities. These events have materially and adversely impacted the availability of financing to a wide variety of businesses, including small businesses, and the resulting uncertainty has led to reductions in capital investments, overall spending levels, future product plans, and sales projections across many industries and markets. These trends could have a material adverse impact on our business. These trends could also impact our financial condition and our ability to achieve targeted results of operations due to:</w:t>
      </w:r>
    </w:p>
    <w:p>
      <w:pPr>
        <w:spacing w:after="0" w:line="37"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and delayed demand for our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downward pressure on the prices of our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0"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and short-term investments or to our line of credit when needed.</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Further, the funding of the defense programs that incorporate our products and services is subject to the overall U.S. government budget and appropriation decisions and processes, which are driven by numerous factors beyond our control, including geo-political, macroeconomic, and political conditions. Increased federal budget deficits could result in reduced Congressional appropriations, such as defense budget sequestration, for the defense programs that use our defense electronics products and services. Reduced baseline defense budgets could reduce the number of funded programs in which we participate. In addition, Congress could fund U.S. government operations through a continuing budget resolution without approving a formal budget for the government fiscal year, thereby potentially reducing or delaying the demand for our products. We are unable to predict the likely duration and severity of adverse economic conditions in the United States and other countries, but the longer the duration or the greater the severity, the greater the risks we face in operating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other risks and uncertainties associated with defense-related contracts, which may have a material adverse effect on our business.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Whether our contracts are directly with the U.S. government, a foreign government, or one of their respective agencies, or indirectly as a subcontractor or team member, our contracts and subcontracts are subject to special risks. For example:</w:t>
      </w:r>
    </w:p>
    <w:p>
      <w:pPr>
        <w:spacing w:after="0" w:line="35" w:lineRule="exact"/>
        <w:rPr>
          <w:sz w:val="20"/>
          <w:szCs w:val="20"/>
          <w:color w:val="auto"/>
        </w:rPr>
      </w:pPr>
    </w:p>
    <w:p>
      <w:pPr>
        <w:jc w:val="both"/>
        <w:ind w:left="640" w:hanging="321"/>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administration and national and international priorities, including developments in the geo-political environment, could have a significant impact on national or international defense spending priorities and the efficient handling of routine contractual matters. These changes could have a negative impact on our business in the future.</w:t>
      </w:r>
    </w:p>
    <w:p>
      <w:pPr>
        <w:spacing w:after="0" w:line="46" w:lineRule="exact"/>
        <w:rPr>
          <w:rFonts w:ascii="Arial" w:cs="Arial" w:eastAsia="Arial" w:hAnsi="Arial"/>
          <w:sz w:val="18"/>
          <w:szCs w:val="18"/>
          <w:color w:val="auto"/>
        </w:rPr>
      </w:pPr>
    </w:p>
    <w:p>
      <w:pPr>
        <w:jc w:val="both"/>
        <w:ind w:left="640" w:hanging="321"/>
        <w:spacing w:after="0" w:line="25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contracts with the U.S. and foreign governments and their defense prime contractors and subcontractors are subject to termination either upon default by us or at the convenience of the government or contractor if, among other reasons, the program itself has been terminated. Termination for convenience provisions generally entitle us to recover costs incurred, settlement expenses and profit on work completed prior to termination, but there can be no assurance in this regard.</w:t>
      </w:r>
    </w:p>
    <w:p>
      <w:pPr>
        <w:spacing w:after="0" w:line="51" w:lineRule="exact"/>
        <w:rPr>
          <w:rFonts w:ascii="Arial" w:cs="Arial" w:eastAsia="Arial" w:hAnsi="Arial"/>
          <w:sz w:val="18"/>
          <w:szCs w:val="18"/>
          <w:color w:val="auto"/>
        </w:rPr>
      </w:pPr>
    </w:p>
    <w:p>
      <w:pPr>
        <w:jc w:val="both"/>
        <w:ind w:left="640" w:hanging="321"/>
        <w:spacing w:after="0" w:line="25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we contract to supply goods and services to the U.S. and foreign governments and their prime and subcontractors, we compete for contracts in a competitive bidding process and, in the event we are awarded a contract, we are subject to protests by disappointed bidders of contract awards that can result in the reopening of the bidding process and changes in governmental policies or regulations and other political factors. In addition, we may be subject to multiple rebid requirements over the life of a defense program in order to continue to participate on such program, which can result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40"/>
        <w:spacing w:after="0" w:line="324" w:lineRule="auto"/>
        <w:rPr>
          <w:sz w:val="20"/>
          <w:szCs w:val="20"/>
          <w:color w:val="auto"/>
        </w:rPr>
      </w:pPr>
      <w:r>
        <w:rPr>
          <w:rFonts w:ascii="Arial" w:cs="Arial" w:eastAsia="Arial" w:hAnsi="Arial"/>
          <w:sz w:val="18"/>
          <w:szCs w:val="18"/>
          <w:color w:val="auto"/>
        </w:rPr>
        <w:t>the loss of the program or significantly reduce our revenue or margin from the program. The government’s requirements for more frequent technology refreshes on defense programs may lead to increased costs and lower long term revenues.</w:t>
      </w:r>
    </w:p>
    <w:p>
      <w:pPr>
        <w:spacing w:after="0" w:line="8" w:lineRule="exact"/>
        <w:rPr>
          <w:sz w:val="20"/>
          <w:szCs w:val="20"/>
          <w:color w:val="auto"/>
        </w:rPr>
      </w:pPr>
    </w:p>
    <w:p>
      <w:pPr>
        <w:jc w:val="both"/>
        <w:ind w:left="640" w:hanging="321"/>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among defense industry contractors has resulted in a few large contractors with increased bargaining power relative to us. The increased bargaining power of these contractors may adversely affect our ability to compete for contracts and, as a result, may adversely affect our business or results of operations in the future.</w:t>
      </w:r>
    </w:p>
    <w:p>
      <w:pPr>
        <w:spacing w:after="0" w:line="46" w:lineRule="exact"/>
        <w:rPr>
          <w:rFonts w:ascii="Arial" w:cs="Arial" w:eastAsia="Arial" w:hAnsi="Arial"/>
          <w:sz w:val="18"/>
          <w:szCs w:val="18"/>
          <w:color w:val="auto"/>
        </w:rPr>
      </w:pPr>
    </w:p>
    <w:p>
      <w:pPr>
        <w:jc w:val="both"/>
        <w:ind w:left="640" w:hanging="321"/>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include U.S. government contractors who must comply with and are affected by laws and regulations relating to the formation, administration, and performance of U.S. government contracts. In addition, when our business units, such as MDS, contract with the U.S. government, they must comply with these laws and regulations, including the organizational conflict-of-interest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contracts between our business units and the U.S. government.</w:t>
      </w:r>
    </w:p>
    <w:p>
      <w:pPr>
        <w:spacing w:after="0" w:line="58" w:lineRule="exact"/>
        <w:rPr>
          <w:rFonts w:ascii="Arial" w:cs="Arial" w:eastAsia="Arial" w:hAnsi="Arial"/>
          <w:sz w:val="18"/>
          <w:szCs w:val="18"/>
          <w:color w:val="auto"/>
        </w:rPr>
      </w:pPr>
    </w:p>
    <w:p>
      <w:pPr>
        <w:jc w:val="both"/>
        <w:ind w:left="640" w:hanging="321"/>
        <w:spacing w:after="0" w:line="25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sell many products to U.S. and international defense contractors and also directly to the U.S. government as a commercial supplier such that cost data is not supplied. To the extent that there are interpretations or changes in the Federal Acquisition Regulations regarding the qualifications necessary to be a commercial item supplier, there could be a material adverse effect on our business and operating results. For example, there have been legislative proposals to narrow the definition of a “commercial item” (as defined in the Federal Acquisition Regulations) that could limit our ability to contract as a commercial item supplier. In addition, growth in our defense sales relative to our commercial sales could adversely impact our status as a commercial supplier, which could adversely affect our business and operating results. Changes in our mix of business, in federal regulations, or in the interpretation of federal regulations, may subject us to audit by the Defense Contract Audit Agency ("DCAA") for certain of our products or services. Such changes may require us to implement a DCAA cost-accounting system at our commercial item business unit. Operating under a cost-accounting business model rather than our historical commercial item business model could adversely impact our revenues and profitability.</w:t>
      </w:r>
    </w:p>
    <w:p>
      <w:pPr>
        <w:spacing w:after="0" w:line="59" w:lineRule="exact"/>
        <w:rPr>
          <w:rFonts w:ascii="Arial" w:cs="Arial" w:eastAsia="Arial" w:hAnsi="Arial"/>
          <w:sz w:val="18"/>
          <w:szCs w:val="18"/>
          <w:color w:val="auto"/>
        </w:rPr>
      </w:pPr>
    </w:p>
    <w:p>
      <w:pPr>
        <w:jc w:val="both"/>
        <w:ind w:left="640" w:hanging="321"/>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qualify as a “small business” for government contracts purposes under the definition of that term in an applicable NAICS code because we have fewer than 1,000 employees. As we grow and potentially have over 1,000 employees in the future, we would no longer qualify as a small business. Loss of our small business status could negatively impact us, including our customers purchases from us would not qualify as purchases from a small business, customers may flow down additional Federal Acquisition Regulation, or FAR, clauses in their contracts with us that are less favorable than our existing contract terms and conditions, and the flow down of certain FAR clauses may require us to implement a DCAA cost-accounting system at our commercial item business unit.</w:t>
      </w:r>
    </w:p>
    <w:p>
      <w:pPr>
        <w:spacing w:after="0" w:line="58" w:lineRule="exact"/>
        <w:rPr>
          <w:rFonts w:ascii="Arial" w:cs="Arial" w:eastAsia="Arial" w:hAnsi="Arial"/>
          <w:sz w:val="18"/>
          <w:szCs w:val="18"/>
          <w:color w:val="auto"/>
        </w:rPr>
      </w:pPr>
    </w:p>
    <w:p>
      <w:pPr>
        <w:jc w:val="both"/>
        <w:ind w:left="640" w:hanging="321"/>
        <w:spacing w:after="0" w:line="276"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subject to the Defense Federal Acquisition Regulations Supplement, referred to as DFARS, in connection with our defense work for the U.S. government and defense prime contractors. Amendments to the DFARS, such as the amendment to the DFARS specialty metals clause requiring that the specialty metals in specified items be melted or produced in the U.S. or other qualifying countries, may increase our costs for certain materials or result in supply-chain difficulties or production delays due to the limited availability of compliant materials. Compliance with the new conflict minerals regulations enacted pursuant to the Dodd Frank legislation poses similar risks and increases our costs.</w:t>
      </w:r>
    </w:p>
    <w:p>
      <w:pPr>
        <w:spacing w:after="0" w:line="37" w:lineRule="exact"/>
        <w:rPr>
          <w:rFonts w:ascii="Arial" w:cs="Arial" w:eastAsia="Arial" w:hAnsi="Arial"/>
          <w:sz w:val="17"/>
          <w:szCs w:val="17"/>
          <w:color w:val="auto"/>
        </w:rPr>
      </w:pPr>
    </w:p>
    <w:p>
      <w:pPr>
        <w:jc w:val="both"/>
        <w:ind w:left="640" w:hanging="321"/>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U.S. government or a defense prime contractor customer could require us to relinquish data rights to a product in connection with performing work on a defense contract, which could lead to a loss of valuable technology and intellectual property in order to participate in a government program.</w:t>
      </w:r>
    </w:p>
    <w:p>
      <w:pPr>
        <w:spacing w:after="0" w:line="46" w:lineRule="exact"/>
        <w:rPr>
          <w:rFonts w:ascii="Arial" w:cs="Arial" w:eastAsia="Arial" w:hAnsi="Arial"/>
          <w:sz w:val="18"/>
          <w:szCs w:val="18"/>
          <w:color w:val="auto"/>
        </w:rPr>
      </w:pPr>
    </w:p>
    <w:p>
      <w:pPr>
        <w:jc w:val="both"/>
        <w:ind w:left="640" w:hanging="321"/>
        <w:spacing w:after="0" w:line="271"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subject to various U.S. federal export-control statutes and regulations which affect our business with, among others, international defense customers. In certain cases the export of our products and technical data to foreign persons, and the provision of technical services to foreign persons related to such products and technical data, may require licenses from the U.S. Department of Commerce or the U.S. Department of State. The time required to obtain these licenses, and the restrictions that may be contained in these licenses, may put us at a competitive disadvantage with respect to competing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and operating results. For fiscal 2015, we needed to further adapt our export procedures for the new federal export reform regulations that went into effect during the fiscal year.</w:t>
      </w:r>
    </w:p>
    <w:p>
      <w:pPr>
        <w:spacing w:after="0" w:line="43" w:lineRule="exact"/>
        <w:rPr>
          <w:rFonts w:ascii="Arial" w:cs="Arial" w:eastAsia="Arial" w:hAnsi="Arial"/>
          <w:sz w:val="17"/>
          <w:szCs w:val="17"/>
          <w:color w:val="auto"/>
        </w:rPr>
      </w:pPr>
    </w:p>
    <w:p>
      <w:pPr>
        <w:jc w:val="both"/>
        <w:ind w:left="640" w:hanging="321"/>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anticipate that sales to our U.S. prime defense contractor customers as part of foreign military sales (“FMS”) programs will be an increasing part of our business going forward. These FMS sales combine several different types of risks and uncertainties highlighted above, including risks related to government contracts, risks related to defense contracts, timing and budgeting of foreign governments, and approval from the U.S. and foreign governments related to the programs, all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40" w:right="20"/>
        <w:spacing w:after="0" w:line="324" w:lineRule="auto"/>
        <w:rPr>
          <w:sz w:val="20"/>
          <w:szCs w:val="20"/>
          <w:color w:val="auto"/>
        </w:rPr>
      </w:pPr>
      <w:r>
        <w:rPr>
          <w:rFonts w:ascii="Arial" w:cs="Arial" w:eastAsia="Arial" w:hAnsi="Arial"/>
          <w:sz w:val="18"/>
          <w:szCs w:val="18"/>
          <w:color w:val="auto"/>
        </w:rPr>
        <w:t>of which may be impacted by macroeconomic and geopolitical factors outside of our control. For example, the decline in oil prices may negatively impact foreign defense budgets.</w:t>
      </w:r>
    </w:p>
    <w:p>
      <w:pPr>
        <w:spacing w:after="0" w:line="8" w:lineRule="exact"/>
        <w:rPr>
          <w:sz w:val="20"/>
          <w:szCs w:val="20"/>
          <w:color w:val="auto"/>
        </w:rPr>
      </w:pPr>
    </w:p>
    <w:p>
      <w:pPr>
        <w:jc w:val="both"/>
        <w:ind w:left="640" w:hanging="321"/>
        <w:spacing w:after="0" w:line="25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of our employees with appropriate security clearances may require access to classified information in connection with the performance of a U.S. government contract. We must comply with security requirements pursuant to the National Industrial Security Program Operating Manual, or NISPOM, and other U.S. government security protocols when accessing sensitive information. Failure to comply with the NISPOM or other security requirements may subject us to civil or criminal penalties, loss of access to sensitive information, loss of a U.S. government contract, or potentially debarment as a government contractor.</w:t>
      </w:r>
    </w:p>
    <w:p>
      <w:pPr>
        <w:spacing w:after="0" w:line="53" w:lineRule="exact"/>
        <w:rPr>
          <w:rFonts w:ascii="Arial" w:cs="Arial" w:eastAsia="Arial" w:hAnsi="Arial"/>
          <w:sz w:val="18"/>
          <w:szCs w:val="18"/>
          <w:color w:val="auto"/>
        </w:rPr>
      </w:pPr>
    </w:p>
    <w:p>
      <w:pPr>
        <w:jc w:val="both"/>
        <w:ind w:left="640" w:hanging="321"/>
        <w:spacing w:after="0" w:line="2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need to invest additional capital to build out higher level security infrastructure at certain of our facilities to capture new design wins on defense programs with higher level security requirements. Failure to invest in such infrastructure may limit our ability to obtain new design wins on defense programs. In addition, we may need to invest in additional secure laboratory space to efficiently integrate subsystem level solutions and maintain quality assurance on current and future programs.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largest customers, programs, or applications could adversely affect our results of operations.</w:t>
      </w:r>
    </w:p>
    <w:p>
      <w:pPr>
        <w:spacing w:after="0" w:line="17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dependent on a small number of customers for a large portion of our revenues. A significant decrease in the sales to or loss of any of our major customers would have a material adverse effect on our business and results of operations. In fiscal 2015, Raytheon Company accounted for 37% of our total net revenues, Lockheed Martin Corporation accounted for 20% of our total net revenues, and Northrop Grumman Corporation accounted for 4% of our total net revenues. In fiscal 2014, Lockheed Martin Corporation accounted for 18% of our total net revenues, Raytheon Company accounted for 13% of our total net revenues, and Northrop Grumman Corporation accounted for 12% of our total net revenues. In fiscal 2013, Lockheed Martin Corporation accounted for 17% of our total net revenues, Raytheon Company accounted for 10% of our total net revenues, and Northrop Grumman Corporation accounted for 11% of our total net revenues. The defense market is highly acquisitive, which could lead to further concentration in our largest customers. Customers in the defense market generally purchase our products in connection with government programs that have a limited duration, leading to fluctuating sales to any particular customer in this market from year to year. In addition, our revenues are largely dependent upon the ability of customers to develop and sell products that incorporate our products. No assurance can be given that our customers will not experience financial, technical or other difficulties that could adversely affect their operations and, in turn, our results of operations. Additionally, on a limited number of programs the customer has co-manufacturing rights which could lead to a shift of production on such a program away from us which in turn could lead to lower revenues.</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dependent on sales for radar applications for a large portion of our revenues. Sales related to radar applications accounted for 61%, 53% and 38% of our total net revenues for fiscal 2015, 2014, and 2013, respectively. While our radar sales relate to multiple different platforms and defense programs, our revenues are largely dependent upon our customers incorporating our products into radar applications. For the fiscal years ended June 30, 2015, 2014 and 2013, the Aegis program individually comprised 12%, 15% and 10% of the Company's revenues, respectively. For the fiscal years ended June 30, 2015, Patriot and F-35 accounted for 18% and 16% of the Company's revenue, respectively. Loss of a significant radar program could adversely affect our results of operations.</w:t>
      </w:r>
    </w:p>
    <w:p>
      <w:pPr>
        <w:spacing w:after="0" w:line="13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Going forward, we believe the SEWIP program and the Patriot missile defense program could be a large portion of our future revenues in the coming years, and the loss or cancellation of these programs could adversely affect our future results. In addition, as we shift our business mix toward more services-led engagements with legacy product revenues becoming a lesser amount of our total revenues, we could experience downward pressure on margins and reduced profitability. Further, new programs may yield lower margins than legacy programs, which could result in an overall reduction in gross margins.</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respond adequately to our competition or to changing technology, we may lose existing customers and fail to win future business opportunities.</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markets for our products are highly competitive and are characterized by rapidly changing technology, frequent product performance improvements and evolving industry standards. Competitors may be able to offer more attractive pricing or develop products that could offer performance features that are superior to our products, resulting in reduced demand for our products. We may be unable to keep pace with competitors’ marketing and the lack of visibility in the marketplace may negatively impact design wins, bookings, and revenues. Customers may also decide to reduce costs and accept the least costly technically acceptable alternative to our products or services. In addition, customers may decide to insource products that they have traditionally outsourced to us. Due to the rapidly changing nature of technology, we may not become aware in advance of the emergence of new competitors into our markets. The emergence of new competitors into markets targeted by us could result in the loss of existing customers and may have a negative impact on our ability to win future business opportunities. In addition to adapting to rapidly changing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technology, we must also develop a reputation as a best-of-breed technology provider. Competitors may be perceived in the market as being providers of open-source architectures versus Mercury as a closed-architecture company. Perceptions of Mercury as a high-cost provider, or as having stale technology could cause us to lose existing customers or fail to win new business. Further, our lack of strong engagements with important government-funded laboratories (e.g. DARPA, MIT Lincoln Labs, MITRE) may inhibit our ability to become subsystem solution design partners with our defense prime customers. With the reduction in force in our engineering group during fiscal 2013 as part of our cost containment efforts, we have fewer engineering resources to deliver advanced, subsystem level products to satisfy our customers' demanding expectations.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continued microprocessor evolution, low-end systems could become adequate to meet the requirements of an increased number of the lesser-demanding applications within our target markets. Workstation or blade center computer manufacturers and other low-end single-board computer, or new competitors, may attempt to penetrate the high-performance market for defense electronics systems, which could have a material adverse effect on our business. In addition, our customers provide products to markets that are subject to technological cycles. Any change in the demand for our products due to technological cycles in our customers’ end markets could result in a decrease in our revenues.</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11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compete in highly competitive industries, and our OEM customers generally extend the competitive pressures they face throughout their respective supply chains. Additionally, our markets are facing increasing industry consolidation, resulting in larger competitors who have more market share to put more downward pressure on prices and offer a more robust portfolio of products and services. We are subject to competition based upon product design, performance, pricing, quality and services. Our product performance,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OEM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 This competition could result in fewer customer orders and a loss of market share.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sales in the defense market could be adversely affected by the emergence of commodity-type products as acceptable substitutes for certain of our products and by uncertainty created by emerging changes in standards that may cause customers to delay purchases or seek alternative solutions.</w:t>
      </w:r>
    </w:p>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products for the defense market are designed for operating under physical constraints such as limited space, weight, and electrical power. Furthermore, these products are often designed to be “rugged,” that is, to withstand enhanced environmental stress such as extended temperature range, shock, vibration, and exposure to sand or salt spray. Historically these requirements have often precluded the use of less expensive, readily available commodity-type systems typically found in more benign non-military settings. Factors that may increase the acceptability of commodity-type products in some defense platforms that we serve include improvements in the physical properties and durability of such alternative products, combined with the relaxation of physical and ruggedness requirements by the military due to either a reevaluation of those requirements or the installation of products in a more highly environmentally isolated setting. These developments could negatively impact our revenues and have a material adverse effect on our business and operating results.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respond to commercial industry cycles in terms of our cost structure, manufacturing capacity and/or personnel need, our business could be seriously harmed.</w:t>
      </w:r>
    </w:p>
    <w:p>
      <w:pPr>
        <w:spacing w:after="0" w:line="11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timing, length and severity of the up-and-down cycles in the telecommunications and other commercial industries are difficult to predict. This cyclical nature of the industries in which we operate affects our ability to accurately predict future revenue, and in some cases, future expense levels. In the current environment, our ability to accurately predict our future operating results is particularly low.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When cyclical fluctuations result in lower than expected revenue levels, operating results may be adversely affected and cost reduction measures may be necessary in order for us to remain competitive and financially sound. During periods of declining revenues, we must be in a position to adjust our cost and expense structure to reflect prevailing market conditions and to continue to motivate and retain our key employees. If we fail to respond, then our business could be seriously harmed. In addition, during periods of rapid growth, we must be able to increase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our growth strategy may not be successful, which could affect our ability to increase revenues.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growth strategy includes developing new products, adding new customers within our existing markets, and entering new markets, as well as identifying and integrating acquisitions and achieving revenue and cost synergies and economies of scale. Our ability to compete in new markets will depend upon a number of factors including, among others:</w:t>
      </w:r>
    </w:p>
    <w:p>
      <w:pPr>
        <w:spacing w:after="0" w:line="46"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create demand for products in new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90"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respond to changes in our customers’ businesses by updating existing products and introducing, in a timely fashion, new products which meet the needs of our customers;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 reputation as a best-of-breed technology provider;</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quality of our new products;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respond rapidly to technological change;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acquisitions that we make and achieve revenue and cost synergies and economies of scale.</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failure to do any of the foregoing could have a material adverse effect on our business, financial condition and results of operations. In addition, we may face competition in these new markets from various companies that may have substantially greater research and development resources, marketing and financial resources, manufacturing capability and/or customer support organizations.</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Growing our business, in particular by providing services and products such as sophisticated subsystems for major defense programs like Patriot, SEWIP and Aegis, could strain our operational capacity and working capital demands if not properly anticipated and managed. Pursuing such growth could result in our operational and infrastructure resources being spread too thin, which could negatively impact our ability to deliver quality product on schedule and on budget. Providing quality services for subsystem level products is a key driver of our growth strategy and the failure to properly scale our capabilities to support our customers at a subsystem level could result in lost opportunities and revenues.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acquisitions may adversely affect our financial condition.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part of our strategy for growth, we may continue to explore acquisitions or strategic alliances, which may not be completed or may not be ultimately beneficial to us.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Acquisitions may pose risks to our operations, including:</w:t>
      </w:r>
    </w:p>
    <w:p>
      <w:pPr>
        <w:spacing w:after="0" w:line="90"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problems and increased costs in connection with the integration of the personnel, operations, technologies, or products of the acquired businesses;</w:t>
      </w:r>
    </w:p>
    <w:p>
      <w:pPr>
        <w:spacing w:after="0" w:line="113" w:lineRule="exact"/>
        <w:rPr>
          <w:rFonts w:ascii="Arial" w:cs="Arial" w:eastAsia="Arial" w:hAnsi="Arial"/>
          <w:sz w:val="16"/>
          <w:szCs w:val="16"/>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achieve anticipated increases in revenues and profitability;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business relationships with suppliers and customers and those of the acquired company;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acquired assets becoming impaired as a result of technical advancements or worse-than-expected performance by the acquired company;</w:t>
      </w:r>
    </w:p>
    <w:p>
      <w:pPr>
        <w:spacing w:after="0" w:line="101" w:lineRule="exact"/>
        <w:rPr>
          <w:rFonts w:ascii="Arial" w:cs="Arial" w:eastAsia="Arial" w:hAnsi="Arial"/>
          <w:sz w:val="17"/>
          <w:szCs w:val="17"/>
          <w:color w:val="auto"/>
        </w:rPr>
      </w:pPr>
    </w:p>
    <w:p>
      <w:pPr>
        <w:ind w:left="640" w:hanging="321"/>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rationalize manufacturing capacity, locations, and operating models to achieve anticipated economies of scale, or disruptions to manufacturing and product design operations during the combination of facilities;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associated with accounting for earn-outs in a given transaction;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markets in which we have no, or limited, prior experience;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in connection with any acquisitions or investments we could:</w:t>
      </w:r>
    </w:p>
    <w:p>
      <w:pPr>
        <w:spacing w:after="0" w:line="90"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stock that would dilute our existing shareholders’ ownership percentages;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debt and assume liabilities;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financing on unfavorable terms, or not be able to obtain financing on any terms at all;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amortization expenses related to acquired intangible assets or incur large and immediate write-offs;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4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large expenditures related to office closures of the acquired companies, including costs relating to the termination of employees and facility and leasehold improvement charges resulting from our having to vacate the acquired companies’ premises; and</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cash that would otherwise be available to fund operations or for other purposes.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failure to successfully integrate any acquisitions in an efficient or timely manner may negatively impact our financial condition and operating results, or we may not be able to fully realize anticipated savings.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obtain critical components from suppliers, which could disrupt or delay our ability to deliver products to our customers.</w:t>
      </w:r>
    </w:p>
    <w:p>
      <w:pPr>
        <w:spacing w:after="0" w:line="19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Several components used in our products are currently obtained from sole-source suppliers. We are dependent on key vendors like LSI Logic Corporation, Xilinx, Inc., and IBM Corporation for custom-designed application-specific integrated circuits (“ASICs”) and field programmable gate arrays (“FPGAs”), Freescale Semiconductor, Inc. and IBM Corporation for PowerPC microprocessors, Intel Corporation for our next generation processors, IBM Corporation for a specific SRAM, Curtiss Wright Corporation and Motorola, Inc. for chassis and chassis components and Benchmark Electronics, Inc. for board assembly, test and integration. The semiconductor industry is experiencing a significant year over year increase in demand amid an uncertain macro-economy which is limiting any investment in additional capacity. We believe this dynamic will result in increased lead-time for most classes of semiconductors and passive components and will continue to put pressure on component pricing where supply becomes constrained. Generally, suppliers may terminate their contracts with us without cause upon 30 days’ notice and may cease offering their products upon 180 days’ notice. If any of our sole-source suppliers limits or reduces the sale of these components, we may be unable to fulfill customer orders in a timely manner or at all. In addition, if these or other component suppliers, some of which are small companies, experienced financial difficulties or other problems that prevented them from supplying us with the necessary components, we could experience a loss of revenues due to our inability to fulfill orders. These sole-source and other suppliers are each subject to quality and performance issues, materials shortages, excess demand, reduction in capacity and other factors that may disrupt the flow of goods to us or to our customers, which would adversely affect our business and customer relationships. We have no guaranteed supply arrangements with our suppliers and there can be no assurance that these suppliers will continue to meet our requirements. If supply arrangements are interrupted, we may not be able to find another supplier on a timely or satisfactory basis. We may incur significant set-up costs and delays in manufacturing should it become necessary to replace any key vendors due to work stoppages, shipping delays, financial difficulties, natural or manmade disasters or other factors.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effectively manage our relationships with contract manufacturers.</w:t>
      </w:r>
    </w:p>
    <w:p>
      <w:pPr>
        <w:spacing w:after="0" w:line="17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may not be able to effectively manage our relationship with contract manufacturers, and the contract manufacturers may not meet future requirements for timely delivery. We rely on contract manufacturers to build hardware sub-assemblies for our products in accordance with our specifications. During the normal course of business, we may provide demand forecasts to contract manufacturers up to five months prior to scheduled delivery of our products to customers. If we overestimate requirements, the contract manufacturers may assess cancellation penalties or we may be left with excess inventory, which may negatively impact our earnings. If we underestimate requirements, the contract manufacturers may have inadequate inventory, which could interrupt manufacturing of our products and result in delays in shipment to customers and revenue recognition. Contract manufacturers also build products for other companies, and they may not have sufficient quantities of inventory available or sufficient internal resources to fill our orders on a timely basis or at all.</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there have been a number of major acquisitions within the contract manufacturing industry in recent periods. While there has been no significant impact on our contract manufacturers to date, future acquisitions could potentially have an adverse effect on our working relationships with contract manufacturers. Moreover, we currently rely primarily on one contract manufacturer, Benchmark Electronics, Inc. The failure of this contract manufacturer to fill our orders on a timely basis or in accordance with our customers’ specifications could result in a loss of revenues and damage to our reputation. We may not be able to replace this contract manufacturer in a timely manner or without significantly increasing our costs if such contract manufacturer were to experience financial difficulties or other problems that prevented it from fulfilling our order requirements.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With the expansion of our microwave and RF product lines in recent years, primarily related to the acquisitions of Micronetics, Inc., KOR Electronics, and LNX Corporation, the mix of products that we manufacture in-house has increased. If we are unable to develop a co-manufacturing relationship with a contract manufacturer to scale production capacity for our microwave and RF products, our ability to reduce production costs and improve product quality may be limited. With the building of our Advanced Microelectronics Center in Hudson, New Hampshire during fiscal 2014, we are becoming more vertically integrated in our microwave and RF product lines. This vertical integration could lead to higher capital intensity, labor utilization rate volatility which could affect our profitability, and higher fixed costs. Also, the changes to business processes and IT systems required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combine two locations into a single site like our new Advanced Microelectronics Center may interrupt our operations for a period of time resulting in higher costs, lower revenues and missed opportunities for design wins.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international operations and markets.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market and sell products in international markets, and have established offices and subsidiaries in Europe and Japan. Revenues from international operations accounted for 2%, 4% and 6% of our total net revenues in fiscal 2015, 2014 and 2013, respectively. We also ship directly from our U.S. operations to international customers. There are inherent risks in transacting business internationally, including:</w:t>
      </w:r>
    </w:p>
    <w:p>
      <w:pPr>
        <w:spacing w:after="0" w:line="46"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applicable laws and regulatory requirements;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export controls relating to technology;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tariffs and other trade barriers;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favorable intellectual property laws;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in collecting accounts receivable;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economic conditions in foreign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expatriation controls;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can be no assurance that one or more of these factors will not have a material adverse effect on our future international activities and, consequently, on our business and results of operations.</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we must comply with the Foreign Corrupt Practices Act, or the FCPA. The FCPA generally requires companies to maintain adequate record-keeping and internal accounting practices to accurately reflect the transactions of the company and prohibits U.S. companies and their intermediaries from making corrupt payments to foreign officials for the purpose of obtaining or keeping business or otherwise obtaining favorable treatment. Under the FCPA, U.S. companies may be held liable for actions taken by strategic or local partners or representatives. If we or our intermediaries fail to comply with the requirements of the FCPA, governmental authorities in the United States could seek to impose civil and criminal penalties, which could have a material adverse effect on our business, results of operations, financial conditions and cash flows.</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be exposed to unfavorable currency exchange rate fluctuations, which may lead to lower operating margins, or may cause us to raise prices which could result in reduced revenues.</w:t>
      </w:r>
    </w:p>
    <w:p>
      <w:pPr>
        <w:spacing w:after="0" w:line="11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Currency exchange rate fluctuations could have an adverse effect on our net revenues and results of operations. Unfavorable currency fluctuations could require us to increase prices to foreign customers, which could result in lower net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We do not currently hedge our foreign currency exchange rate exposure.</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respond to technological developments and changing customer needs on a timely and cost-effective basis, our results of operations may be adversely affected.</w:t>
      </w:r>
    </w:p>
    <w:p>
      <w:pPr>
        <w:spacing w:after="0" w:line="11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future success will depend in part on our ability to enhance current products and to develop new products on a timely and cost-effective basis in order to respond to technological developments and changing customer needs. Defense customers, in particular, demand frequent technological improvements as a means of gaining military advantage. Military planners have historically funded significantly more design projects than actual deployments of new equipment, and those systems that are deployed tend to contain the components of the subcontractors selected to participate in the design process. In order to participate in the design of new defense electronics systems, we must demonstrate the ability to deliver superior technological performance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timely and cost-effective basis. There can be no assurance that we will secure an adequate number of defense design wins in the future, that the equipment in which our products are intended to function will eventually be deployed in the field, or that our products will be included in such equipment if it eventually is deployed.</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Customers in our commercial markets also seek technological improvements through product enhancements and new generations of products. OEMs historically have selected certain suppliers whose products have been included in the OEMs’ machines for a significant portion of the products’ life cycles. We may not be selected to participate in the future design of any commercial equipment, or if selected, we may not generate any revenues for such design work.</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design-in process is typically lengthy and expensive, and there can be no assurance that we will be able to continue to meet the product specifications of OEM customers in a timely and adequate manner. In addition, any failure to anticipate or respond adequately to changes in technology, customer preferences and future order demands, or any significant delay in product developments, product introductions or order volume, could negatively impact our financial condition and results of operations, including the risk of inventory obsolescence. Because of the complexity of our products, we have experienced delays from time to time in completing products on a timely basis. If we are unable to design, develop or introduce competitive new products on a timely basis, our future operating results may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are complex, and undetected defects may increase our costs, harm our reputation with customers or lead to costly litigation.</w:t>
      </w:r>
    </w:p>
    <w:p>
      <w:pPr>
        <w:spacing w:after="0" w:line="18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products are extremely complex and must operate successfully with complex products of other vendors. Our products may contain undetected errors when first introduced or as we introduce product upgrades. The pressures we face to be the first to market new products or functionality and the lapsed time before our products are integrated into our customer's systems increases the possibility that we will offer products in which we or our customers later discover problems. We have experienced new product and product upgrade errors in the past and expect similar problems in the future. These problems may cause us to incur significant warranty costs and costs to support our service contracts and divert the attention of personnel from our product development efforts. Undetected errors may adversely affect our product’s ease of use and may create customer satisfaction issues. If we are unable to repair these problems in a timely manner, we may experience a loss of or delay in revenue and significant damage to our reputation and business prospects. Many of our customers rely upon our products for mission-critical applications. Because of this reliance, errors, defects, or other performance problems in our products could result in significant financial and other damage to our customers. Our customers could attempt to recover those losses by pursuing products liability claims against us which, even if unsuccessful, would likely be time-consuming and costly to defend and could adversely affect our reputation.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unsuccessful in protecting our intellectual property rights which could result in the loss of a competitive advantage.</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ability to compete effectively against other companies in our industry depends, in part, on our ability to protect our current and future proprietary technology under patent, copyright, trademark, trade secret and unfair competition laws. We cannot assure that our means of protecting our proprietary rights in the United States or abroad will be adequate, or that others will not develop technologies similar or superior to our technology or design around our proprietary rights. In addition, we may incur substantial costs in attempting to protect our proprietary rights.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Also, despite the steps taken by us to protect our proprietary rights, it may be possible for unauthorized third parties to copy or reverse-engineer aspects of our products, develop similar technology independently or otherwise obtain and use information that we regard as proprietary and we may be unable to successfully identify or prosecute unauthorized uses of our technology. Furthermore, with respect to our issued patents and patent applications, we cannot assure you that any patents from any pending patent applications (or from any future patent applications) will be issued, that the scope of any patent protection will exclude competitors or provide competitive advantages to us, that any of our patents will be held valid if subsequently challenged or that others will not claim rights in or ownership of the patents (and patent applications) and other proprietary rights held by us.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become subject to intellectual property infringement claims, we could incur significant expenses and could be prevented from selling specific products.</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become subject to claims that we infringe the intellectual property rights of others in the future. We cannot assure that, if made, these claims will not be successful. Any claim of infringement could cause us to incur substantial costs defending against the claim even if the claim is invalid, and could distract management from other business. Any judgment against us could require substantial payment in damages and could also include an injunction or other court order that could prevent us from offering certain products.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need for continued investment in research and development may increase expenses and reduce our profitability.</w:t>
      </w:r>
    </w:p>
    <w:p>
      <w:pPr>
        <w:spacing w:after="0" w:line="17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industry is characterized by the need for continued investment in research and development. If we fail to invest sufficiently in research and development, our products could become less attractive to potential customers and our business and financial condition could be materially and adversely affected. As a result of the need to maintain or increase spending levels in this area and the difficulty in reducing costs associated with research and development, our operating results could be materially harmed if our research and development efforts fail to result in new products or if revenues fall below expectations. In addition, as a result of our commitment to invest in research and development, spending levels of research and development expenses as a percentage of revenues may fluctuate in the future. Further, with the reduction in force in our engineering group during fiscal 2013 as part of our cost containment efforts and with reduced levels of research and development spending in fiscal 2014 and 2015 compared with prior years, we have fewer engineering resources to deliver advanced, subsystem level products to satisfy our customers' demanding expectations.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are subject to fluctuation from period to period and may not be an accurate indication of future performance.</w:t>
      </w:r>
    </w:p>
    <w:p>
      <w:pPr>
        <w:spacing w:after="0" w:line="18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have experienced fluctuations in operating results in large part due to the sale of products and services in relatively large dollar amounts to a relatively small number of customers. Customers specify delivery date requirements that coincide with their need for our products and services. Because these customers may use our products and services in connection with a variety of defense programs or other projects with different sizes and durations, a customer’s orders for one quarter generally do not indicate a trend for future orders by that customer. As such, we have not been able in the past to consistently predict when our customers will place orders and request shipments so that we cannot always accurately plan our manufacturing, inventory, and working capital requirements. As a result, if orders and shipments differ from what we predict, we may incur additional expenses and build excess inventory, which may require additional reserves and allowances and reduce our working capital and operational flexibility. Any significant change in our customers’ purchasing patterns could have a material adverse effect on our operating results and reported earnings per share for a particular quarter. Thus, results of operations in any period should not be considered indicative of the results to be expected for any future period.</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High quarterly book-ship ratios may pressure inventory and cash flow management, necessitating increased inventory balances to ensure quarterly revenue attainment. Increased inventory balances tie up additional capital, limiting our operational flexibility. Some of our customers may have become conditioned to wait until the end of a quarter to place orders in the expectation of receiving a discount. Customers conditioned to seek quarter-end discounts increase risk and uncertainty in our financial forecasting and decrease our margins and profitability.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quarterly results may be subject to fluctuations resulting from a number of other factors, including:</w:t>
      </w:r>
    </w:p>
    <w:p>
      <w:pPr>
        <w:spacing w:after="0" w:line="90"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completion of internal product development projects;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shipping hardware and software;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acceptance testing by customers;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change in the mix of products sold to our served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 delays due to quality problems with outsourced components;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scale quick reaction capability products due to low product volume;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and costs of components;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product line transitions;</w:t>
      </w:r>
    </w:p>
    <w:p>
      <w:pPr>
        <w:spacing w:after="0" w:line="90"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quarterly revenues from previous generations of products following announcement of replacement products containing more advanced technology;</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asset impairment, including goodwill and intangibles, or restructuring charges;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estimates of completion on fixed price service engagements.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from time to time, we have entered into contracts, referred to as development contracts, to engineer a specific solution based on modifications to standard products. Gross margins from development contract revenues are typically lower than gross margins from standard product revenues. We intend to continue to enter into development contracts and anticipate that the gross margins associated with development contract revenues will continue to be lower than gross margins from standard product sales.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Another factor contributing to fluctuations in our quarterly results is the fixed nature of expenditures on personnel, facilities and marketing programs. Expense levels for these programs are based, in significant part, on expectations of future revenues. If actual quarterly revenues are below management’s expectations, our results of operations will likely be adversely affected.</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Further,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and changes in estimates in subsequent periods could cause our results of operations to fluctuate.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regulations could materially adversely affect us.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business, results of operations, or financial condition could be materially adversely affected if laws, regulations, or standards relating to us or our products are newly implemented or changed. In addition, our compliance with existing regulations may have a material adverse impact on us. Under applicable federal securities laws, we are required to evaluate and determine the effectiveness of our internal control structure and procedures for financial reporting. Should we or our independent registered public accounting firm determine that we have material weaknesses in our internal controls, our results of operations or financial condition may be materially adversely affected or our stock price may decline.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generally accepted accounting principles may adversely affect us.</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From time to time, the Financial Accounting Standards Board, or FASB, promulgates new accounting principles that could have a material adverse impact on our results of operations or financial condition.</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the significant experience and specialized expertise of our senior management and engineering staff and must retain and attract qualified engineers and other highly skilled personnel in order to grow our business successfully.</w:t>
      </w:r>
    </w:p>
    <w:p>
      <w:pPr>
        <w:spacing w:after="0" w:line="11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performance is substantially dependent on the continued services and performance of our senior management and our highly qualified team of engineers, many of whom have numerous years of experience, specialized expertise in our business, and security clearances required for certain defense projects. If we are not successful in hiring and retaining highly qualified engineers, we may not be able to extend or maintain our engineering expertise, and our future product development efforts could be adversely affected. Competition for hiring these employees is intense, especially with regard to engineers with specialized skills and security clearances required for our business, and we may be unable to hire and retain enough engineers to implement our growth strategy.</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be unable to deliver subsystem level products and related services on time and on budget with our limited engineering resources. Without sufficient resources in hardware, software, and mechanical engineering and quality assurance we may be unable to adequately scale our business and deliver the subsystem solutions that our customers expect. We must also develop new engineering talent in our engineering base to contain high engineering costs to alleviate pressures on our margins and price points.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Increased workloads and responsibilities due to cost containment measures in recent years has led to a leaner employee base, increasing our risk of employee and organizational fatigue. Resulting lower morale and organizational disruption could lead to execution issues, missed commitments, and general employee attrition.</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future success also depends on our ability to identify, attract, hire, train, retain and motivate highly skilled managerial, operations, sales, marketing and customer service personnel. If we fail to attract, integrate and retain the necessary personnel, our ability to maintain and grow our business could suffer significantly. Further, stock price volatility and improvements in the economy could impact our ability to attract and retain key personnel.</w:t>
      </w:r>
    </w:p>
    <w:p>
      <w:pPr>
        <w:spacing w:after="0" w:line="1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experience a disaster or other business continuity problem, we may not be able to recover successfully, which could cause material financial loss, loss of human capital, regulatory actions, reputational harm, or legal liability.</w:t>
      </w:r>
    </w:p>
    <w:p>
      <w:pPr>
        <w:spacing w:after="0" w:line="11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If we experience a local or regional disaster or other business continuity problem, such as an earthquake, terrorist attack, pandemic or other natural or man-made disaster, our continued success will depend, in part, on the availability of our personnel, our office facilities, and the proper functioning of our computer, telecommunication and other related systems and operations. As we attempt to grow our operations, the potential for particular types of natural or man-made disasters, political, economic or infrastructure instabilities, or other country- or region-specific business continuity risks increases.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continue to obtain U.S. federal government authorization regarding the export of our products, or if current or future export laws limit or otherwise restrict our business, we could be prohibited from shipping our products to certain countries, which would harm our ability to generate revenue.</w:t>
      </w:r>
    </w:p>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must comply with U.S. laws regulating the export of our products and technology. In addition, we are required to obtain a license from the U.S. federal government to export certain of our products and technical data as well as to provide technical services to foreign persons related to such products and technical data. We cannot be sure of our ability to obtain any licenses required to export our products or to receive authorization from the U.S. federal government for international sales or domestic sales to foreign persons including transfers of technical data or the provision of technical services. Moreover, the export regimes and the governing policies applicable to our business are subject to change. We cannot assure you of the extent that such export authorizations will be available to us, if at all, in the future. If we cannot obtain required government approvals under applicable regulations in a timely manner or at all, we would be delayed or prevented from selling our products in international jurisdictions, which could adversely affect our business and financial results.</w:t>
      </w:r>
    </w:p>
    <w:p>
      <w:pPr>
        <w:spacing w:after="0" w:line="21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suffer any data breaches involving the designs, schematics or source code for our products or other sensitive information, our business and financial results could be adversely affected.</w:t>
      </w:r>
    </w:p>
    <w:p>
      <w:pPr>
        <w:spacing w:after="0" w:line="11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securely store our designs, schematics and source code for our products as they are created. A breach, whether physical, electronic or otherwise, of the systems on which this sensitive data is stored could lead to damage or piracy of our products. If we are subject to data security breaches from external sources or from an insider threat, we may have a loss in sales or increased costs arising from the restoration or implementation of additional security measures, either of which could adversely affect our business and financial results. Other potential costs could include loss of brand value, incident response costs, loss of stock market value, regulatory inquiries, litigation, and management distraction. In addition, a security breach that involved classified information could subject us to civil or criminal penalties, loss of a government contract, loss of access to classified information, or debarment as a government contractor. Similarly, a breach that involved loss of customer-provided data could subject us to loss of a customer, loss of a contract, litigation costs and legal damages, and reputational harm.</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highly-publicized cyber-attack on Sony Pictures Entertainment demonstrates the vulnerability of companies to cyber-attacks and the severe impact these attacks can have. In addition to the potential costs discussed above, the Sony cyber-attack illustrates that such attacks can also damage physical infrastructure (e.g. corrupted servers) and destroy all copies of company intellectual property on a company's network.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to invest in new information technology systems and infrastructure to scale our operations.</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may need to adopt new information technology systems and infrastructure to scale our business and obtain the synergies from prior and future business acquisitions. Our older information technology systems and infrastructure could create product development or production work stoppages, negatively impact product delivery times and quality, and increase our compliance costs. Failure to invest in newer information technology systems and infrastructure may lead to operational inefficiencies and increased compliance costs and risks. In addition, an inability to maximize the utility and benefit of our current information technology tools could impact our ability to meet cost reduction and planned efficiency and operational improvement goals.</w:t>
      </w:r>
    </w:p>
    <w:p>
      <w:pPr>
        <w:spacing w:after="0" w:line="19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income tax provision and other tax liabilities may be insufficient if taxing authorities are successful in asserting tax positions that are contrary to our position. Increases in tax rates could impact our financial performance.</w:t>
      </w:r>
    </w:p>
    <w:p>
      <w:pPr>
        <w:spacing w:after="0" w:line="11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From time to time, we are audited by various federal, state and local authorities regarding income tax matters. Significant judgment is required to determine our provision for income taxes and our liabilities for federal, state, local and other taxes. Although we believe our approach to determining the appropriate tax treatment is supportable and in accordance with relevant authoritative guidance it is possible that the final tax authority will take a tax position that is materially different than that which is reflected in our income tax provision. Such differences could have an adverse effect on our income tax provision or benefit, in the reporting period in which such determination is made and, consequently, on our results of operations, financial position and/or cash flows for such period. Further, future increases in tax rates may adversely affect our financial results.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Provisions in our organizational documents and Massachusetts law and other actions we have taken could make it more difficult for a third party to acquire us.</w:t>
      </w:r>
    </w:p>
    <w:p>
      <w:pPr>
        <w:spacing w:after="0" w:line="1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Provisions of our charter and by-laws could have the effect of discouraging a third party from making a proposal to acquire our company and could prevent certain changes in control, even if some shareholders might consider the proposal to be in their best interest. These provisions include a classified board of directors, advance notice to our board of directors of shareholder proposals and director nominations, and limitations on the ability of shareholders to remove directors and to call shareholder meetings. In addition, we may issue shares of any class or series of preferred stock in the future without shareholder approval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such terms as our board of directors may determine. The rights of holders of common stock will be subject to, and may be adversely affected by, the rights of the holders of any such class or series of preferred stock that may be issued.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also are subject to the Massachusetts General Laws which, subject to certain exceptions, prohibit a Massachusetts corporation from engaging in a broad range of business combinations with any “interested shareholder” for a period of three years following the date that such shareholder becomes an interested shareholder. These provisions could discourage a third party from pursuing an acquisition of our company at a price considered attractive by many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profits may decrease and/or we may incur significant unanticipated costs if we do not accurately estimate the costs of fixed-price engagements.</w:t>
      </w:r>
    </w:p>
    <w:p>
      <w:pPr>
        <w:spacing w:after="0" w:line="19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 significant number of our system integration projects are based on fixed-price contracts, rather than contracts in which payment to us is determined on a time and materials or other basis. Our failure to estimate accurately the resources and schedule required for a project, or our failure to complete our contractual obligations in a manner consistent with the project plan upon which our fixed-price contract was based, could adversely affect our overall profitability and could have a material adverse effect on our business, financial condition and results of operations. We are consistently entering into contracts for large projects that magnify this risk. We have been required to commit unanticipated additional resources to complete projects in the past, which has occasionally resulted in losses on those contracts. We will likely experience similar situations in the future. In addition, we may fix the price for some projects at an early stage of the project engagement, which could result in a fixed price that is too low. Therefore, any changes from our original estimates could adversely affect our business, financial condition and results of operations.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trading price of our common stock may continue to be volatile, which may adversely affect our business, and investors in our common stock may experience substantial losses.</w:t>
      </w:r>
    </w:p>
    <w:p>
      <w:pPr>
        <w:spacing w:after="0" w:line="11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stock price, like that of other technology companies, has been volatile. The stock market in general and technology companies in particular may continue to experience volatility. The stock prices for companies in the defense technology industry may continue to remain volatile given the uncertainty and timing of funding for defense programs. This volatility may or may not be related to our operating performance. Our operating results, from time to time, may be below the expectations of public market analysts and investors, which could have a material adverse effect on the market price of our common stock. Our low stock trading volume and microcap status could hamper existing and new shareholders from gaining a meaningful position in our stock. In addition, the continued threat of terrorism in the United States and abroad and the resulting military action and heightened security measures undertaken in response to threats may cause continued volatility in securities markets. When the market price of a stock has been volatile, holders of that stock will sometimes issue securities class action litigation against the company that issued the stock. If any shareholders were to issue a lawsuit, we could incur substantial costs defending the lawsuit. Also, the lawsuit could divert the time and attention of management.</w:t>
      </w:r>
    </w:p>
    <w:p>
      <w:pPr>
        <w:spacing w:after="0" w:line="20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have not declared or paid cash dividends on any of our classes of capital stock to date and we currently intend to retain our future earnings, if any, to fund the development and growth of our business. As a result, capital appreciation, if any, of our common stock will be your sole source of gain for the foreseeable future. Furthermore, we may in the future become subject to contractual restrictions on, or prohibitions against, the payment of dividends. Consequently, in the foreseeable future, you will likely only experience a gain from your investment in our common stock if the price of our common stock increases. There is no guarantee that our common stock will appreciate in value or even maintain the price at which you purchased your shares, and you may not realize a return on your investment in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internal controls over financial reporting are not considered effective, our business and stock price could be adversely affected.</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internal controls over financial reporting will prevent or detect all errors and all fraud. A control system, no matter how well designed and operated, can provide only reasonable, not absolute, assurance that the control system’s objectives will be met. Further, the design of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ineffective because of changes in conditions or deterioration in the degree of compliance with policies or procedures. Because of the inherent limitations in a cost-effective control system, misstatements due to error or fraud may occur and may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consider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equity research analysts do not publish research or reports about our business or if they issue unfavorable commentary or downgrade our common stock, the price of our common stock could decline.</w:t>
      </w:r>
    </w:p>
    <w:p>
      <w:pPr>
        <w:spacing w:after="0" w:line="1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need additional capital and may not be able to raise funds on acceptable terms, if at all. In addition, any funding through the sale of additional common stock or other equity securities could result in additional dilution to our stockholders and any funding through indebtedness could restrict our operations.</w:t>
      </w:r>
    </w:p>
    <w:p>
      <w:pPr>
        <w:spacing w:after="0" w:line="12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require additional cash resources to finance our continued growth or other future developments, including any investments or acquisitions we may decide to pursue. The amount and timing of such additional financing needs will vary principally depending on the timing of new product and service launches, investments and/or acquisitions, and the amount of cash flow from our operations. If our resources are insufficient to satisfy our cash requirements, we may seek to sell additional equity or debt securities or obtain a credit facility. The sale of additional equity securities or securities convertible into our ordinary shares could result in additional dilution to our stockholders. The incurrence of indebtedness would result in increased debt service obligations and could result in operating and financing covenants that would restrict our operations.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ability to obtain additional capital on acceptable terms is subject to a variety of uncertainties, including:</w:t>
      </w:r>
    </w:p>
    <w:p>
      <w:pPr>
        <w:spacing w:after="0" w:line="90" w:lineRule="exact"/>
        <w:rPr>
          <w:sz w:val="20"/>
          <w:szCs w:val="20"/>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defense technology companies;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of the United States and other capital markets in which we may seek to raise funds;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cash flows.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cannot assure that financing will be available in amounts or on terms acceptable to us, if at all. If we fail to raise additional funds, we may need to sell debt or additional equity securities or to reduce our growth to a level that can be supported by our cash flow. Without additional capital, we may not be able to:</w:t>
      </w:r>
    </w:p>
    <w:p>
      <w:pPr>
        <w:spacing w:after="0" w:line="46" w:lineRule="exact"/>
        <w:rPr>
          <w:sz w:val="20"/>
          <w:szCs w:val="20"/>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develop or enhance our customer base;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necessary technologies, products or businesses;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operations in the United States and elsewhere;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our software solutions, services and products; or</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capital requirements.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significant properties as of June 30, 2015: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2000" w:type="dxa"/>
            <w:vAlign w:val="bottom"/>
          </w:tcPr>
          <w:p>
            <w:pPr>
              <w:spacing w:after="0"/>
              <w:rPr>
                <w:sz w:val="14"/>
                <w:szCs w:val="14"/>
                <w:color w:val="auto"/>
              </w:rPr>
            </w:pPr>
          </w:p>
        </w:tc>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Segment(s) served</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Size in</w:t>
            </w:r>
          </w:p>
        </w:tc>
        <w:tc>
          <w:tcPr>
            <w:tcW w:w="1340" w:type="dxa"/>
            <w:vAlign w:val="bottom"/>
          </w:tcPr>
          <w:p>
            <w:pPr>
              <w:spacing w:after="0"/>
              <w:rPr>
                <w:sz w:val="14"/>
                <w:szCs w:val="14"/>
                <w:color w:val="auto"/>
              </w:rPr>
            </w:pPr>
          </w:p>
        </w:tc>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29"/>
        </w:trPr>
        <w:tc>
          <w:tcPr>
            <w:tcW w:w="252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w w:val="75"/>
              </w:rPr>
              <w:t>Sq. Feet</w:t>
            </w:r>
          </w:p>
        </w:tc>
        <w:tc>
          <w:tcPr>
            <w:tcW w:w="6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34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Chelmsford, MA</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All (Corporate HQ)</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185,327</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2017, 2 buildings</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Hudson, NH</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100,111</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Cypress, CA</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MDS reportable segment</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42,770</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2021</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Huntsville, AL</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25,137</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West Caldwell, NJ</w:t>
            </w:r>
          </w:p>
        </w:tc>
        <w:tc>
          <w:tcPr>
            <w:tcW w:w="4100" w:type="dxa"/>
            <w:vAlign w:val="bottom"/>
            <w:tcBorders>
              <w:bottom w:val="single" w:sz="8" w:color="CCEEFF"/>
            </w:tcBorders>
            <w:gridSpan w:val="4"/>
            <w:shd w:val="clear" w:color="auto" w:fill="CCEEFF"/>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23,000</w:t>
            </w:r>
          </w:p>
        </w:tc>
        <w:tc>
          <w:tcPr>
            <w:tcW w:w="1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Leased, expiring 2019</w:t>
            </w:r>
          </w:p>
        </w:tc>
        <w:tc>
          <w:tcPr>
            <w:tcW w:w="0" w:type="dxa"/>
            <w:vAlign w:val="bottom"/>
          </w:tcPr>
          <w:p>
            <w:pPr>
              <w:spacing w:after="0"/>
              <w:rPr>
                <w:sz w:val="1"/>
                <w:szCs w:val="1"/>
                <w:color w:val="auto"/>
              </w:rPr>
            </w:pPr>
          </w:p>
        </w:tc>
      </w:tr>
      <w:tr>
        <w:trPr>
          <w:trHeight w:val="243"/>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Manteca, CA</w:t>
            </w:r>
          </w:p>
        </w:tc>
        <w:tc>
          <w:tcPr>
            <w:tcW w:w="4100" w:type="dxa"/>
            <w:vAlign w:val="bottom"/>
            <w:gridSpan w:val="4"/>
          </w:tcPr>
          <w:p>
            <w:pPr>
              <w:ind w:left="1160"/>
              <w:spacing w:after="0"/>
              <w:rPr>
                <w:sz w:val="20"/>
                <w:szCs w:val="20"/>
                <w:color w:val="auto"/>
              </w:rPr>
            </w:pPr>
            <w:r>
              <w:rPr>
                <w:rFonts w:ascii="Arial" w:cs="Arial" w:eastAsia="Arial" w:hAnsi="Arial"/>
                <w:sz w:val="18"/>
                <w:szCs w:val="18"/>
                <w:color w:val="auto"/>
              </w:rPr>
              <w:t>MCE reportable segment</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20,750</w:t>
            </w:r>
          </w:p>
        </w:tc>
        <w:tc>
          <w:tcPr>
            <w:tcW w:w="120" w:type="dxa"/>
            <w:vAlign w:val="bottom"/>
          </w:tcPr>
          <w:p>
            <w:pPr>
              <w:spacing w:after="0"/>
              <w:rPr>
                <w:sz w:val="21"/>
                <w:szCs w:val="21"/>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Leased, expiring 2015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actively manages its facilities and is in pursuit of lease extensions or alternative locations for facilities with expiration dates in 2015 or 2017. In addition, we lease a number of smaller offices around the world primarily for sales. For financial information regarding obligations under our leases, see Note K to the consolidated financial statements.</w:t>
      </w:r>
    </w:p>
    <w:p>
      <w:pPr>
        <w:spacing w:after="0" w:line="1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1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(REMOVED AND RESERVED)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ITEM 4.1.</w:t>
      </w:r>
      <w:r>
        <w:rPr>
          <w:sz w:val="20"/>
          <w:szCs w:val="20"/>
          <w:color w:val="auto"/>
        </w:rPr>
        <w:tab/>
      </w:r>
      <w:r>
        <w:rPr>
          <w:rFonts w:ascii="Arial" w:cs="Arial" w:eastAsia="Arial" w:hAnsi="Arial"/>
          <w:sz w:val="18"/>
          <w:szCs w:val="18"/>
          <w:b w:val="1"/>
          <w:bCs w:val="1"/>
          <w:color w:val="auto"/>
        </w:rPr>
        <w:t>EXECUTIVE OFFICERS OF THE REGISTRANT</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Annual Report on Form 10-K is presented below.</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Mark Aslett</w:t>
      </w:r>
      <w:r>
        <w:rPr>
          <w:rFonts w:ascii="Arial" w:cs="Arial" w:eastAsia="Arial" w:hAnsi="Arial"/>
          <w:sz w:val="18"/>
          <w:szCs w:val="18"/>
          <w:color w:val="auto"/>
        </w:rPr>
        <w:t>, age 47, joined Mercury in 2007 and has served as the President and Chief Executive Officer since then, and served as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since 2007. Prior to joining Mercury, he was Chief Operating Officer and Chief Executive Officer of Enterasys Networks from 2003 to 2006, and held various positions with Marconi plc and its affiliated companies, including Executive Vice President of Marketing, Vice President of Portfolio Management, and President of Marconi Communications—North America, from 1998 to 2002. Mr. Aslett has also held positions at GEC Plessey Telecommunications, as well as other telecommunications-related technology firms.</w:t>
      </w:r>
    </w:p>
    <w:p>
      <w:pPr>
        <w:spacing w:after="0" w:line="13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i w:val="1"/>
          <w:iCs w:val="1"/>
          <w:color w:val="auto"/>
        </w:rPr>
        <w:t>Gerald M. Haines II</w:t>
      </w:r>
      <w:r>
        <w:rPr>
          <w:rFonts w:ascii="Arial" w:cs="Arial" w:eastAsia="Arial" w:hAnsi="Arial"/>
          <w:sz w:val="17"/>
          <w:szCs w:val="17"/>
          <w:color w:val="auto"/>
        </w:rPr>
        <w:t>, age 52, joined</w:t>
      </w:r>
      <w:r>
        <w:rPr>
          <w:rFonts w:ascii="Arial" w:cs="Arial" w:eastAsia="Arial" w:hAnsi="Arial"/>
          <w:sz w:val="17"/>
          <w:szCs w:val="17"/>
          <w:i w:val="1"/>
          <w:iCs w:val="1"/>
          <w:color w:val="auto"/>
        </w:rPr>
        <w:t xml:space="preserve"> </w:t>
      </w:r>
      <w:r>
        <w:rPr>
          <w:rFonts w:ascii="Arial" w:cs="Arial" w:eastAsia="Arial" w:hAnsi="Arial"/>
          <w:sz w:val="18"/>
          <w:szCs w:val="18"/>
          <w:color w:val="auto"/>
        </w:rPr>
        <w:t>a</w:t>
      </w:r>
      <w:r>
        <w:rPr>
          <w:rFonts w:ascii="Arial" w:cs="Arial" w:eastAsia="Arial" w:hAnsi="Arial"/>
          <w:sz w:val="17"/>
          <w:szCs w:val="17"/>
          <w:color w:val="auto"/>
        </w:rPr>
        <w:t>s Senior Vice President of Corporate Development and in 2014 was appointed Executive Vice President, CFO and</w:t>
      </w:r>
      <w:r>
        <w:rPr>
          <w:rFonts w:ascii="Arial" w:cs="Arial" w:eastAsia="Arial" w:hAnsi="Arial"/>
          <w:sz w:val="17"/>
          <w:szCs w:val="17"/>
          <w:i w:val="1"/>
          <w:iCs w:val="1"/>
          <w:color w:val="auto"/>
        </w:rPr>
        <w:t xml:space="preserve"> </w:t>
      </w:r>
      <w:r>
        <w:rPr>
          <w:rFonts w:ascii="Arial" w:cs="Arial" w:eastAsia="Arial" w:hAnsi="Arial"/>
          <w:sz w:val="17"/>
          <w:szCs w:val="17"/>
          <w:color w:val="auto"/>
        </w:rPr>
        <w:t>Treasurer. Prior to Mercury, from 2008 to 2010 he served as Executive Vice President at Verenium Corporation, a publicly traded company engaged in the development and commercialization of biofuels and specialty enzymes, where he oversaw various corporate development, corporate finance, and joint venturing activities. Previously, Mr. Haines served as Executive Vice President of Strategic Affairs of Enterasys Networks, Inc., a publicly traded network communications company, Senior Vice President of Cabletron Systems, Inc., the predecessor of Enterasys Networks, and Vice President of Applied Extrusion Technologies, a large manufacturer of plastic films and packaging. He began his career at J.P. Morgan. Mr. Haines holds a bachelor's degree in Business Administration, magna cum laude, from Boston University, and a law degree from Cornell Law School.</w:t>
      </w:r>
    </w:p>
    <w:p>
      <w:pPr>
        <w:spacing w:after="0" w:line="11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Charles A. Speicher</w:t>
      </w:r>
      <w:r>
        <w:rPr>
          <w:rFonts w:ascii="Arial" w:cs="Arial" w:eastAsia="Arial" w:hAnsi="Arial"/>
          <w:sz w:val="18"/>
          <w:szCs w:val="18"/>
          <w:color w:val="auto"/>
        </w:rPr>
        <w:t>, age 56, joined Mercury in 2010 as Vice President, Controller, and Chief Accounting Officer. Prior to joining Mercury,</w:t>
      </w:r>
      <w:r>
        <w:rPr>
          <w:rFonts w:ascii="Arial" w:cs="Arial" w:eastAsia="Arial" w:hAnsi="Arial"/>
          <w:sz w:val="18"/>
          <w:szCs w:val="18"/>
          <w:i w:val="1"/>
          <w:iCs w:val="1"/>
          <w:color w:val="auto"/>
        </w:rPr>
        <w:t xml:space="preserve"> </w:t>
      </w:r>
      <w:r>
        <w:rPr>
          <w:rFonts w:ascii="Arial" w:cs="Arial" w:eastAsia="Arial" w:hAnsi="Arial"/>
          <w:sz w:val="18"/>
          <w:szCs w:val="18"/>
          <w:color w:val="auto"/>
        </w:rPr>
        <w:t>Mr. Speicher held various positions at Virtusa Corporation, a publicly-traded global IT services company, including Vice President of Global Accounting Operations and Corporate Controller from 2001 to 2009. Mr. Speicher was Corporate Controller at Cerulean Technologies Inc., a private software product company, from 1996 to 2000 prior to its sale to Aether Systems Inc. where he served as Division Controller of Aether Mobile Government from 2000 to 2001. Prior to joining Cerulean Technology, Mr. Speicher held positions with Wyman-Gordon Company, Wang Laboratories and Arthur Andersen &amp; Company, LLP. Mr. Speicher is a CPA licensed in Massachusetts.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Didier M.C. Thibaud</w:t>
      </w:r>
      <w:r>
        <w:rPr>
          <w:rFonts w:ascii="Arial" w:cs="Arial" w:eastAsia="Arial" w:hAnsi="Arial"/>
          <w:sz w:val="18"/>
          <w:szCs w:val="18"/>
          <w:color w:val="auto"/>
        </w:rPr>
        <w:t>, age 54, joined Mercury in 1995, and has served as President of our Mercury Commercial Electronics business unit since 2012.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he was President of our Advanced Computing Solutions business unit since 2007. Prior to that, he was Senior Vice President, Defense &amp; Commercial Businesses from 2005 to June 2007 and Vice President and General Manager, Imaging and Visualization Solutions Group, from 2000 to 2005 and served in various capacities in sales and marketing from 1995 to 2000.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2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common stock is listed and traded on the Nasdaq Global Select Market under the symbol MRCY. The following table sets forth, for the fiscal periods indicated, the high and low sale prices per share for our common stock during such periods. Such market quotations reflect inter-dealer prices without retail markup, markdown or commission.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6"/>
                <w:szCs w:val="16"/>
                <w:color w:val="auto"/>
              </w:rPr>
            </w:pPr>
          </w:p>
        </w:tc>
        <w:tc>
          <w:tcPr>
            <w:tcW w:w="860" w:type="dxa"/>
            <w:vAlign w:val="bottom"/>
          </w:tcPr>
          <w:p>
            <w:pPr>
              <w:jc w:val="right"/>
              <w:ind w:right="352"/>
              <w:spacing w:after="0"/>
              <w:rPr>
                <w:sz w:val="20"/>
                <w:szCs w:val="20"/>
                <w:color w:val="auto"/>
              </w:rPr>
            </w:pPr>
            <w:r>
              <w:rPr>
                <w:rFonts w:ascii="Arial" w:cs="Arial" w:eastAsia="Arial" w:hAnsi="Arial"/>
                <w:sz w:val="14"/>
                <w:szCs w:val="14"/>
                <w:b w:val="1"/>
                <w:bCs w:val="1"/>
                <w:color w:val="auto"/>
              </w:rPr>
              <w:t>Low</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Fourth quarter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12.76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Fourth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10.25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8.48</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2015, we had approximately 6,246 shareholders including record and nominee 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never declared or paid cash dividends on shares of our common stock. We currently intend to retain any earnings for future growth.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do not anticipate that any cash dividends will be declared or paid on our common stock in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Share Settlement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2015, we had no active net share settlement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2015, we had no active share repurchase programs.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following table summarizes certain historical consolidated financial data, restated for discontinued operations, which should be read in conjunction with the consolidated financial statements and related notes included elsewhere in this report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Years Ended June 30,</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234,847</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208,729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194,231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237,070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228,710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18,355</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24,985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14,429</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22,323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18,442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44,414</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40,883</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Net earnings (loss) per share from continuing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0.73</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0.44</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0.71</w:t>
            </w:r>
          </w:p>
        </w:tc>
      </w:tr>
      <w:tr>
        <w:trPr>
          <w:trHeight w:val="48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28</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June 30,</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154,879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127,375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115,483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170,761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203,978</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374,431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385,606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355,562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6,565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13,635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15,112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15,560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17,920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350,138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327,147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328,501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333,104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301,436</w:t>
            </w: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540" w:hanging="316"/>
        <w:spacing w:after="0" w:line="269"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our periodic communications, we discuss a key measure that is not calculated according to U.S. generally accepted accounting principles (“GAAP”), adjusted EBITDA. Adjusted EBITDA is defined as earnings from continuing operations before interest income and expense, income taxes, depreciation, amortization of intangible assets, restructuring and other charges, impairment of long-lived assets, acquisition and financing costs,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components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48" w:lineRule="exact"/>
        <w:rPr>
          <w:sz w:val="20"/>
          <w:szCs w:val="20"/>
          <w:color w:val="auto"/>
        </w:rPr>
      </w:pPr>
    </w:p>
    <w:p>
      <w:pPr>
        <w:jc w:val="both"/>
        <w:ind w:left="580"/>
        <w:spacing w:after="0" w:line="297"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 See the Non-GAAP Financial Measures section of this annual report for a reconciliation of our adjusted EBITDA to income from continuing operations.</w:t>
      </w:r>
    </w:p>
    <w:p>
      <w:pPr>
        <w:spacing w:after="0" w:line="1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or unanticipated expenses due to performance quality issues with outsourced components, inability to fully realize the expected benefits from acquisitions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this Annual Report on Form 10-K.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Mercury Systems, Inc. is a leading high-tech commercial provider of more affordable secure and sensor processing subsystems designed and made in U.S.A. powering today's critical defense and intelligence applications. We deliver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and Reaper. Our organizational structure allows the Company to deliver capabilities that combine technology building blocks and deep domain expertise in the defense sector. We believe our total portfolio of services and solutions is unique in the industry for a commercial company. We operate across a broad spectrum of defense programs and deliver our solutions and services via two operating segments: (i) Mercury Commercial Electronics; and (ii) Mercury Defense Systems. In the fourth quarter of fiscal 2014, we initiated a plan to divest our Mercury Intelligence Systems ("MIS") operating segment. Consequently, its operating results are included in discontinued operations for all periods presented. On January 23, 2015, we completed the sale of the MIS operating segment (see Note C to the consolidated financial statements).</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2015, we had 629 employees. Our revenue, income from continuing operations and adjusted EBITDA for fiscal 2015 were $234.8 million, $14.4 million, and $44.4 million, respectively. See the Non-GAAP Financial Measures section for a reconciliation of our income (loss) from continuing operations to adjusted EBITDA.</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("MCE") and (ii) Mercury Defense Systems ("MDS").</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Mercury Commercial Electronics, </w:t>
      </w:r>
      <w:r>
        <w:rPr>
          <w:rFonts w:ascii="Arial" w:cs="Arial" w:eastAsia="Arial" w:hAnsi="Arial"/>
          <w:sz w:val="18"/>
          <w:szCs w:val="18"/>
          <w:color w:val="auto"/>
        </w:rPr>
        <w:t>or MCE, provides more affordable, innovative, commercially designed and developed, specialized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subsystems for critical defense and intelligence applications. We deliver innovative solutions, rapid time-to-value and service and support to our prime defense contractor customers. Our technologies and capabilities include embedded processing modules and subsystems, radio frequency ("RF") and microwave multi-function assemblies as well as subsystems, and RF and microwave components.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MCE utilizes leading edge, high performance computing technologies architected by leveraging open standards and open architectures to address highly data-intensive applications that include signal, sensor and image processing; all of this while addressing the packaging challenges, often referred to as “SWaP” (size, weight, and power) that are common in military applications. In addition, MCE designs and builds RF and microwave components and subsystems to meet the needs of the electronic warfare ("EW"), signal intelligence ("SIGINT") and other high bandwidth communications requirements and applications.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fiscal 2015, MCE accounted for 88% of our total net revenues.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Mercury Defense Systems</w:t>
      </w:r>
      <w:r>
        <w:rPr>
          <w:rFonts w:ascii="Arial" w:cs="Arial" w:eastAsia="Arial" w:hAnsi="Arial"/>
          <w:sz w:val="16"/>
          <w:szCs w:val="16"/>
          <w:color w:val="auto"/>
        </w:rPr>
        <w:t>, or MDS, provides significant capabilities relating to pre-integrated, open, more affordable EW, electronic attack ("EA") and</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counter measure ("ECM") subsystems, and SIGINT and electro-optical/infrared ("EO/IR") processing technologies, and radar environment test and simulation systems. MDS deploys these solutions on behalf of defense prime contractors and the Department of Defense ("DoD"), leveraging commercially available technologies and solutions (or “building blocks”) from our MCE business and other commercial suppliers.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fiscal 2015, MDS accounted for 12% of our total net revenues.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operating segments.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r>
        <w:rPr>
          <w:rFonts w:ascii="Arial" w:cs="Arial" w:eastAsia="Arial" w:hAnsi="Arial"/>
          <w:sz w:val="18"/>
          <w:szCs w:val="18"/>
          <w:b w:val="1"/>
          <w:bCs w:val="1"/>
          <w:color w:val="auto"/>
        </w:rPr>
        <w: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2015</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2015, we successfully completed the final phase of integration activities relating to our previous acquisitions. The acquisition integration plan included the consolidation of manufacturing facilities, centralization of administrative and manufacturing functions using common information systems and processes, and realignment of research and development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resources. Restructuring and other charges in fiscal 2015 amounted to $3.2 million and affected both the MCE and MDS reportable segments. We currently do not anticipate any future restructuring activities.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fiscal 2015, we completed the sale of our former MIS operating segment. Since the fourth quarter of fiscal 2014, MIS has been reported as a discontinued operation for all periods presented.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2014</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we moved into our new manufacturing facility in Hudson, New Hampshire that will provide a platform for continued growth in our RF and microwave product lines. During the year, we consolidated four facilities into the new plant and installed integrated business systems that will allow us to scale our RF and microwave capabilities both organically and through merger and acquisition activities.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fiscal 2014, we announced a restructuring plan ("2014 Plan") that was implemented as part of the final phase of integration activities relating to our recent acquisitions. The integration plan includes the consolidation of manufacturing facilities, centralization of administrative and manufacturing functions using common information systems and processes and rebalancing of research and development investments. The restructuring plan included the elimination of 70 positions largely in engineering, manufacturing and administrative functions. Additionally, we closed four facilities relocating all related activities to the Company's Advanced Microelectronics Center ("AMC") in Hudson, New Hampshire. During the fourth quarter of fiscal 2014, we also consolidated facilities at our corporate headquarters. These restructuring and other charges associated with our fiscal 2014 integration plan amounted to $5.4 million and affected both the MCE and MDS reportable segments.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2013</w:t>
      </w:r>
    </w:p>
    <w:p>
      <w:pPr>
        <w:spacing w:after="0" w:line="18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first quarter of fiscal 2013, we announced a restructuring plan ("Q1 2013 Plan") impacting primarily the MCE operating segment as a result of a significant decline in bookings and revenue. The plan consisted of the elimination of 142 positions primarily in engineering and support staff areas. Additionally, during the fourth quarter of fiscal 2013, as a result of the first phase of integration activities surrounding our recent acquisitions, we initiated a restructuring plan ("Q4 2013 Plan") that included the sale of our Hudson, New Hampshire facility and the elimination of 17 positions primarily in operations. We incurred restructuring and other charges of $7.1 million for the fiscal year ended June 30, 2013.</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fiscal 2013, we acquired Micronetics Inc., a leading designer and manufacturer of microwave and RF subsystems and components for defense and commercial customers. Revenue and net loss from continuing operations of Micronetics included in our consolidated statements of operations for fiscal 2013 were $35.5 million and $(3.8) million,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2015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2014</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statements of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As a %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364"/>
              <w:spacing w:after="0"/>
              <w:rPr>
                <w:sz w:val="20"/>
                <w:szCs w:val="20"/>
                <w:color w:val="auto"/>
              </w:rPr>
            </w:pPr>
            <w:r>
              <w:rPr>
                <w:rFonts w:ascii="Arial" w:cs="Arial" w:eastAsia="Arial" w:hAnsi="Arial"/>
                <w:sz w:val="14"/>
                <w:szCs w:val="14"/>
                <w:b w:val="1"/>
                <w:bCs w:val="1"/>
                <w:color w:val="auto"/>
              </w:rPr>
              <w:t>As a % of</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4"/>
            <w:vMerge w:val="restart"/>
          </w:tcPr>
          <w:p>
            <w:pPr>
              <w:jc w:val="right"/>
              <w:ind w:right="252"/>
              <w:spacing w:after="0"/>
              <w:rPr>
                <w:sz w:val="20"/>
                <w:szCs w:val="20"/>
                <w:color w:val="auto"/>
              </w:rPr>
            </w:pPr>
            <w:r>
              <w:rPr>
                <w:rFonts w:ascii="Arial" w:cs="Arial" w:eastAsia="Arial" w:hAnsi="Arial"/>
                <w:sz w:val="14"/>
                <w:szCs w:val="14"/>
                <w:b w:val="1"/>
                <w:bCs w:val="1"/>
                <w:color w:val="auto"/>
                <w:w w:val="88"/>
              </w:rPr>
              <w:t>Fiscal 2015</w:t>
            </w:r>
          </w:p>
        </w:tc>
        <w:tc>
          <w:tcPr>
            <w:tcW w:w="100" w:type="dxa"/>
            <w:vAlign w:val="bottom"/>
            <w:vMerge w:val="restart"/>
          </w:tcPr>
          <w:p>
            <w:pPr>
              <w:spacing w:after="0"/>
              <w:rPr>
                <w:sz w:val="12"/>
                <w:szCs w:val="12"/>
                <w:color w:val="auto"/>
              </w:rPr>
            </w:pPr>
          </w:p>
        </w:tc>
        <w:tc>
          <w:tcPr>
            <w:tcW w:w="360" w:type="dxa"/>
            <w:vAlign w:val="bottom"/>
            <w:gridSpan w:val="2"/>
            <w:vMerge w:val="restart"/>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Total 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88"/>
              </w:rPr>
              <w:t>Fiscal 2014</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234,847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208,729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2"/>
              </w:rPr>
              <w:t>124,628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113,985</w:t>
            </w:r>
          </w:p>
        </w:tc>
        <w:tc>
          <w:tcPr>
            <w:tcW w:w="100" w:type="dxa"/>
            <w:vAlign w:val="bottom"/>
          </w:tcPr>
          <w:p>
            <w:pPr>
              <w:spacing w:after="0"/>
              <w:rPr>
                <w:sz w:val="21"/>
                <w:szCs w:val="21"/>
                <w:color w:val="auto"/>
              </w:rPr>
            </w:pPr>
          </w:p>
        </w:tc>
        <w:tc>
          <w:tcPr>
            <w:tcW w:w="1480" w:type="dxa"/>
            <w:vAlign w:val="bottom"/>
            <w:gridSpan w:val="2"/>
          </w:tcPr>
          <w:p>
            <w:pPr>
              <w:jc w:val="right"/>
              <w:ind w:right="164"/>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110,219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32,554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35,693</w:t>
            </w:r>
          </w:p>
        </w:tc>
        <w:tc>
          <w:tcPr>
            <w:tcW w:w="100" w:type="dxa"/>
            <w:vAlign w:val="bottom"/>
          </w:tcPr>
          <w:p>
            <w:pPr>
              <w:spacing w:after="0"/>
              <w:rPr>
                <w:sz w:val="21"/>
                <w:szCs w:val="21"/>
                <w:color w:val="auto"/>
              </w:rPr>
            </w:pPr>
          </w:p>
        </w:tc>
        <w:tc>
          <w:tcPr>
            <w:tcW w:w="1480" w:type="dxa"/>
            <w:vAlign w:val="bottom"/>
            <w:gridSpan w:val="2"/>
          </w:tcPr>
          <w:p>
            <w:pPr>
              <w:jc w:val="right"/>
              <w:ind w:right="16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1"/>
                <w:szCs w:val="21"/>
                <w:color w:val="auto"/>
              </w:rPr>
            </w:pPr>
          </w:p>
        </w:tc>
        <w:tc>
          <w:tcPr>
            <w:tcW w:w="1480" w:type="dxa"/>
            <w:vAlign w:val="bottom"/>
            <w:gridSpan w:val="2"/>
          </w:tcPr>
          <w:p>
            <w:pPr>
              <w:jc w:val="right"/>
              <w:ind w:right="16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6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Acquisition costs and other related expenses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91,864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102,149</w:t>
            </w:r>
          </w:p>
        </w:tc>
        <w:tc>
          <w:tcPr>
            <w:tcW w:w="100" w:type="dxa"/>
            <w:vAlign w:val="bottom"/>
          </w:tcPr>
          <w:p>
            <w:pPr>
              <w:spacing w:after="0"/>
              <w:rPr>
                <w:sz w:val="20"/>
                <w:szCs w:val="20"/>
                <w:color w:val="auto"/>
              </w:rPr>
            </w:pPr>
          </w:p>
        </w:tc>
        <w:tc>
          <w:tcPr>
            <w:tcW w:w="1480" w:type="dxa"/>
            <w:vAlign w:val="bottom"/>
            <w:tcBorders>
              <w:top w:val="single" w:sz="8" w:color="auto"/>
            </w:tcBorders>
            <w:gridSpan w:val="2"/>
          </w:tcPr>
          <w:p>
            <w:pPr>
              <w:jc w:val="right"/>
              <w:ind w:right="164"/>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1480" w:type="dxa"/>
            <w:vAlign w:val="bottom"/>
            <w:gridSpan w:val="2"/>
          </w:tcPr>
          <w:p>
            <w:pPr>
              <w:jc w:val="right"/>
              <w:ind w:right="16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Income (loss) from continuing operations before income taxes</w:t>
            </w: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Tax provision (benefit)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600" w:type="dxa"/>
            <w:vAlign w:val="bottom"/>
            <w:gridSpan w:val="2"/>
          </w:tcPr>
          <w:p>
            <w:pPr>
              <w:ind w:left="40"/>
              <w:spacing w:after="0"/>
              <w:rPr>
                <w:sz w:val="20"/>
                <w:szCs w:val="20"/>
                <w:color w:val="auto"/>
              </w:rPr>
            </w:pPr>
            <w:r>
              <w:rPr>
                <w:rFonts w:ascii="Arial" w:cs="Arial" w:eastAsia="Arial" w:hAnsi="Arial"/>
                <w:sz w:val="18"/>
                <w:szCs w:val="18"/>
                <w:color w:val="auto"/>
                <w:w w:val="93"/>
              </w:rPr>
              <w:t>Loss from discontinued operations, net of taxes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Fiscal</w:t>
            </w:r>
          </w:p>
        </w:tc>
        <w:tc>
          <w:tcPr>
            <w:tcW w:w="120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95"/>
              </w:rPr>
              <w:t>As a % of</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200" w:type="dxa"/>
            <w:vAlign w:val="bottom"/>
            <w:gridSpan w:val="2"/>
          </w:tcPr>
          <w:p>
            <w:pPr>
              <w:jc w:val="center"/>
              <w:ind w:left="34"/>
              <w:spacing w:after="0" w:line="149" w:lineRule="exact"/>
              <w:rPr>
                <w:sz w:val="20"/>
                <w:szCs w:val="20"/>
                <w:color w:val="auto"/>
              </w:rPr>
            </w:pPr>
            <w:r>
              <w:rPr>
                <w:rFonts w:ascii="Arial" w:cs="Arial" w:eastAsia="Arial" w:hAnsi="Arial"/>
                <w:sz w:val="14"/>
                <w:szCs w:val="14"/>
                <w:b w:val="1"/>
                <w:bCs w:val="1"/>
                <w:color w:val="auto"/>
                <w:w w:val="93"/>
              </w:rPr>
              <w:t>Total 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ind w:left="34"/>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207,104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175,766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MDS</w:t>
            </w:r>
          </w:p>
        </w:tc>
        <w:tc>
          <w:tcPr>
            <w:tcW w:w="4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27,411</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34,217</w:t>
            </w:r>
          </w:p>
        </w:tc>
        <w:tc>
          <w:tcPr>
            <w:tcW w:w="1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(6,806)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57"/>
        </w:trPr>
        <w:tc>
          <w:tcPr>
            <w:tcW w:w="3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234,847</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208,729</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26,118</w:t>
            </w: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Total revenues increased $26.1 million, or 13%, to $234.8 million during fiscal 2015 compared to $208.7 million during fiscal 2014. The increase was driven by higher defense revenues of $28.4 million, partially offset by lower commercial sales of $2.3 million. The increase in total revenues is primarily attributed to increases in the F-35, Patriot, and SEWIP programs, partially offset by decreases in the Aegis and Gorgon Stare programs. International revenues, which consist of foreign military sales through prime defense contractor customers and direct sales to non-U.S. based customers, decreased by $6.0 million to $45.3 million during fiscal 2015 compared to $51.3 million during fiscal 2014. The decrease was primarily driven by lower international revenues in the Asia Pacific region. International revenues represented 19% and 25% of total revenues during fiscal 2015 and 2014, respectively.</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MCE revenues increased $31.3 million, or 18%, during fiscal 2015 compared to fiscal 2014. The increase in net MCE revenues was primarily driven by higher defense revenues of $33.6 million, partially offset by lower commercial revenues of $2.3 million. This related to increases in the F-35, Patriot and SEWIP programs, partially offset by decreases in the Aegis program and lower commercial revenues of $2.3 million. Defense revenue accounted for 93% of net MCE revenues during fiscal 2015 compared to 90% in fiscal 2014.</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MDS revenues decreased $6.8 million, or 20%, during fiscal 2015 compared to fiscal 2014. This decrease was primarily driven by lower revenues related to the Gorgon Stare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margin was 46.9% for fiscal 2015, an increase of 150 basis points from the 45.4% gross margin achieved in fiscal 2014. The higher gross margin in fiscal 2015 was due to a more favorable product mix, primarily driven by stronger revenues in our higher margin digital signal processing products within MCE.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expenses decreased $4.7 million, or 9%, to $49.0 million during fiscal 2015 as compared to $53.7 million during fiscal 2014. The decrease was primarily due to lower employee compensation expenses from completion of our acquisition integration plan. Selling, general and administrative expenses decreased as a percentage of revenue to 20.9% during fiscal 2015 from 25.7% during fiscal 2014 due to higher revenues in fiscal 2015 coupled with overall expense reductions, as compared to fiscal 2014.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Research and development expenses decreased $3.1 million, or 9%, to $32.6 million during fiscal 2015 compared to $35.7 million for fiscal 2014. The decrease was primarily due to $6.2 million of higher customer funded development and $0.3 million lower depreciation expense, partially offset by $2.2 million of increased employee compensation expenses. Research and development expenses accounted for 13.9% and 17.1% of our revenues during fiscal 2015 and fiscal 2014,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Amortization of intangible assets decreased $0.3 million to $7.0 million during fiscal 2015 compared to $7.3 million for fiscal 2014, primarily due to a portion of the Micronetics' related intangible assets being fully amortized during the first quarter of fiscal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HARGES</w:t>
      </w:r>
    </w:p>
    <w:p>
      <w:pPr>
        <w:spacing w:after="0" w:line="10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Restructuring and other charges decreased 42%, or $2.2 million, to $3.2 million during fiscal 2015 compared to $5.4 million in fiscal 2014. In fiscal 2014, we announced a restructuring plan that was implemented as part of the final phase of integration activities relating to our recent acquisitions. This acquisition integration plan included the consolidation of manufacturing facilities, centralization of administrative functions using common information systems and processes, and realignment of research and development resources. In fiscal 2015, our acquisition integration plan was completed and we incurred restructuring and other charges of $3.2 million affecting both the MCE and MDS reportable segments, but primarily associated with the final phases of the Chelmsford, Massachusetts headquarters consolidation and severance costs. We expect to realize approximately $16 million in annualized savings from these integration activities. In the event that we are unable to sublease the unoccupied portion of our headquarters complex in Chelmsford, Massachusetts, we will incur nominal, periodic restructuring charges through fiscal 2017 in our MCE reportable segment. We do not currently anticipate further restructuring activities after June 30, 2015.</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fiscal 2014 restructuring activities included the elimination of 70 positions largely in engineering, manufacturing and administrative functions. Additionally, in fiscal 2014 we closed four facilities, relocating all related activities to our Advanced Microelectronics Center ("AMC") in Hudson, New Hampshire and completed the first phase of our Chelmsford, Massachusetts headquarters consolidation.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incurred $0.1 million of acquisition costs and other related expenses during fiscal 2015. We did not incur any acquisition costs and other related expenses during fiscal 2014. We expect to incur acquisition costs and other related expenses periodically as we continue to look for acquisition opportunities to expand our capabilities within RF, microwave, and embedded processing with a goal to assemble differentiated capabilities across the entire sensor processing chain.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ET</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income decreased $1.1 million to $0.4 million during fiscal 2015 compared to $1.5 million in fiscal 2014. The decrease was a result of foreign currency exchange losses during fiscal 2015 driven by the weakening Japanese yen against the U.S. dollar as compared to modest gains during fiscal 2014. In addition, other income in fiscal 2015 included $0.3 million of bank fees which were classified as selling, general, and administrative expenses in periods prior to the third quarter of fiscal 2015. Other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$1.2 million in amortization of the gain on the sale leaseback of our corporate headquarters located in Chelmsford, Massachusetts during fiscal 2015 and 2014. Interest income and interest expense for fiscal years 2015 and 2014 were de minimis.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an income tax provision of $4.4 million in fiscal 2015 compared to an income tax benefit of $1.8 million in fiscal 2014. The effective tax rates for fiscal 2015 and fiscal 2014 were 23.2% and 31.1%, respectively.</w:t>
      </w:r>
    </w:p>
    <w:p>
      <w:pPr>
        <w:spacing w:after="0" w:line="3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Our effective tax rate for fiscal 2015 differed from the federal statutory rate primarily due to benefits related to research and development tax credits, domestic manufacturing deductions and releases of reserves for tax contingencies, partially offset by non-deductible equity compensation.</w:t>
      </w:r>
    </w:p>
    <w:p>
      <w:pPr>
        <w:spacing w:after="0" w:line="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difference in the effective tax rates is mainly driven by tax reserves released during fiscal 2015 as a result of the expiration of applicable statutes of limitations, tax rate changes recorded in fiscal 2015, and additional deductions for stock-based compensation in fiscal 2015 compared to a shortfall in fiscal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incurred a loss from discontinued operations of $4.1 million in fiscal 2015 compared to a loss from discontinued operations of $7.4 million in fiscal 2014. The losses from discontinued operations included $2.3 million and $6.7 million impairments of goodwill in our MIS operating segment in fiscal 2015 and 2014, respectively. In addition, fiscal 2015 included a $0.9 million loss on disposal of discontinued operations before income taxes from the sale of our MIS operating segment, which we completed on January 23, 2015.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use adjusted EBITDA as the profitability measure for our segment reporting. Adjusted EBITDA for MCE increased $21.8 million to $40.3 million during fiscal 2015, as compared to $18.5 million during fiscal 2014. The increase in adjusted EBITDA was primarily driven by higher revenues of $31.3 million primarily from the Patriot, SEWIP, and F-35 programs, coupled with higher gross margins and lower selling, general and administrative costs from our restructuring initiatives completed in fiscal 2015.</w:t>
      </w:r>
    </w:p>
    <w:p>
      <w:pPr>
        <w:spacing w:after="0" w:line="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Adjusted EBITDA for MDS decreased by $2.3 million during fiscal 2015 to $3.4 million, as compared to $5.7 million in fiscal 2014. The decrease in adjusted EBITDA was primarily driven by lower revenues from the Gorgon Stare program.</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P to our consolidated financial statements for more information regarding our operating segments as well as the Company's reconciliations of income (loss) from continuing operations to its adjusted EBITDA.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2014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2013</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 of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As a % of</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4"/>
            <w:vMerge w:val="restart"/>
          </w:tcPr>
          <w:p>
            <w:pPr>
              <w:jc w:val="right"/>
              <w:ind w:right="319"/>
              <w:spacing w:after="0"/>
              <w:rPr>
                <w:sz w:val="20"/>
                <w:szCs w:val="20"/>
                <w:color w:val="auto"/>
              </w:rPr>
            </w:pPr>
            <w:r>
              <w:rPr>
                <w:rFonts w:ascii="Arial" w:cs="Arial" w:eastAsia="Arial" w:hAnsi="Arial"/>
                <w:sz w:val="14"/>
                <w:szCs w:val="14"/>
                <w:b w:val="1"/>
                <w:bCs w:val="1"/>
                <w:color w:val="auto"/>
              </w:rPr>
              <w:t>Fiscal 2014</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Total Net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vMerge w:val="restart"/>
          </w:tcPr>
          <w:p>
            <w:pPr>
              <w:jc w:val="right"/>
              <w:ind w:right="311"/>
              <w:spacing w:after="0"/>
              <w:rPr>
                <w:sz w:val="20"/>
                <w:szCs w:val="20"/>
                <w:color w:val="auto"/>
              </w:rPr>
            </w:pPr>
            <w:r>
              <w:rPr>
                <w:rFonts w:ascii="Arial" w:cs="Arial" w:eastAsia="Arial" w:hAnsi="Arial"/>
                <w:sz w:val="14"/>
                <w:szCs w:val="14"/>
                <w:b w:val="1"/>
                <w:bCs w:val="1"/>
                <w:color w:val="auto"/>
                <w:w w:val="96"/>
              </w:rPr>
              <w:t>Fiscal 2013</w:t>
            </w:r>
          </w:p>
        </w:tc>
        <w:tc>
          <w:tcPr>
            <w:tcW w:w="10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401"/>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39"/>
              <w:spacing w:after="0"/>
              <w:rPr>
                <w:sz w:val="20"/>
                <w:szCs w:val="20"/>
                <w:color w:val="auto"/>
              </w:rPr>
            </w:pPr>
            <w:r>
              <w:rPr>
                <w:rFonts w:ascii="Arial" w:cs="Arial" w:eastAsia="Arial" w:hAnsi="Arial"/>
                <w:sz w:val="18"/>
                <w:szCs w:val="18"/>
                <w:color w:val="auto"/>
              </w:rPr>
              <w:t>208,729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194,231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9"/>
              <w:spacing w:after="0"/>
              <w:rPr>
                <w:sz w:val="20"/>
                <w:szCs w:val="20"/>
                <w:color w:val="auto"/>
              </w:rPr>
            </w:pPr>
            <w:r>
              <w:rPr>
                <w:rFonts w:ascii="Arial" w:cs="Arial" w:eastAsia="Arial" w:hAnsi="Arial"/>
                <w:sz w:val="18"/>
                <w:szCs w:val="18"/>
                <w:color w:val="auto"/>
                <w:w w:val="82"/>
              </w:rPr>
              <w:t>113,985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3"/>
          </w:tcPr>
          <w:p>
            <w:pPr>
              <w:jc w:val="right"/>
              <w:ind w:right="31"/>
              <w:spacing w:after="0"/>
              <w:rPr>
                <w:sz w:val="20"/>
                <w:szCs w:val="20"/>
                <w:color w:val="auto"/>
              </w:rPr>
            </w:pPr>
            <w:r>
              <w:rPr>
                <w:rFonts w:ascii="Arial" w:cs="Arial" w:eastAsia="Arial" w:hAnsi="Arial"/>
                <w:sz w:val="18"/>
                <w:szCs w:val="18"/>
                <w:color w:val="auto"/>
              </w:rPr>
              <w:t>116,073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w w:val="98"/>
              </w:rPr>
              <w:t>94,744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45.4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78,158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w w:val="98"/>
              </w:rPr>
              <w:t>53,685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25.7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54,764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9"/>
              <w:spacing w:after="0"/>
              <w:rPr>
                <w:sz w:val="20"/>
                <w:szCs w:val="20"/>
                <w:color w:val="auto"/>
              </w:rPr>
            </w:pPr>
            <w:r>
              <w:rPr>
                <w:rFonts w:ascii="Arial" w:cs="Arial" w:eastAsia="Arial" w:hAnsi="Arial"/>
                <w:sz w:val="18"/>
                <w:szCs w:val="18"/>
                <w:color w:val="auto"/>
                <w:w w:val="98"/>
              </w:rPr>
              <w:t>35,693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w w:val="87"/>
              </w:rPr>
              <w:t>32,604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9"/>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60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Acquisition costs and other related expenses</w:t>
            </w: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31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4"/>
          </w:tcPr>
          <w:p>
            <w:pPr>
              <w:jc w:val="right"/>
              <w:ind w:right="39"/>
              <w:spacing w:after="0"/>
              <w:rPr>
                <w:sz w:val="20"/>
                <w:szCs w:val="20"/>
                <w:color w:val="auto"/>
              </w:rPr>
            </w:pPr>
            <w:r>
              <w:rPr>
                <w:rFonts w:ascii="Arial" w:cs="Arial" w:eastAsia="Arial" w:hAnsi="Arial"/>
                <w:sz w:val="18"/>
                <w:szCs w:val="18"/>
                <w:color w:val="auto"/>
              </w:rPr>
              <w:t>102,149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3"/>
          </w:tcPr>
          <w:p>
            <w:pPr>
              <w:jc w:val="right"/>
              <w:ind w:right="31"/>
              <w:spacing w:after="0"/>
              <w:rPr>
                <w:sz w:val="20"/>
                <w:szCs w:val="20"/>
                <w:color w:val="auto"/>
              </w:rPr>
            </w:pPr>
            <w:r>
              <w:rPr>
                <w:rFonts w:ascii="Arial" w:cs="Arial" w:eastAsia="Arial" w:hAnsi="Arial"/>
                <w:sz w:val="18"/>
                <w:szCs w:val="18"/>
                <w:color w:val="auto"/>
              </w:rPr>
              <w:t>102,968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(24,810)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ind w:right="39"/>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61"/>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(24,283)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01"/>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540" w:type="dxa"/>
            <w:vAlign w:val="bottom"/>
            <w:gridSpan w:val="4"/>
          </w:tcPr>
          <w:p>
            <w:pPr>
              <w:ind w:left="40"/>
              <w:spacing w:after="0"/>
              <w:rPr>
                <w:sz w:val="20"/>
                <w:szCs w:val="20"/>
                <w:color w:val="auto"/>
              </w:rPr>
            </w:pPr>
            <w:r>
              <w:rPr>
                <w:rFonts w:ascii="Arial" w:cs="Arial" w:eastAsia="Arial" w:hAnsi="Arial"/>
                <w:sz w:val="18"/>
                <w:szCs w:val="18"/>
                <w:color w:val="auto"/>
                <w:w w:val="99"/>
              </w:rPr>
              <w:t>(Loss) income from discontinued operations, net of taxes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jc w:val="right"/>
              <w:ind w:right="101"/>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(11,425)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Total Net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2"/>
                <w:szCs w:val="12"/>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175,766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8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152,606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79%</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23,160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MDS</w:t>
            </w:r>
          </w:p>
        </w:tc>
        <w:tc>
          <w:tcPr>
            <w:tcW w:w="4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34,217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41,491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(7,274)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57"/>
        </w:trPr>
        <w:tc>
          <w:tcPr>
            <w:tcW w:w="3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208,729</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194,231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14,498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Total revenues increased $14.5 million, or 7%, to $208.7 million during fiscal 2014 compared to $194.2 million during fiscal 2013. The increase was driven by higher defense revenues of $16.9 million, partially offset by lower commercial sales of $2.4 million. The increase in total revenues is primarily attributed to a recovery in our higher margin digital signal processing products within MCE, specifically increases in the Aegis, Patriot, and UAV related programs, partially offset by decreases in the SEWIP program as well as MDS's DRFM jammer and Gorgon Stare programs. International revenues, which consist of foreign military sales through prime defense contractor customers and direct sales to non-U.S. based customers, decreased by $1.7 million to $51.3 million during fiscal 2014 compared to $53.0 million during fiscal 2013. The decrease was primarily driven by lower international revenues in the Asia Pacific region. International revenues represented 25% and 27% of total revenues during fiscal 2014 and 2013, respectively.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MCE revenues increased $23.2 million, or 15%, during fiscal 2014 compared to fiscal 2013. The increase in net MCE revenues was primarily driven by higher net defense revenues of $24.2 million, partially offset by lower commercial revenues of $2.4 million. The increase in net MCE defense revenues was driven by a recovery in our higher margin digital signal processing products, specifically increases in the Aegis, Patriot and UAV related programs, which were partially offset by decreases in the SEWIP and Navy Multiband Terminal ("NMT") programs. Defense revenue accounted for 90% of net MCE revenues during fiscal 2014 compared to 87% in fiscal 2013.</w:t>
      </w:r>
    </w:p>
    <w:p>
      <w:pPr>
        <w:spacing w:after="0" w:line="13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MDS revenues decreased $7.3 million, or 18%, during fiscal 2014 compared to fiscal 2013. This decrease was driven by the decreases in a DRFM jammer program and the Gorgon Stare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margin was 45.4% for fiscal 2014, an increase of 520 basis points from the 40.2% gross margin achieved in fiscal 2013. The higher gross margin in fiscal 2014 was due to a more favorable product mix, primarily driven by a recovery in our higher margin digital signal processing products within MCE and facilities consolidations as part of our integration plan. In addition, fiscal 2013 included a $2.1 million non-recurring charge for a fair value adjustment from purchase accounting resulting from the Micronetics acquisition.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expenses decreased $1.1 million, or 2%, to $53.7 million during fiscal 2014 compared to $54.8 million during fiscal 2013. The overall decrease was primarily due to lower employee compensation expenses as a result of progress achieved on our plan of integrating and consolidating facilities, systems, and processes. Selling, general and administrative expenses decreased as a percentage of revenue to 25.7% during fiscal 2014 from 28.2% during fiscal 2013 due to higher revenues in fiscal 2014 and overall expense reductions, as compared to the comparable period in fiscal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Research and development expenses increased $3.1 million, or 9.5%, to $35.7 million during fiscal 2014 compared to $32.6 million for fiscal 2013. The increase was primarily due to $0.8 million lower customer funded projects, $0.9 million higher prototype expenses, and $2.0 million increased employee compensation expenses, including stock compensation expense. Research and development expenses accounted for 17.1% and 16.8% of our revenues during fiscal 2014 and fiscal 2013, respectively. These increases were partially offset by lower depreciation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Amortization of intangible assets decreased $0.9 million, or 11%, to $7.3 million during fiscal 2014 compared to $8.2 million for fiscal 2013, primarily due to a portion of the Micronetics related intangible assets being fully amortized during the first quarter of fiscal 2014.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HARGES</w:t>
      </w:r>
    </w:p>
    <w:p>
      <w:pPr>
        <w:spacing w:after="0" w:line="10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Restructuring and other charges decreased 23%, or $1.6 million, to $5.4 million during fiscal 2014 compared to $7.1 million in fiscal 2013. The fiscal 2014 restructuring activities included the elimination of 70 positions largely in engineering, manufacturing and administrative functions. Additionally, we closed four facilities relocating all related activities to our Advanced Microelectronics Center ("AMC") in Hudson, New Hampshire. We also completed the first phase of our Chelmsford, Massachusetts headquarters consolidation in the fourth quarter of fiscal 2014. Future restructuring expenses associated with the integration plan approximated $3.2 million in fiscal 2015.We expect to realize approximately $16 million in annualized savings from the fiscal 2014 cost reduction activities, which was completed in the second quarter of fiscal 2015.</w:t>
      </w:r>
    </w:p>
    <w:p>
      <w:pPr>
        <w:spacing w:after="0" w:line="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restructuring plans implemented during fiscal 2013 consisted of $5.5 million of involuntary separation costs related to the reduction in force which eliminated 159 positions, primarily from our engineering, administrative, and manufacturing functions, and $1.4 million in facility charges for our Hudson, New Hampshire, Huntsville, Alabama, and Ewing, New Jersey sites. Our fiscal 2013 restructuring plans were implemented to cope with reduced defense revenues and the uncertainties in the defense industry driven by the potential for defense budget sequestration. Additionally, fiscal 2013 activities were implemented as a result of integration efforts of recent acquisitions and the planned consolidation of our manufacturing facilities in Salem, New Hampshire and Hudson, New Hampshire.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10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did not incur any acquisition costs and other related expenses during fiscal 2014. During fiscal 2013, we incurred $0.3 million of acquisition costs and other related expenses, in connection with the acquisition of Micronetics.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N</w:t>
      </w:r>
      <w:r>
        <w:rPr>
          <w:rFonts w:ascii="Arial" w:cs="Arial" w:eastAsia="Arial" w:hAnsi="Arial"/>
          <w:sz w:val="14"/>
          <w:szCs w:val="14"/>
          <w:b w:val="1"/>
          <w:bCs w:val="1"/>
          <w:color w:val="auto"/>
        </w:rPr>
        <w:t>ET</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income increased $1.0 million to $1.5 million during fiscal 2014 compared to $0.5 million in fiscal 2013. The increase was a result of foreign currency exchange gains during fiscal 2014 compared to losses during fiscal 2013 primarily driven by changes in the Japanese yen versus the U.S. dollar. Other income included $1.2 million in amortization of the gain on the 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leaseback of our corporate headquarters located in Chelmsford, Massachusetts during fiscal 2014 and 2013. Interest income and interest expense for fiscal years 2014 and 2013 were de minimis.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an income tax benefit of $1.8 million in fiscal 2014 compared to an income tax benefit of $10.5 million in fiscal 2013. The effective tax rates for fiscal 2014 and fiscal 2013 were 31.1% and 43.2%, respectively.</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effective tax rate for fiscal 2014 differed from the federal statutory rate primarily due to non-deductible equity compensation, partially offset by benefits related to research and development tax credits, domestic manufacturing deductions and foreign tax credits.</w:t>
      </w:r>
    </w:p>
    <w:p>
      <w:pPr>
        <w:spacing w:after="0" w:line="3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difference in the effective tax rates is mainly driven by fiscal 2014 including only six-months of federal research and development tax credits compared to 18 months in fiscal 2013 due to the timing of the tax credit extension and lower non-deductible stock compensation in fiscal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10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We incurred a loss from discontinued operations of $7.4 million in fiscal 2014 compared to income from discontinued operations of $0.5 million in fiscal 2013. The loss from discontinued operations in fiscal 2014 includes a $6.7 million impairment of goodwill in our MIS operating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EBITDA for MCE increased $15.7 million to $18.5 million during fiscal 2014, as compared to $2.8 million during fiscal 2013. The increase in adjusted EBITDA was primarily driven by higher revenues of $23.2 million primarily from an increase in revenues from our higher margin digital signal processing products.</w:t>
      </w:r>
    </w:p>
    <w:p>
      <w:pPr>
        <w:spacing w:after="0" w:line="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Adjusted EBITDA for MDS decreased by $1.4 million during fiscal 2014 to $5.7 million, as compared to $7.1 million in fiscal 2013. The decrease is primarily driven by lower revenues from the DRFM jammer and Gorgon Stare programs.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P to our consolidated financial statements for more information regarding our operating segments as well as the Company's reconciliations of income (loss) from continuing operations to its adjusted EBITDA.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2015, our primary source of liquidity came from existing cash and cash generated from operations. Our near-term fixed commitments for cash expenditures consist primarily of payments under operating leases and inventory purchase commitments with our contract manufacturers. We do not currently have any material commitments for capital expenditures.</w:t>
      </w:r>
    </w:p>
    <w:p>
      <w:pPr>
        <w:spacing w:after="0" w:line="12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15, 2014,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181"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October 12, 2012, we entered into a credit agreement (the “Credit Agreement”) with a syndicate of commercial banks, with KeyBank National Association acting as the administrative agent. The Credit Agreement provides for a $200.0 million senior unsecured revolving line of credit (the “Revolver”). We can borrow up to $200.0 million based on our consolidated EBITDA for the prior trailing four quarters and subject to compliance with the financial covenants discussed below. The Revolver is available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Credit Agreement has an accordion feature permitting us to request from the lenders an increase in the aggregate amount of the credit facility in the form of an incremental revolver or term loan in an amount not to exceed $50.0 million. Any such increase would require only the consent of the lenders increasing their respective commitments under the credit facility.</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rates applicable to borrowings under the Credit Agreement involve various rate options that are available to us. The rates are calculated using a combination of conventional base rate measures plus a margin over those rates. The base rates consist of LIBOR rates or prime rates. The actual rates will depend on the level of these underlying rates plus a margin based on our leverage at the time of borrowing.</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Borrowings under the Credit Agreement are senior unsecured loans. Each of our domestic subsidiaries is a guarantor under the Credit Agreement.</w:t>
      </w:r>
    </w:p>
    <w:p>
      <w:pPr>
        <w:spacing w:after="0" w:line="1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on a consolidated basis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In addition, the Credit Agreement contains certain customary representations and warranties, and events of default.</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June 30, 2015, there was $151.5 million of borrowing capacity available based on our consolidated EBITDA for the trailing four quarters ended June 30, 2015. There were no borrowings outstanding on the Credit Agreement; however, there were outstanding letters of credit of $3.8 million. We were in compliance with all covenants and conditions under the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14"/>
                <w:szCs w:val="14"/>
                <w:color w:val="auto"/>
              </w:rPr>
            </w:pPr>
          </w:p>
        </w:tc>
        <w:tc>
          <w:tcPr>
            <w:tcW w:w="12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As of and for the fiscal year ended</w:t>
            </w: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(71,091)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30,299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8,161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(76,838)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77,586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47,287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39,126</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cash and cash equivalents increased by $30.3 million during fiscal 2015 primarily as a result of $32.2 million in cash generated by operating activities, partially offset by $6.0 million in purchases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fiscal 2015, we generated $32.2 million in cash from operating activities, an increase of $18.0 million when compared to $14.2 million in cash generated from operating activities in fiscal 2014. The increase in cash generated by operating activities was primarily a result of $21.8 million of higher comparable net income, $18.4 million increase in accounts receivable collections, and $4.5 million generated from lower deferred income taxes. The increase in cash generated from operating activities was partially offset by a $11.8 million increase in cash used for prepaid expenses and other current assets, $6.2 million in higher inventory purchases, and a $4.4 million decrease in non-cash activity from the impairment of goodwill associated with our MIS discontinued operations.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4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fiscal 2014, we generated $14.2 million in cash from operating activities, an increase of $16.1 million when compared to $1.9 million in cash used in operating activities in fiscal 2013. The increase in cash generated by operating activities was primarily a result of $1.8 million of lower comparable net loss, a $14.3 million decrease in cash used for payables and accrued expenses, a $6.7 million increase in non-cash activity from the impairment of goodwill associated with the MIS discontinued operations, $4.6 million generated from lower deferred income taxes, and $5.4 million in lower inventory purchases. The increase in cash generated from operating activities was partially offset by timing of accounts receivable collections of $17.2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2015, we used cash of $5.6 million in investing activities compared to $6.7 million used during fiscal 2014. Driving the $1.1 million decrease in cash used in investing activities were fewer purchases of property and equipment of $0.7 million and proceeds generated from the sale of our MIS operating segment of $0.9 million.</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we used cash of $6.7 million in investing activities compared to $71.1 million used during fiscal 2013. The $64.4 million decrease in cash used in investing activities was primarily driven by $67.7 million used for the Micronetics acquisition in fiscal 2013, partially offset by increased capital expenditures of $2.8 million in fiscal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fiscal 2015, we generated $3.9 million from financing activities compared to $0.7 million cash generated from financing activities during fiscal 2014. The $3.2 million change in cash from financing activities was primarily due to a $3.1 million increase in proceeds from employee stock plans and $0.9 million increase in excess tax benefit from stock-based compensation compared to fiscal 2014, partially offset by $0.9 million of retired common stock.</w:t>
      </w:r>
    </w:p>
    <w:p>
      <w:pPr>
        <w:spacing w:after="0" w:line="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we generated $0.7 million from financing activities compared to $3.7 million cash used in financing activities during fiscal 2013. The $4.4 million change in cash from financing activities was primarily due to a $6.6 million payment to settle debt acquired as part of the Micronetics acquisition, partially offset by the release of $3.0 million of restricted cash both of which occurred during fiscal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June 30,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Less Than</w:t>
            </w:r>
          </w:p>
        </w:tc>
        <w:tc>
          <w:tcPr>
            <w:tcW w:w="300" w:type="dxa"/>
            <w:vAlign w:val="bottom"/>
          </w:tcPr>
          <w:p>
            <w:pPr>
              <w:spacing w:after="0"/>
              <w:rPr>
                <w:sz w:val="14"/>
                <w:szCs w:val="14"/>
                <w:color w:val="auto"/>
              </w:rPr>
            </w:pPr>
          </w:p>
        </w:tc>
        <w:tc>
          <w:tcPr>
            <w:tcW w:w="1060" w:type="dxa"/>
            <w:vAlign w:val="bottom"/>
          </w:tcPr>
          <w:p>
            <w:pPr>
              <w:jc w:val="right"/>
              <w:ind w:right="516"/>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96"/>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30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27,376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27,376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48,774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31,912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3,784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a liability at June 30, 2015 of $1.5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commitments covered by these agreements are for less than one year and aggregated $27.4 million at June 30, 2015.</w:t>
      </w:r>
    </w:p>
    <w:p>
      <w:pPr>
        <w:spacing w:after="0" w:line="15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3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connection with the sale of our former MIS business, we provided indemnification to the buyer of the business. Our indemnification obligations generally cover the buyer for damages resulting from breaches of representations, warranties and covenants contained in the purchase and sale agreement and generally cover pre-closing tax liabilities of the business. Our indemnification obligations regarding the MIS business are generally subject to caps.</w:t>
      </w:r>
    </w:p>
    <w:p>
      <w:pPr>
        <w:spacing w:after="0" w:line="93"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may elect from time to time to purchase and subsequently retire shares of common stock in order to settle an individual employees’ tax liability associated with vesting of a restricted stock award. These transactions would be treated as a use of cash in financing activities in our statement of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2015 and 2014, we did not engage in any related party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11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Adjusted EBITDA is defined as earnings from continuing operations before interest income and expense, income taxes, depreciation, amortization of intangible assets, restructuring and other charges, impairment of long-lived assets, acquisition and financing costs, fair value adjustments from purchase accounting and stock-based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reconciles our income (loss) from continuing operations, the most directly comparable GAAP financial measure, to our adjusted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provision (benefit)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8,445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Acquisition and financing costs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adjustments from purchase accounting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7,854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have identified the policies discussed below as critical to understanding our business and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 We believe the following critical accounting policies to be those most important to the portrayal of our financial position and results of operations and those that require the most subjective judgment.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EVENUE</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ECOGNITION</w:t>
      </w:r>
    </w:p>
    <w:p>
      <w:pPr>
        <w:spacing w:after="0" w:line="10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recognize revenue using three different types of accounting methods: ship and bill, multiple-deliverable arrangements and contract accounting which encompass the percentage of completion, completed contract and time and materials methods. Ship and bill revenues, multiple-deliverable arrangements and contract accounting revenues totaled 47%, 24%, and 29% of total Company revenues in fiscal 2015, respectively.</w:t>
      </w:r>
    </w:p>
    <w:p>
      <w:pPr>
        <w:spacing w:after="0" w:line="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from system sales is recognized upon shipment utilizing the ship and bill method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4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multiple-deliverable revenue arrangements that may include a combination of hardware components, related integration or other services, we allocate revenue to each deliverable based on its relative fair value. We generally determine relative selling price using best estimate of the selling price (“BESP”). We determine BESP for each deliverable using a bottoms-up cost plus expected margin approach. Each deliverable within our multiple-deliverable revenue arrangement is accounted for as a separate unit of accounting if the delivered item or items have value to the customer on a standalone basis. We consider a deliverable to have standalone value if the item is sold separately by us or another vendor or if the item could be resold by the customer.</w:t>
      </w:r>
    </w:p>
    <w:p>
      <w:pPr>
        <w:spacing w:after="0" w:line="23"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We also have long term production type contracts that are primarily fixed-price for which we apply the percentage-of-completion method for revenue recognition. These long-term contracts involve the design, development, manufacture, or modification of complex electronic equipment and related services. Under this method, revenue is recognized based on the extent of progress towards completion of the long-term contract.</w:t>
      </w:r>
    </w:p>
    <w:p>
      <w:pPr>
        <w:spacing w:after="0" w:line="30"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Application of the percentage-of-completion method requires significant judgment relative to estimating total contract costs, including assumptions relative to the length of time to complete the contract, the nature and complexity of the work to be performed, labor productivity, anticipated increases in wages and prices for subcontractor services and materials, the availability of our subcontractor’s services and materials, the availability and timing of funding from our customer, and overhead rates, among other variables. We primarily use the cost-to-cost measure of progress for our long-term contracts. Under the cost-to-cost measure of progress, the extent of progress towards completion is measured based on the ratio of costs incurred to date to the total estimated costs at completion of the contracts. Our estimates are based upon the professional knowledge and experience of our engineers, program managers and finance professionals, who review each long-term contract monthly to assess the contract's schedule, performance, technical matters and estimated cost at completion.</w:t>
      </w:r>
    </w:p>
    <w:p>
      <w:pPr>
        <w:spacing w:after="0" w:line="3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 cancellation, schedule delay, or modification of a fixed-price contract which is accounted for using the percentage-of-completion method may adversely affect our gross margins for the period in which the contract is modified or canceled. Changes in estimates are applied retrospectively and when adjustments in estimated contract costs are identified, such revisions may result in current period adjustments to earnings applicable to performance in prior periods. For time and materials contracts, revenue reflects the number of direct labor hours expended in the performance of a contract multiplied by the contract billing rate, as well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reimbursement of other billable direct costs. The completed contract method is utilized when reasonable and reliable cost estimates for a project cannot be made.</w:t>
      </w:r>
    </w:p>
    <w:p>
      <w:pPr>
        <w:spacing w:after="0" w:line="35"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Our analysis of these contracts also contemplates whether contracts should be combined or segmented in accordance with the applicable criteria under GAAP. We combine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we may segment a project, which may consist of a single contract or group of contracts, with varying rates of profitability, only if the applicable criteria under GAAP are met. Judgment also is involved in determining whether a single contract or group of contracts may be segmented based on how arrangement was negotiated and the performance criteria. The decision to combine a group of contracts or segment a contract could change the amount of revenue and gross profit recorded in a given period. For all types of contracts, we recognize anticipated contract losses as soon as they become known and estimable. These losses are recognized in advance of contract performance and as of June 30, 2015, approximately $1.1 million of these costs were in accrued expenses on our balance sheet.</w:t>
      </w:r>
    </w:p>
    <w:p>
      <w:pPr>
        <w:spacing w:after="0" w:line="4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do not provide our customers with rights of product return, other than those related to warranty provisions that permit repair or replacement of defective goods. We accrue for anticipated warranty costs upon product shipment. Our payment terms generally range from 30 to 90 days from invoice date based on the nature of the contracts, customers' geographic locations and customer type.</w:t>
      </w:r>
    </w:p>
    <w:p>
      <w:pPr>
        <w:spacing w:after="0" w:line="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define service revenues as revenue from activities that are not associated with the design, development, production, or delivery of tangible assets, software or specific capabilities sold by us. Examples of our service revenues include: analyst services and systems engineering support, consulting, maintenance and other support, testing and installation. We combine our product and service revenues into a single class as services revenues are less than 10 percent of total revenues.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NVENTORY</w:t>
      </w:r>
      <w:r>
        <w:rPr>
          <w:rFonts w:ascii="Arial" w:cs="Arial" w:eastAsia="Arial" w:hAnsi="Arial"/>
          <w:sz w:val="18"/>
          <w:szCs w:val="18"/>
          <w:i w:val="1"/>
          <w:iCs w:val="1"/>
          <w:color w:val="auto"/>
        </w:rPr>
        <w:t xml:space="preserve"> V</w:t>
      </w:r>
      <w:r>
        <w:rPr>
          <w:rFonts w:ascii="Arial" w:cs="Arial" w:eastAsia="Arial" w:hAnsi="Arial"/>
          <w:sz w:val="14"/>
          <w:szCs w:val="14"/>
          <w:i w:val="1"/>
          <w:iCs w:val="1"/>
          <w:color w:val="auto"/>
        </w:rPr>
        <w:t>ALUATION</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value our inventory at the lower of cost (first-in, first-out) or its current estimated market value. We write down inventory for excess and obsolescence based upon assumptions about future demand, product mix and possible alternative uses. Actual demand, product mix and alternative usage may be lower than those that we project and this difference could have a material adverse effect on our gross margin if inventory write-downs beyond those initially recorded become necessary. Alternatively, if actual demand, product mix and alternative usage are more favorable than those we estimated at the time of such a write-down, our gross margin could be favorably impacted in future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OODWILL</w:t>
      </w:r>
      <w:r>
        <w:rPr>
          <w:rFonts w:ascii="Arial" w:cs="Arial" w:eastAsia="Arial" w:hAnsi="Arial"/>
          <w:sz w:val="18"/>
          <w:szCs w:val="18"/>
          <w:i w:val="1"/>
          <w:iCs w:val="1"/>
          <w:color w:val="auto"/>
        </w:rPr>
        <w:t>, I</w:t>
      </w:r>
      <w:r>
        <w:rPr>
          <w:rFonts w:ascii="Arial" w:cs="Arial" w:eastAsia="Arial" w:hAnsi="Arial"/>
          <w:sz w:val="14"/>
          <w:szCs w:val="14"/>
          <w:i w:val="1"/>
          <w:iCs w:val="1"/>
          <w:color w:val="auto"/>
        </w:rPr>
        <w:t>NTANGIBLE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 AND</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ONG</w:t>
      </w:r>
      <w:r>
        <w:rPr>
          <w:rFonts w:ascii="Arial" w:cs="Arial" w:eastAsia="Arial" w:hAnsi="Arial"/>
          <w:sz w:val="18"/>
          <w:szCs w:val="18"/>
          <w:i w:val="1"/>
          <w:iCs w:val="1"/>
          <w:color w:val="auto"/>
        </w:rPr>
        <w:t>-</w:t>
      </w:r>
      <w:r>
        <w:rPr>
          <w:rFonts w:ascii="Arial" w:cs="Arial" w:eastAsia="Arial" w:hAnsi="Arial"/>
          <w:sz w:val="14"/>
          <w:szCs w:val="14"/>
          <w:i w:val="1"/>
          <w:iCs w:val="1"/>
          <w:color w:val="auto"/>
        </w:rPr>
        <w:t>LIVED</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w:t>
      </w:r>
    </w:p>
    <w:p>
      <w:pPr>
        <w:spacing w:after="0" w:line="10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evaluate our goodwill for impairment annually in the fourth quarter and in any interim period in which events or circumstances arise that indicate our goodwill may be impaired. Indicators of impairment include, but are not limited to, a significant deterioration in overall economic conditions, a decline in our market capitalization, the loss of significant business, significant decreases in funding for our contracts, or other significant adverse changes in industry or market conditions. In the second quarter of fiscal 2015, the sale process of our MIS reporting unit was well underway and there were indications that the market value of MIS would not support its carrying value. This resulted in an interim triggering event. As a result of the fair value analysis, we incurred a $2.3 million impairment charge for the MIS business recorded in discontinued operations during the second quarter of fiscal 2015. There were no interim triggering events for MCE or MDS.</w:t>
      </w:r>
    </w:p>
    <w:p>
      <w:pPr>
        <w:spacing w:after="0" w:line="5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test goodwill for impairment at the reporting unit level. Goodwill impairment guidance provides entities an option to perform a qualitative assessment (commonly known as “step zero”) to determine whether further impairment testing is necessary before performing the two-step test. The qualitative assessment requires significant judgments by management about macro-economic conditions including the entity's operating environment, its industry and other market considerations, entity-specific events related to financial performance or loss of key personnel, and other events that could impact the reporting unit. If we conclude that further testing is required, the impairment test involves a two-step process. Step one compares the fair value of the reporting unit with its carrying value, including goodwill. If the carrying amount exceeds the fair value of the reporting unit, step two is required to determine if there is an impairment of the goodwill. Step two compares the implied fair value of the reporting unit's goodwill to the carrying amount of the goodwill. The Company estimates the fair value of its reporting units using the income approach based upon a discounted cash flow model. The income approach requires the use of many assumptions and estimates including future revenues, expenses, capital expenditures, and working capital, as well as discount factors and income tax rates. In addition, the Company uses the market approach, which compares the reporting unit to publicly-traded companies and transactions involving similar businesses, to support the conclusions of the income approach.</w:t>
      </w:r>
    </w:p>
    <w:p>
      <w:pPr>
        <w:spacing w:after="0" w:line="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our annual goodwill impairment testing performed on May 31, 2015, we utilized the income approach to determine the fair value of our MCE and MDS reporting units. As part of our annual goodwill impairment testing, we utilized a discount rate for each of our reporting units that we believe represents the risks that our businesses face, considering their sizes, the current economic environment, and other industry data we believe is appropriate. The discount rates for MCE and MDS were 10%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13%, respectively. The annual testing indicated that the fair values of our MCE and MDS reporting units significantly exceeding their carrying values, and thus no further testing was required. A one percent change in the discount rate of either reporting unit would still result in significant excess of fair value over carrying value.</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also review finite-lived intangible assets and long-lived assets when indications of potential impairment exist, such as a significant reduction in undiscounted cash flows associated with the assets. Should the fair value of our long-lived assets decline because of reduced operating performance, market declines, or other indicators of impairment, a charge to operations for impairment may be necessary.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NCOME</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AXES</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determination of income tax expense requires us to make certain estimates and judgments concerning the calculation of deferred tax assets and liabilities, as well as the deductions and credits that are available to reduce taxable income. We recognize deferred tax assets and liabilities for the expected future tax consequences of events that have been included in our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w:t>
      </w:r>
    </w:p>
    <w:p>
      <w:pPr>
        <w:spacing w:after="0" w:line="5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evaluating our ability to recover deferred tax assets, we consider all available positive and negative evidence, including our past operating results, our forecast of future earnings, future taxable income, and tax planning strategies. The assumptions utilized in determining future taxable income require significant judgment. We record a valuation allowance against deferred tax assets if, based upon the available evidence, it is more likely than not that some or all of the deferred tax assets will not be realized. If it becomes more likely than not that a tax asset will be used for which a reserve has been provided, we reverse the related valuation allowance. If our actual future taxable income by tax jurisdiction differs from estimates, additional allowances or reversals of reserves may be necessary.</w:t>
      </w:r>
    </w:p>
    <w:p>
      <w:pPr>
        <w:spacing w:after="0" w:line="5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use a two-step approach to recognize and measure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We reevaluate our uncertain tax positions on a quarterly basis and any changes to these positions as a result of tax audits, tax laws or other facts and circumstances could result in additional charges to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w:t>
      </w:r>
      <w:r>
        <w:rPr>
          <w:rFonts w:ascii="Arial" w:cs="Arial" w:eastAsia="Arial" w:hAnsi="Arial"/>
          <w:sz w:val="14"/>
          <w:szCs w:val="14"/>
          <w:i w:val="1"/>
          <w:iCs w:val="1"/>
          <w:color w:val="auto"/>
        </w:rPr>
        <w:t>USINESS</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OMBINATIONS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utilized the acquisition method of accounting for business combinations and allocate the purchase price of an acquisition to the various assets acquired and liabilities assumed based on their estimated fair values. We primarily establish fair value using the income approach based upon a discounted cash flow model. The income approach requires the use of many assumptions and estimates including future revenues and expenses, as well as discount factors and income tax 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on July 1, 2018 and can be early adopted for the fiscal year beginning July 1, 2017.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its ongoing financial reporting.</w:t>
      </w:r>
    </w:p>
    <w:p>
      <w:pPr>
        <w:spacing w:after="0" w:line="5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beginning after December 15, 2016, and interim periods thereafter, with early adoption permitted. We do not expect a going concern uncertainty in the foreseeable future, and therefore this guidance is not expected to have a material impact to our consolidated financial statements.</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In November 2014, the FASB issued ASU No. 2014-17, </w:t>
      </w:r>
      <w:r>
        <w:rPr>
          <w:rFonts w:ascii="Arial" w:cs="Arial" w:eastAsia="Arial" w:hAnsi="Arial"/>
          <w:sz w:val="18"/>
          <w:szCs w:val="18"/>
          <w:i w:val="1"/>
          <w:iCs w:val="1"/>
          <w:color w:val="auto"/>
        </w:rPr>
        <w:t>Pushdown Accounting (a consensus of the FASB Emerging Issues Task Force)</w:t>
      </w:r>
      <w:r>
        <w:rPr>
          <w:rFonts w:ascii="Arial" w:cs="Arial" w:eastAsia="Arial" w:hAnsi="Arial"/>
          <w:sz w:val="18"/>
          <w:szCs w:val="18"/>
          <w:color w:val="auto"/>
        </w:rPr>
        <w:t>, an amendment of the FASB Accounting Standards Codification. This ASU allows an acquired entity to elect to apply pushdown accounting in its separate financial statements on a change-in-control event. The acquired entity elects whether to apply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pushdown accounting individually for each change-in-control event, and may apply pushdown accounting during the reporting period in which the change-in-control event occurs. Effective November 18, 2014, an acquired entity may apply ASU 2014-17 to future change-in-control events. As this guidance is applicable to separate financial statements of acquired entities, we do not expect this guidance to have a material impact to our consolidated financial statements.</w:t>
      </w:r>
    </w:p>
    <w:p>
      <w:pPr>
        <w:spacing w:after="0" w:line="5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January 2015, the FASB issued ASU No. 2015-01, </w:t>
      </w:r>
      <w:r>
        <w:rPr>
          <w:rFonts w:ascii="Arial" w:cs="Arial" w:eastAsia="Arial" w:hAnsi="Arial"/>
          <w:sz w:val="18"/>
          <w:szCs w:val="18"/>
          <w:i w:val="1"/>
          <w:iCs w:val="1"/>
          <w:color w:val="auto"/>
        </w:rPr>
        <w:t>Simplifying Income Statement Presentation by Eliminating the Concept of Extraordinary Items</w:t>
      </w:r>
      <w:r>
        <w:rPr>
          <w:rFonts w:ascii="Arial" w:cs="Arial" w:eastAsia="Arial" w:hAnsi="Arial"/>
          <w:sz w:val="18"/>
          <w:szCs w:val="18"/>
          <w:color w:val="auto"/>
        </w:rPr>
        <w:t>, an amendment of the FASB Accounting Standards Codification. This ASU eliminates the separate presentation of extraordinary items, net of tax and the related earnings per share, but does not affect the requirement to disclose material items that are unusual in nature or infrequently occurring. The ASU aligns U.S. GAAP more closely with IFRS ("International Financial Reporting Standards"). Entities will continue to evaluate whether items are unusual in nature or infrequent in their occurrence for disclosure purposes and when estimating the annual effective tax rate for interim reporting purposes. This ASU is effective for interim and annual periods in fiscal years beginning after December 15, 2015. The ASU allows prospective or retrospective applications. Early adoption is permitted if applied from the beginning of the fiscal year of adoption. We do not expect this guidance to have a material impact to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Effective July 1, 2014, we adopted FASB ASU No. 2013-11, </w:t>
      </w:r>
      <w:r>
        <w:rPr>
          <w:rFonts w:ascii="Arial" w:cs="Arial" w:eastAsia="Arial" w:hAnsi="Arial"/>
          <w:sz w:val="17"/>
          <w:szCs w:val="17"/>
          <w:i w:val="1"/>
          <w:iCs w:val="1"/>
          <w:color w:val="auto"/>
        </w:rPr>
        <w:t>Presentation of an Unrecognized Tax Benefit When a Net Operating Loss Carryforward, a</w:t>
      </w:r>
      <w:r>
        <w:rPr>
          <w:rFonts w:ascii="Arial" w:cs="Arial" w:eastAsia="Arial" w:hAnsi="Arial"/>
          <w:sz w:val="17"/>
          <w:szCs w:val="17"/>
          <w:color w:val="auto"/>
        </w:rPr>
        <w:t xml:space="preserve"> </w:t>
      </w:r>
      <w:r>
        <w:rPr>
          <w:rFonts w:ascii="Arial" w:cs="Arial" w:eastAsia="Arial" w:hAnsi="Arial"/>
          <w:sz w:val="17"/>
          <w:szCs w:val="17"/>
          <w:i w:val="1"/>
          <w:iCs w:val="1"/>
          <w:color w:val="auto"/>
        </w:rPr>
        <w:t>Similar Tax Loss, or a Tax Credit Carryforward Exists</w:t>
      </w:r>
      <w:r>
        <w:rPr>
          <w:rFonts w:ascii="Arial" w:cs="Arial" w:eastAsia="Arial" w:hAnsi="Arial"/>
          <w:sz w:val="17"/>
          <w:szCs w:val="17"/>
          <w:color w:val="auto"/>
        </w:rPr>
        <w:t>, an amendment of the FASB Accounting Standards Codification. The ASU requires an unrecognized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tax benefit to be presented as a decrease in a deferred tax asset when net operating loss carryforwards, similar tax losses, or tax credit carryforwards exist and certain criteria are met. Such adoption did not have a material impact to our consolidated financial statements.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Effective October 1, 2014, we adopted FASB ASU No. 2014-08, </w:t>
      </w:r>
      <w:r>
        <w:rPr>
          <w:rFonts w:ascii="Arial" w:cs="Arial" w:eastAsia="Arial" w:hAnsi="Arial"/>
          <w:sz w:val="16"/>
          <w:szCs w:val="16"/>
          <w:i w:val="1"/>
          <w:iCs w:val="1"/>
          <w:color w:val="auto"/>
        </w:rPr>
        <w:t>Presentation of Financial Statements (Topic 205) and Property, Plant, and Equipment</w:t>
      </w:r>
      <w:r>
        <w:rPr>
          <w:rFonts w:ascii="Arial" w:cs="Arial" w:eastAsia="Arial" w:hAnsi="Arial"/>
          <w:sz w:val="16"/>
          <w:szCs w:val="16"/>
          <w:color w:val="auto"/>
        </w:rPr>
        <w:t xml:space="preserve"> </w:t>
      </w:r>
      <w:r>
        <w:rPr>
          <w:rFonts w:ascii="Arial" w:cs="Arial" w:eastAsia="Arial" w:hAnsi="Arial"/>
          <w:sz w:val="16"/>
          <w:szCs w:val="16"/>
          <w:i w:val="1"/>
          <w:iCs w:val="1"/>
          <w:color w:val="auto"/>
        </w:rPr>
        <w:t>(Topic 360)</w:t>
      </w:r>
      <w:r>
        <w:rPr>
          <w:rFonts w:ascii="Arial" w:cs="Arial" w:eastAsia="Arial" w:hAnsi="Arial"/>
          <w:sz w:val="16"/>
          <w:szCs w:val="16"/>
          <w:color w:val="auto"/>
        </w:rPr>
        <w:t>, an amendment of the FASB Accounting Standards Codification. The ASU clarifies the definition of discontinued operations by limiting</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operations reporting to disposals of components of an entity that represent strategic shifts that have (or will have) a major effect on an entity's operations and financial results. Additionally, the amendments in this ASU require expanded disclosure for discontinued operations to provide users with more information about the assets, liabilities, revenues, and expenses. Such adoption did not have a material impact to our consolidated financial statements.</w:t>
      </w:r>
    </w:p>
    <w:p>
      <w:pPr>
        <w:spacing w:after="0" w:line="1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exposure to interest rate risk is related primarily to our investment portfolio and our line of credit. Our investment portfolio includes money market funds from high quality U.S. government issuers. A change in prevailing interest rates may cause the fair value of our investments to fluctuate. For example, if we hold a security that was issued with a fixed interest rate at the then-prevailing rate and the prevailing rate rises, the fair value of the principal amount of our investment will probably decline. To minimize this risk, investments are generally available for sale and we generally limit the amount of credit exposure to any one issuer. Our line of credit was used to support $3.8 million of letters of credit at June 30,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primarily in the United States; however, we conduct business outside the United States through our foreign subsidiaries in Europe and Japan, where business is largely transacted in non-U.S. dollar currencies. Accordingly, we are subject to exposure from adverse movements in the exchange rates of local currencies. Local currencies are used as the functional currency for our subsidiaries in Europe and Japan. Consequently, changes in the exchange rates of the currencies may impact the translation of the foreign subsidiaries’ statements of operations into U.S. dollars, which may in turn affect our consolidated statement of operations.</w:t>
      </w:r>
    </w:p>
    <w:p>
      <w:pPr>
        <w:spacing w:after="0" w:line="13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We have not entered into any financial derivative instruments that expose us to material market risk, including any instruments designed to hedge the impact of foreign currency exposures. We may, however, hedge such exposure to foreign currency exchange rate fluctuations in the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EPORT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34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sheets of Mercury Systems, Inc. and subsidiaries as of June 30, 2015 and 2014, and the related consolidated statements of operations, comprehensive income (loss), shareholders’ equity, and cash flows for each of the years in the three-year period ended June 30, 2015. In connection with our audits of the consolidated financial statements, we also have audited financial statement schedule II. We also have audited Mercury Systems, Inc.’s internal control over financial reporting as of June 30, 2015,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(COSO). Mercury Systems, Inc.’s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these consolidated financial statements and financial statement Schedule II,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these consolidated financial statements and financial statement schedule and an opinion on the Company’s internal control over financial reporting based on our audits.</w:t>
      </w:r>
    </w:p>
    <w:p>
      <w:pPr>
        <w:spacing w:after="0" w:line="8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Mercury Systems, Inc. and subsidiaries as of June 30, 2015 and 2014, and the results of their operations and their cash flows for each of the years in the three-year period ended June 30, 2015,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 Also in our opinion, Mercury Systems, Inc. maintained, in all material respects, effective internal control over financial reporting as of June 30,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660" w:type="dxa"/>
            <w:vAlign w:val="bottom"/>
          </w:tcPr>
          <w:p>
            <w:pPr>
              <w:ind w:left="62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7"/>
        </w:trPr>
        <w:tc>
          <w:tcPr>
            <w:tcW w:w="680" w:type="dxa"/>
            <w:vAlign w:val="bottom"/>
          </w:tcPr>
          <w:p>
            <w:pPr>
              <w:spacing w:after="0"/>
              <w:rPr>
                <w:sz w:val="24"/>
                <w:szCs w:val="24"/>
                <w:color w:val="auto"/>
              </w:rPr>
            </w:pPr>
          </w:p>
        </w:tc>
        <w:tc>
          <w:tcPr>
            <w:tcW w:w="76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MERCURY SYSTEMS, INC.</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3"/>
        </w:trPr>
        <w:tc>
          <w:tcPr>
            <w:tcW w:w="680" w:type="dxa"/>
            <w:vAlign w:val="bottom"/>
          </w:tcPr>
          <w:p>
            <w:pPr>
              <w:spacing w:after="0"/>
              <w:rPr>
                <w:sz w:val="24"/>
                <w:szCs w:val="24"/>
                <w:color w:val="auto"/>
              </w:rPr>
            </w:pPr>
          </w:p>
        </w:tc>
        <w:tc>
          <w:tcPr>
            <w:tcW w:w="76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680" w:type="dxa"/>
            <w:vAlign w:val="bottom"/>
          </w:tcPr>
          <w:p>
            <w:pPr>
              <w:spacing w:after="0"/>
              <w:rPr>
                <w:sz w:val="20"/>
                <w:szCs w:val="20"/>
                <w:color w:val="auto"/>
              </w:rPr>
            </w:pPr>
          </w:p>
        </w:tc>
        <w:tc>
          <w:tcPr>
            <w:tcW w:w="7660" w:type="dxa"/>
            <w:vAlign w:val="bottom"/>
          </w:tcPr>
          <w:p>
            <w:pPr>
              <w:jc w:val="center"/>
              <w:ind w:left="2270"/>
              <w:spacing w:after="0"/>
              <w:rPr>
                <w:sz w:val="20"/>
                <w:szCs w:val="20"/>
                <w:color w:val="auto"/>
              </w:rPr>
            </w:pPr>
            <w:r>
              <w:rPr>
                <w:rFonts w:ascii="Arial" w:cs="Arial" w:eastAsia="Arial" w:hAnsi="Arial"/>
                <w:sz w:val="18"/>
                <w:szCs w:val="18"/>
                <w:color w:val="auto"/>
                <w:w w:val="87"/>
              </w:rPr>
              <w:t>(In thousands, except share and per share data)</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2"/>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r>
      <w:tr>
        <w:trPr>
          <w:trHeight w:val="264"/>
        </w:trPr>
        <w:tc>
          <w:tcPr>
            <w:tcW w:w="680" w:type="dxa"/>
            <w:vAlign w:val="bottom"/>
            <w:tcBorders>
              <w:bottom w:val="single" w:sz="8" w:color="CCEEFF"/>
            </w:tcBorders>
          </w:tcPr>
          <w:p>
            <w:pPr>
              <w:spacing w:after="0"/>
              <w:rPr>
                <w:sz w:val="22"/>
                <w:szCs w:val="22"/>
                <w:color w:val="auto"/>
              </w:rPr>
            </w:pPr>
          </w:p>
        </w:tc>
        <w:tc>
          <w:tcPr>
            <w:tcW w:w="76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r>
      <w:tr>
        <w:trPr>
          <w:trHeight w:val="25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47,287</w:t>
            </w: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6"/>
              </w:rPr>
              <w:t>Accounts receivable, net of allowance for doubtful accounts of $56 and $34 at June 30, 2015 and 2014,</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31,765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37,625</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Unbilled receivables and costs in excess of billings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31,960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31,655</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1,481</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3,631</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assets of discontinued operations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1,374</w:t>
            </w:r>
          </w:p>
        </w:tc>
      </w:tr>
      <w:tr>
        <w:trPr>
          <w:trHeight w:val="27"/>
        </w:trPr>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160,305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168,146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168,146</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987</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4,859</w:t>
            </w:r>
          </w:p>
        </w:tc>
      </w:tr>
      <w:tr>
        <w:trPr>
          <w:trHeight w:val="237"/>
        </w:trPr>
        <w:tc>
          <w:tcPr>
            <w:tcW w:w="68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389,988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373,712</w:t>
            </w:r>
          </w:p>
        </w:tc>
      </w:tr>
      <w:tr>
        <w:trPr>
          <w:trHeight w:val="67"/>
        </w:trPr>
        <w:tc>
          <w:tcPr>
            <w:tcW w:w="834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7,054</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8,377</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revenues and customer advances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5,898</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liabilities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r>
      <w:tr>
        <w:trPr>
          <w:trHeight w:val="237"/>
        </w:trPr>
        <w:tc>
          <w:tcPr>
            <w:tcW w:w="68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33,285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32,930</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gain on sale-leaseback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5,911</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1,666</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r>
      <w:tr>
        <w:trPr>
          <w:trHeight w:val="237"/>
        </w:trPr>
        <w:tc>
          <w:tcPr>
            <w:tcW w:w="68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46,565</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$0.01 par value; 1,000,000 shares authorized; no shares issued or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89"/>
              </w:rPr>
              <w:t>Common stock, $0.01 par value; 85,000,000 shares authorized; 32,570,959 and 31,284,273 shares issued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outstanding at June 30, 2015 and 2014, 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241,725</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94,468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84,099</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37"/>
        </w:trPr>
        <w:tc>
          <w:tcPr>
            <w:tcW w:w="680" w:type="dxa"/>
            <w:vAlign w:val="bottom"/>
          </w:tcPr>
          <w:p>
            <w:pPr>
              <w:spacing w:after="0"/>
              <w:rPr>
                <w:sz w:val="20"/>
                <w:szCs w:val="20"/>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350,138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327,147</w:t>
            </w:r>
          </w:p>
        </w:tc>
      </w:tr>
      <w:tr>
        <w:trPr>
          <w:trHeight w:val="27"/>
        </w:trPr>
        <w:tc>
          <w:tcPr>
            <w:tcW w:w="68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389,988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373,712</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64"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64" w:right="239" w:bottom="1440" w:gutter="0" w:footer="0" w:header="0"/>
          <w:type w:val="continuous"/>
        </w:sectPr>
      </w:pPr>
    </w:p>
    <w:bookmarkStart w:id="46" w:name="page47"/>
    <w:bookmarkEnd w:id="46"/>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June 30,</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124,628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116,073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margin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54,764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32,604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91,864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102,968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provision (benefit)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(10,501)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 net of income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earnings (loss)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income from discontinued operations, net of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(0.44)</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Diluted net earnings (loss) per share: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income from discontinued operations, net of income taxes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30,128</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30,128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Comprehensive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unrealized (loss) gain on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10,369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(13,208)</w:t>
            </w:r>
          </w:p>
        </w:tc>
      </w:tr>
      <w:tr>
        <w:trPr>
          <w:trHeight w:val="270"/>
        </w:trPr>
        <w:tc>
          <w:tcPr>
            <w:tcW w:w="5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0"/>
        </w:trPr>
        <w:tc>
          <w:tcPr>
            <w:tcW w:w="5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10,134</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(11,376)</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(13,552)</w:t>
            </w:r>
          </w:p>
        </w:tc>
      </w:tr>
      <w:tr>
        <w:trPr>
          <w:trHeight w:val="27"/>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-599440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-256540</wp:posOffset>
            </wp:positionV>
            <wp:extent cx="724662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364" w:right="239" w:bottom="1440" w:gutter="0" w:footer="0" w:header="0"/>
          <w:type w:val="continuous"/>
        </w:sectPr>
      </w:pP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64" w:right="239" w:bottom="1440" w:gutter="0" w:footer="0" w:header="0"/>
          <w:type w:val="continuous"/>
        </w:sectPr>
      </w:pPr>
    </w:p>
    <w:bookmarkStart w:id="47" w:name="page48"/>
    <w:bookmarkEnd w:id="47"/>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40" w:type="dxa"/>
            <w:vAlign w:val="bottom"/>
            <w:gridSpan w:val="3"/>
            <w:vMerge w:val="restart"/>
          </w:tcPr>
          <w:p>
            <w:pPr>
              <w:jc w:val="right"/>
              <w:ind w:right="356"/>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24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3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1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100" w:type="dxa"/>
            <w:vAlign w:val="bottom"/>
          </w:tcPr>
          <w:p>
            <w:pPr>
              <w:jc w:val="center"/>
              <w:ind w:right="72"/>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12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333,104</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shortfall from employee stock plan</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business combination</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unrealized gain on investments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June 30, 2013</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30,381</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304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231,711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95,524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328,501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Tax shortfall from employee stock plan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awards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unrealized loss on investments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June 30, 2014</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31,284</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312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241,725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84,099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327,147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incentive plans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Issuance of common stock under employee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stock purchase plan</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 from employee stock plan</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10,369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 at June 30, 2015</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32,571</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326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254,568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94,468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350,138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For the Years Ended 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10,369</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(11,425)</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(13,208)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13,840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15,608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17,209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(10,083)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Impairment of goodwill of discontinued operations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Excess tax benefit from stock-based compensation</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on sale of discontinued operations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Loss on sale of building</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non-cash items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 net of effects of businesses acquired:</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 unbilled receivables, and costs in excess of billings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4,760</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Inventory</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income taxes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3,197</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(4,964)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(13,094)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 and customer advances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32,207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14,241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Acquisition of businesses, net of cash acquired</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(67,721)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Proceeds from sale of discontinued operations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building</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in other investing activities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(5,598)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(71,091)</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employee stock plans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91"/>
        </w:trPr>
        <w:tc>
          <w:tcPr>
            <w:tcW w:w="7440" w:type="dxa"/>
            <w:vAlign w:val="bottom"/>
          </w:tcPr>
          <w:p>
            <w:pPr>
              <w:ind w:left="380"/>
              <w:spacing w:after="0"/>
              <w:rPr>
                <w:sz w:val="20"/>
                <w:szCs w:val="20"/>
                <w:color w:val="auto"/>
              </w:rPr>
            </w:pPr>
            <w:r>
              <w:rPr>
                <w:rFonts w:ascii="Arial" w:cs="Arial" w:eastAsia="Arial" w:hAnsi="Arial"/>
                <w:sz w:val="14"/>
                <w:szCs w:val="14"/>
                <w:color w:val="auto"/>
              </w:rPr>
              <w:t>Payment for retirement of common stock</w:t>
            </w:r>
          </w:p>
        </w:tc>
        <w:tc>
          <w:tcPr>
            <w:tcW w:w="30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 from stock-based compensation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Payments of acquired debt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(6,575)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of deferred financing and offering costs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Decrease in restricted cash</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of capital lease obligations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3,905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(3,669)</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30,299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(76,838)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47,287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39,126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115,964</w:t>
            </w:r>
          </w:p>
        </w:tc>
        <w:tc>
          <w:tcPr>
            <w:tcW w:w="0" w:type="dxa"/>
            <w:vAlign w:val="bottom"/>
          </w:tcPr>
          <w:p>
            <w:pPr>
              <w:spacing w:after="0"/>
              <w:rPr>
                <w:sz w:val="1"/>
                <w:szCs w:val="1"/>
                <w:color w:val="auto"/>
              </w:rPr>
            </w:pPr>
          </w:p>
        </w:tc>
      </w:tr>
      <w:tr>
        <w:trPr>
          <w:trHeight w:val="283"/>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77,586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47,287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39,126</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(received) during the period for:</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Interest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Supplemental disclosures—non-cash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Issuance of restricted stock awards to employees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12,560</w:t>
            </w:r>
          </w:p>
        </w:tc>
        <w:tc>
          <w:tcPr>
            <w:tcW w:w="0" w:type="dxa"/>
            <w:vAlign w:val="bottom"/>
          </w:tcPr>
          <w:p>
            <w:pPr>
              <w:spacing w:after="0"/>
              <w:rPr>
                <w:sz w:val="1"/>
                <w:szCs w:val="1"/>
                <w:color w:val="auto"/>
              </w:rPr>
            </w:pPr>
          </w:p>
        </w:tc>
      </w:tr>
      <w:tr>
        <w:trPr>
          <w:trHeight w:val="264"/>
        </w:trPr>
        <w:tc>
          <w:tcPr>
            <w:tcW w:w="7440" w:type="dxa"/>
            <w:vAlign w:val="bottom"/>
          </w:tcPr>
          <w:p>
            <w:pPr>
              <w:ind w:left="380"/>
              <w:spacing w:after="0"/>
              <w:rPr>
                <w:sz w:val="20"/>
                <w:szCs w:val="20"/>
                <w:color w:val="auto"/>
              </w:rPr>
            </w:pPr>
            <w:r>
              <w:rPr>
                <w:rFonts w:ascii="Arial" w:cs="Arial" w:eastAsia="Arial" w:hAnsi="Arial"/>
                <w:sz w:val="14"/>
                <w:szCs w:val="14"/>
                <w:color w:val="auto"/>
              </w:rPr>
              <w:t>Share-based business combination consideration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lease financings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bl>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64" w:right="239" w:bottom="42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64" w:right="239" w:bottom="42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 w:lineRule="exact"/>
        <w:rPr>
          <w:sz w:val="20"/>
          <w:szCs w:val="20"/>
          <w:color w:val="auto"/>
        </w:rPr>
      </w:pPr>
    </w:p>
    <w:p>
      <w:pPr>
        <w:ind w:left="840" w:hanging="832"/>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0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Mercury Systems, Inc. (the “Company” or “Mercury”) is a leading high-tech commercial provider of more affordable secure and sensor processing subsystems designed and made in the U.S.A. powering today's critical defense and intelligence applications. The Company delivers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Predator, F-35 and Reaper. The Company's organizational structure allows it to deliver capabilities that combine technology building blocks and deep domain expertise in the defense sector.</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goal is to grow and build on its position as a critical component of the defense industrial base and become the leading provider of open and more affordable secure and sensor processing subsystems. The Mercury Commercial Electronics (“MCE”) operating segment designs, develops and builds open sensor processing products and subsystems that include embedded processing modules and subsystems, radio frequency (“RF”) and microwave multi-function assemblies as well as subsystems, and RF and microwave components. The Mercury Defense Systems (“MDS”) operating segment provides significant capabilities relating to pre-integrated, open, more affordable electronic warfare ("EW"), electronic attack ("EA") and electronic counter measure ("ECM") subsystems and significant capabilities in signals intelligence ("SIGINT"), and electro-optical/infrared ("EO/IR") processing technologies and radar environment test and simulation systems.</w:t>
      </w:r>
    </w:p>
    <w:p>
      <w:pPr>
        <w:spacing w:after="0" w:line="13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 June 2014, the Company initiated a plan to divest the Mercury Intelligence Systems (“MIS”) operating segment, based on the Company's strategic direction and investment priorities focusing on its core business. As a result, the Company's MIS operating segment met the “held for sale” criteria in accordance with Financial Accounting Standard Boards (“FASB”) Accounting Standards Codification (“ASC”) 205,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xml:space="preserve"> (“FASB ASC 205”) as of June 30, 2014 (see Note C to consolidated financial statements). The consolidated financial statements, excluding the statements of shareholders' equity and cash flows, and the notes to the consolidated financial statements were restated for all periods presented to reflect the discontinuation of the MIS operating segment, in accordance with FASB ASC 205. On January 23, 2015, the Company completed the sale of the MIS operating segment.</w:t>
      </w:r>
    </w:p>
    <w:p>
      <w:pPr>
        <w:spacing w:after="0" w:line="134" w:lineRule="exact"/>
        <w:rPr>
          <w:sz w:val="20"/>
          <w:szCs w:val="20"/>
          <w:color w:val="auto"/>
        </w:rPr>
      </w:pPr>
    </w:p>
    <w:p>
      <w:pPr>
        <w:ind w:left="860" w:hanging="852"/>
        <w:spacing w:after="0"/>
        <w:tabs>
          <w:tab w:leader="none" w:pos="8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OMBINATIONS</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utilizes the acquisition method of accounting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5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w:t>
      </w:r>
    </w:p>
    <w:p>
      <w:pPr>
        <w:spacing w:after="0" w:line="3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3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3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The Company also engages in long-term contracts for development, production and services activities which it accounts for consistent with FASB ASC 605-35, </w:t>
      </w:r>
      <w:r>
        <w:rPr>
          <w:rFonts w:ascii="Arial" w:cs="Arial" w:eastAsia="Arial" w:hAnsi="Arial"/>
          <w:sz w:val="17"/>
          <w:szCs w:val="17"/>
          <w:i w:val="1"/>
          <w:iCs w:val="1"/>
          <w:color w:val="auto"/>
        </w:rPr>
        <w:t>Accounting for Performance of Construction-Type and Certain Production-Type Contracts</w:t>
      </w:r>
      <w:r>
        <w:rPr>
          <w:rFonts w:ascii="Arial" w:cs="Arial" w:eastAsia="Arial" w:hAnsi="Arial"/>
          <w:sz w:val="17"/>
          <w:szCs w:val="17"/>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5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 Assumed recoveries for claims included in contracts in process were not material at June 30, 2015 or 2014.</w:t>
      </w:r>
    </w:p>
    <w:p>
      <w:pPr>
        <w:spacing w:after="0" w:line="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5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consisting of highly liquid money market funds and U.S. government and U.S. government agency issues with original maturities of 90 days or less at the date of purchase, are carried at fair market value which approximates cost.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had restricted cash balances of $264 and $265 as of June 30, 2015 and 2014, respectively. The balances are classified as restricted cash on the accompanying consolidated balance sheet and are reflected in non-current assets. The balances at June 30, 2015 and 2014 included restrictions related to certain contracts with foreign customers that require a certificate of deposit to be held at a commercial bank until performance of the contracts have been completed.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The Company measures at fair value certain financial assets and liabilities, including cash equivalents, restricted cash and contingent consideration. FASB ASC 820, </w:t>
      </w:r>
      <w:r>
        <w:rPr>
          <w:rFonts w:ascii="Arial" w:cs="Arial" w:eastAsia="Arial" w:hAnsi="Arial"/>
          <w:sz w:val="17"/>
          <w:szCs w:val="17"/>
          <w:i w:val="1"/>
          <w:iCs w:val="1"/>
          <w:color w:val="auto"/>
        </w:rPr>
        <w:t>Fair Value Measurement and Disclosures</w:t>
      </w:r>
      <w:r>
        <w:rPr>
          <w:rFonts w:ascii="Arial" w:cs="Arial" w:eastAsia="Arial" w:hAnsi="Arial"/>
          <w:sz w:val="17"/>
          <w:szCs w:val="17"/>
          <w:color w:val="auto"/>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ONCENTRATION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10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principally of cash, cash equivalents and accounts receivable. The Company places its cash and cash equivalents with financial institutions that management believes are of high credit quality. At June 30, 2015 and 2014, the Company had $77,586 and $47,287, respectively, of cash and cash equivalents on deposit or invested with its financial and lending institutions.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provides credit to customers in the normal course of business. The Company performs ongoing credit evaluations of its customers’ financial condition and limits the amount of credit extended when deemed necessary. At June 30, 2015, five customers accounted for 55% of the Company's receivables, unbilled receivables and costs in excess of billings. At June 30, 2014, five customers accounted for 55% of the Company’s receivables, unbilled receivables and costs in excess of billings.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NVENTORY</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Inventory is stated at the lower of cost (first-in, first-out) or market value, and consists of materials, labor and overhead. On a quarterly basis, the Company evaluates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OODWILL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Goodwill is the amount by which the cost of the net assets obtained in a business acquisition exceeded the fair values of the net identifiable assets on the date of purchase. Goodwill is not amortized in accordance with the requirements of FASB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(“FASB ASC 350”). Goodwill is assessed for impairment at least annually, on a reporting unit basis, or when events and circumstances occur indicating that the recorded goodwill may be impaired. If the book value of a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Intangible assets result from the Company’s various business acquisitions (see Note H) and certain licensed technologies, and consist of identifiable intangible assets, including completed technology, licensing agreements, customer relationships, trademarks, backlog, and non-compete agreements. Intangible assets are reported at cost, net of accumulated amortization and are either amortized on a straight-line basis over their estimated useful lives of up to seven years or over the period the economic benefits of the intangible asset are consumed.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Long-lived assets primarily include property and equipment and acquired intangible assets. The Company regularly evaluates its long-lived assets for events and circumstances that indicate a potential impairment in accordance with FASB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(“FASB ASC 360”).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w:t>
      </w:r>
    </w:p>
    <w:p>
      <w:pPr>
        <w:spacing w:after="0" w:line="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and equipment are the long-lived, physical assets of the Company acquired for use in the Company’s normal business operations and are not intended for resale by the Company. These assets are recorded at cost. Renewals and betterments that increase the useful lives of the assets are capitalized. Repair and maintenance expenditures that increase the efficiency of the assets are expensed as incurred. Equipment under capital lease is recorded at the present value of the minimum lease payments required during the lease period. Depreciation is based on the estimated useful lives of the assets using the straight-line method (see Note F).</w:t>
      </w:r>
    </w:p>
    <w:p>
      <w:pPr>
        <w:spacing w:after="0" w:line="5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assets are retired or sold, the related cost and accumulated depreciation are removed from the accounts and any resulting gain or loss is included in the results of operations.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Expenditures for major software purchases and software developed for internal use are capitalized and depreciated using the straight-line method over the estimated useful lives of the related assets, which are generally three years. For software developed for internal use, all external direct costs for material and services and certain payroll and related fringe benefit costs are capitalized in accordance with FASB ASC 350. During fiscal 2015, 2014 and 2013, the Company capitalized $0, $362 and $91 of software development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EFERRED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EVENUES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USTOMER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Deferred revenues consist of deferred product revenue, billings in excess of revenues, and deferred service revenue. Deferred product revenue represents amounts that have been invoiced to customers, but are not yet recognizable as revenue because one or more of the conditions for revenue recognition have not been met. Billings in excess of revenues represents milestone billing arrangements on percentage of completion projects where the billings of the contract exceed recognized revenues. Deferred service revenue primarily represents amounts invoiced to customers for annual maintenance contracts or extended warranty concessions, which are recognized ratably over the term of the arrangements. Customer advances represent deposits received from customers on an order.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The Company accounts for income taxes under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(“FASB ASC 740”). The Company recognizes deferred tax assets and liabilities for the expected future tax consequences of events that have been included in the Company’s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The Company records a valuation allowance against net deferred tax assets if, based upon the available evidence, it is more likely than not that some or all of the deferred tax assets will not be realized.</w:t>
      </w:r>
    </w:p>
    <w:p>
      <w:pPr>
        <w:spacing w:after="0" w:line="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FASB ASC 740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Company recognizes interest and penalties accrued on any unrecognized tax benefits as a component of income tax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RODUCT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CCRUAL</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product sales generally include a 12 month standard hardware warranty. At time of product shipment, the Company accrues for the estimated cost to repair or replace potentially defective products. Estimated warranty costs are based upon prior actual warranty costs for substantially similar transactions and any specifically identified warranty requirements. Product warranty accrual is included as part of accrued expenses in the accompanying consolidated balance sheets. The following table presents the changes in the Company's product warranty accrual.</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w:t>
            </w:r>
          </w:p>
        </w:tc>
        <w:tc>
          <w:tcPr>
            <w:tcW w:w="3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w:t>
            </w:r>
          </w:p>
        </w:tc>
        <w:tc>
          <w:tcPr>
            <w:tcW w:w="34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Fiscal</w:t>
            </w:r>
          </w:p>
        </w:tc>
      </w:tr>
      <w:tr>
        <w:trPr>
          <w:trHeight w:val="192"/>
        </w:trPr>
        <w:tc>
          <w:tcPr>
            <w:tcW w:w="6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at July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Warranty assumed from Micronetics acquisition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245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Accruals for warranties issued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4,592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Settlements made during the period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2,522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costs are primarily made up of labor charges and prototype material and development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over the requisite service period, which generally represents the vesting period, and includes an estimate of the awards that will be forfeited. Stock-based compensation expense for the Company’s performance-based restricted stock awards are amortized over the requisite service period using graded vesting. The company’s other restricted stock awards recognize expense over the requisite service period on a straight-line basis. The Company uses the Black-Scholes valuation model for estimating the fair value on the date of grant of stock options.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ETIREMENT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10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Stock that is repurchased or received in connection with the exercise of stock options or in order to cover tax payment obligations triggered by exercise of stock options or the vesting of restricted stock is retired immediately upon the Company’s repurchase. The Company accounts for this under the cost method and upon retirement the excess amount over par value is charged against additional paid-in capital.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ARNINGS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p>
    <w:p>
      <w:pPr>
        <w:spacing w:after="0" w:line="10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Basic net earnings per share is calculated by dividing net income by the weighted-average number of common shares outstanding during the period. Diluted net earnings per share computation includes the effect of shares which would be issuable upon the exercise of outstanding stock options and the vesting of restricted stock, reduced by the number of shares which are assumed to be purchased by the Company under the treasury stock method. For all periods presented, income (loss) from continuing operations is the control number for determining whether securities are dilutive or not.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weighted average shares outstanding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32,114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equity instruments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32,939</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31,000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30,128</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Equity instruments to purchase 453, 3,526 and 4,077 shares of common stock were not included in the calculation of diluted net earnings per share for the fiscal years ended June 30, 2015, 2014 and 2013, respectively, because the equity instruments were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CCUMULATED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OMPREHENSIVE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Accumulated other comprehensive income includes foreign currency translation adjustments and unrealized gains on investments. The components of accumulated other comprehensive income were $776 and $1,011 of accumulated foreign currency translation adjustments at June 30, 2015 and 2014. There were no material accumulated net unrealized gains on investments at June 30, 2015 and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p>
    <w:p>
      <w:pPr>
        <w:spacing w:after="0" w:line="1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Local currencies are the functional currency for the Company’s subsidiaries in Europe and Japan.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foreign currency transactions are included in other income (expense) and were immaterial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0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July 1, 2018 and can be early adopted for the fiscal year beginning July 1, 2017.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4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beginning after December 15, 2016, and interim periods thereafter, with early adoption permitted. The Company does not expect a going concern uncertainty in the foreseeable future, and therefore this guidance is not expected to have a material impact to its consolidated financial statements.</w:t>
      </w:r>
    </w:p>
    <w:p>
      <w:pPr>
        <w:spacing w:after="0" w:line="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November 2014, the FASB issued ASU No. 2014-17, </w:t>
      </w:r>
      <w:r>
        <w:rPr>
          <w:rFonts w:ascii="Arial" w:cs="Arial" w:eastAsia="Arial" w:hAnsi="Arial"/>
          <w:sz w:val="17"/>
          <w:szCs w:val="17"/>
          <w:i w:val="1"/>
          <w:iCs w:val="1"/>
          <w:color w:val="auto"/>
        </w:rPr>
        <w:t>Pushdown Accounting (a consensus of the FASB Emerging Issues Task Force)</w:t>
      </w:r>
      <w:r>
        <w:rPr>
          <w:rFonts w:ascii="Arial" w:cs="Arial" w:eastAsia="Arial" w:hAnsi="Arial"/>
          <w:sz w:val="17"/>
          <w:szCs w:val="17"/>
          <w:color w:val="auto"/>
        </w:rPr>
        <w:t>, an amendment of the FASB Accounting Standards Codification. This ASU allows an acquired entity to elect to apply pushdown accounting in its separate financial statements on a change-in-control event. The acquired entity elects whether to apply pushdown accounting individually for each change-in-control event, and may apply pushdown accounting during the reporting period in which the change-in-control event occurs. Effective November 18, 2014, an acquired entity may apply ASU 2014-17 to future change-in-control events. As this guidance is applicable to separate financial statements of acquired entities, the Company does not expect this guidance to have a material impact to its consolidated financial statements.</w:t>
      </w:r>
    </w:p>
    <w:p>
      <w:pPr>
        <w:spacing w:after="0" w:line="4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January 2015, the FASB issued ASU No. 2015-01, </w:t>
      </w:r>
      <w:r>
        <w:rPr>
          <w:rFonts w:ascii="Arial" w:cs="Arial" w:eastAsia="Arial" w:hAnsi="Arial"/>
          <w:sz w:val="17"/>
          <w:szCs w:val="17"/>
          <w:i w:val="1"/>
          <w:iCs w:val="1"/>
          <w:color w:val="auto"/>
        </w:rPr>
        <w:t>Simplifying Income Statement Presentation by Eliminating the Concept of Extraordinary Items</w:t>
      </w:r>
      <w:r>
        <w:rPr>
          <w:rFonts w:ascii="Arial" w:cs="Arial" w:eastAsia="Arial" w:hAnsi="Arial"/>
          <w:sz w:val="17"/>
          <w:szCs w:val="17"/>
          <w:color w:val="auto"/>
        </w:rPr>
        <w:t>, an amendment of the FASB Accounting Standards Codification. This ASU eliminates the separate presentation of extraordinary items, net of tax and the related earnings per share, but does not affect the requirement to disclose material items that are unusual in nature or infrequently occurring. The ASU aligns U.S. GAAP more closely with IFRS (International Financial Reporting Standards). Entities will continue to evaluate whether items are unusual in nature or infrequent in their occurrence for disclosure purposes and when estimating the annual effective tax rate for interim reporting purposes. This ASU is effective for interim and annual periods in fiscal years beginning after December 15, 2015. The ASU allows prospective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retrospective applications. Early adoption is permitted if applied from the beginning of the fiscal year of adoption. The Company does not expect this guidance to have a material impact to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 xml:space="preserve">Effective July 1, 2014, the Company adopted FASB ASU No. 2013-11, </w:t>
      </w:r>
      <w:r>
        <w:rPr>
          <w:rFonts w:ascii="Arial" w:cs="Arial" w:eastAsia="Arial" w:hAnsi="Arial"/>
          <w:sz w:val="16"/>
          <w:szCs w:val="16"/>
          <w:i w:val="1"/>
          <w:iCs w:val="1"/>
          <w:color w:val="auto"/>
        </w:rPr>
        <w:t>Presentation of an Unrecognized Tax Benefit When a Net Operating Loss</w:t>
      </w:r>
      <w:r>
        <w:rPr>
          <w:rFonts w:ascii="Arial" w:cs="Arial" w:eastAsia="Arial" w:hAnsi="Arial"/>
          <w:sz w:val="16"/>
          <w:szCs w:val="16"/>
          <w:color w:val="auto"/>
        </w:rPr>
        <w:t xml:space="preserve"> </w:t>
      </w:r>
      <w:r>
        <w:rPr>
          <w:rFonts w:ascii="Arial" w:cs="Arial" w:eastAsia="Arial" w:hAnsi="Arial"/>
          <w:sz w:val="16"/>
          <w:szCs w:val="16"/>
          <w:i w:val="1"/>
          <w:iCs w:val="1"/>
          <w:color w:val="auto"/>
        </w:rPr>
        <w:t>Carryforward, a Similar Tax Loss, or a Tax Credit Carryforward Exists</w:t>
      </w:r>
      <w:r>
        <w:rPr>
          <w:rFonts w:ascii="Arial" w:cs="Arial" w:eastAsia="Arial" w:hAnsi="Arial"/>
          <w:sz w:val="16"/>
          <w:szCs w:val="16"/>
          <w:color w:val="auto"/>
        </w:rPr>
        <w:t>, an amendment of the FASB Accounting Standards Codification. The ASU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an unrecognized tax benefit to be presented as a decrease in a deferred tax asset when net operating loss carryforwards, similar tax losses, or tax credit carryforwards exist and certain criteria are met. Such adoption did not have a material impact to the Company's consolidated financial statements.</w:t>
      </w:r>
    </w:p>
    <w:p>
      <w:pPr>
        <w:spacing w:after="0" w:line="154"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 xml:space="preserve">Effective October 1, 2014, the Company adopted FASB ASU No. 2014-08, </w:t>
      </w:r>
      <w:r>
        <w:rPr>
          <w:rFonts w:ascii="Arial" w:cs="Arial" w:eastAsia="Arial" w:hAnsi="Arial"/>
          <w:sz w:val="18"/>
          <w:szCs w:val="18"/>
          <w:i w:val="1"/>
          <w:iCs w:val="1"/>
          <w:color w:val="auto"/>
        </w:rPr>
        <w:t>Presentation of Financial Statements (Topic 205) and 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Equipment (Topic 360)</w:t>
      </w:r>
      <w:r>
        <w:rPr>
          <w:rFonts w:ascii="Arial" w:cs="Arial" w:eastAsia="Arial" w:hAnsi="Arial"/>
          <w:sz w:val="18"/>
          <w:szCs w:val="18"/>
          <w:color w:val="auto"/>
        </w:rPr>
        <w:t>, an amendment of the FASB Accounting Standards Codification. The ASU clarifies the definition of discontinued operations by</w:t>
      </w:r>
      <w:r>
        <w:rPr>
          <w:rFonts w:ascii="Arial" w:cs="Arial" w:eastAsia="Arial" w:hAnsi="Arial"/>
          <w:sz w:val="18"/>
          <w:szCs w:val="18"/>
          <w:i w:val="1"/>
          <w:iCs w:val="1"/>
          <w:color w:val="auto"/>
        </w:rPr>
        <w:t xml:space="preserve"> </w:t>
      </w:r>
      <w:r>
        <w:rPr>
          <w:rFonts w:ascii="Arial" w:cs="Arial" w:eastAsia="Arial" w:hAnsi="Arial"/>
          <w:sz w:val="18"/>
          <w:szCs w:val="18"/>
          <w:color w:val="auto"/>
        </w:rPr>
        <w:t>limiting discontinued operations reporting to disposals of components of an entity that represent strategic shifts that have (or will have) a major effect on an entity's operations and financial results. Additionally, the amendments in this ASU require expanded disclosure for discontinued operations to provide users with more information about the assets, liabilities, revenues, and expenses. Such adoption did not have a material impact to the Company's consolidated financial statements.</w:t>
      </w:r>
    </w:p>
    <w:p>
      <w:pPr>
        <w:spacing w:after="0" w:line="162" w:lineRule="exact"/>
        <w:rPr>
          <w:sz w:val="20"/>
          <w:szCs w:val="20"/>
          <w:color w:val="auto"/>
        </w:rPr>
      </w:pPr>
    </w:p>
    <w:p>
      <w:pPr>
        <w:ind w:left="840" w:hanging="832"/>
        <w:spacing w:after="0"/>
        <w:tabs>
          <w:tab w:leader="none" w:pos="8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fourth quarter of fiscal 2014, the Company conducted a strategic review of the Mercury Intelligence Systems (“MIS”) operating segment which encompassed an assessment of MIS' financial performance and contemporaneous future financial projections. The Company, with Board of Director's approval, concluded that a plan to divest the MIS operating segment would be in the best interests of the Company and its shareholders. On January 23, 2015, the Company completed the sale of MIS.</w:t>
      </w:r>
    </w:p>
    <w:p>
      <w:pPr>
        <w:spacing w:after="0" w:line="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fiscal 2014, the Company's MIS operating segment met the "held for sale" criteria in accordance with FASB ASC 205. As the Company did not anticipate continuing involvement in the operations of MIS after its divestiture, the MIS operating results had been reported as a discontinued operation for all periods presented.</w:t>
      </w:r>
    </w:p>
    <w:p>
      <w:pPr>
        <w:spacing w:after="0" w:line="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classification as "held for sale" was considered a triggering event for impairment testing under FASB ASC 350 and FASB ASC 360. However, since the Company conducted its annual goodwill impairment testing in its fourth quarter of fiscal 2014, which coincided with the plan to divest the MIS operating segment, the “held for sale” triggering event did not constitute a separate goodwill impairment test under FASB ASC 350 (see Note H). The triggering event, however, did require separate impairment testing of the MIS asset group’s long-lived assets under FASB ASC 360.</w:t>
      </w:r>
    </w:p>
    <w:p>
      <w:pPr>
        <w:spacing w:after="0" w:line="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goodwill impairment testing conducted in the fourth quarter of fiscal 2014 determined the MIS reporting unit's carrying value of goodwill exceeded its implied fair value, resulting in a $6,687 impairment charge. The impairment charge is reflected within discontinued operations of the Company's accompanying consolidated financial statements. The failure of the first step of the goodwill impairment test was driven by a decline in forecasted results of the MIS reporting unit. The fair value of the MIS reporting unit from the first step of the goodwill impairment test exceeded the fair value of the assets and liabilities of the MIS reporting unit, as determined by the second step of the goodwill impairment test. Testing of the valuation of long-lived assets of the MIS asset group indicated no impairment, as the estimated undiscounted cash flows of the MIS asset group, less estimated costs to sell, significantly exceeded its carrying value.</w:t>
      </w:r>
    </w:p>
    <w:p>
      <w:pPr>
        <w:spacing w:after="0" w:line="5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MIS was considered its own operating segment and was previously aggregated with MDS into one reportable segment based on similar economic and qualitative factors in accordance with FASB ASC 280. As MIS became a discontinued operation in the fourth quarter of fiscal 2014, the results of MIS had been excluded from the MDS reportable segment. Accordingly, the revenues, costs of revenue, operating expenses, assets and liabilities of MIS have been reported separately as discontinued operations in the Consolidated Statements of Operations and Comprehensive Income (Loss) and Consolidated Balance Sheets for all periods presented. The discontinued operation's balances in the Consolidated Balance Sheets do not reflect intercompany receivable balances of MIS, and the results of discontinued operations do not reflect interest expense or the allocation of the Company's corporate general and administrative expenses.</w:t>
      </w:r>
    </w:p>
    <w:p>
      <w:pPr>
        <w:spacing w:after="0" w:line="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second quarter of fiscal 2015, the Company determined that the MIS reporting unit's carrying value of goodwill exceeded its implied fair value, resulting in a further goodwill impairment charge of $2,283. This impairment charge is reflected within discontinued operations of the Company's accompanying fiscal 2015 consolidated financial statements.</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January 23, 2015, the Company completed the sale of MIS for approximately $1,600. The sale resulted in net proceeds of $885 and a loss on disposal of $892, which is reflected within discontinued operations of the Company's accompanying consolidated financial statements. The Company does not have continuing involvement in the operations of MIS after its divestiture.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reported in (loss) income from discontinued operations, net of income taxes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June 30,</w:t>
            </w:r>
          </w:p>
        </w:tc>
        <w:tc>
          <w:tcPr>
            <w:tcW w:w="80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of discontinued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Costs of discontinued operations: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10,050</w:t>
            </w: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2,815</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495</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 charges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52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Loss on disposal of discontinued operations before income taxes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574</w:t>
            </w:r>
          </w:p>
        </w:tc>
      </w:tr>
      <w:tr>
        <w:trPr>
          <w:trHeight w:val="27"/>
        </w:trPr>
        <w:tc>
          <w:tcPr>
            <w:tcW w:w="5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reported as assets and liabilities of the discontinued operations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76"/>
        </w:trPr>
        <w:tc>
          <w:tcPr>
            <w:tcW w:w="94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Unbilled receivables and costs in excess of billings</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of discontinued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4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7"/>
        </w:trPr>
        <w:tc>
          <w:tcPr>
            <w:tcW w:w="9480" w:type="dxa"/>
            <w:vAlign w:val="bottom"/>
          </w:tcPr>
          <w:p>
            <w:pPr>
              <w:ind w:left="380"/>
              <w:spacing w:after="0"/>
              <w:rPr>
                <w:sz w:val="20"/>
                <w:szCs w:val="20"/>
                <w:color w:val="auto"/>
              </w:rPr>
            </w:pPr>
            <w:r>
              <w:rPr>
                <w:rFonts w:ascii="Arial" w:cs="Arial" w:eastAsia="Arial" w:hAnsi="Arial"/>
                <w:sz w:val="18"/>
                <w:szCs w:val="18"/>
                <w:color w:val="auto"/>
              </w:rPr>
              <w:t>Liabilities of discontinued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depreciation, amortization, capital expenditures and significant operating and investing non-cash items of the discontinued operations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June 30,</w:t>
            </w:r>
          </w:p>
        </w:tc>
        <w:tc>
          <w:tcPr>
            <w:tcW w:w="740" w:type="dxa"/>
            <w:vAlign w:val="bottom"/>
            <w:tcBorders>
              <w:bottom w:val="single" w:sz="8" w:color="auto"/>
            </w:tcBorders>
          </w:tcPr>
          <w:p>
            <w:pPr>
              <w:spacing w:after="0"/>
              <w:rPr>
                <w:sz w:val="16"/>
                <w:szCs w:val="16"/>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6,687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0"/>
          </w:cols>
          <w:pgMar w:left="240" w:top="125" w:right="7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June 30, 2015:</w:t>
      </w:r>
    </w:p>
    <w:p>
      <w:pPr>
        <w:spacing w:after="0" w:line="163"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2015</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Operating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47,586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47,586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Cost-method investment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78,350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47,850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500</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carrying values of cash and cash equivalents, including U.S. Treasury bills and money market funds, accounts receivable and payable, and accrued liabilities approximate fair value due to the short-term maturities of these assets and liabilities. The value of the certificates of deposit is based on the quoted price for identical or similar instruments in markets that are not active or are directly or indirectly observable. The cost-method investment does not have a readily determinable fair value, as such the Company recorded the investment as a long term asset at cost and will continue to evaluate the asset for impairment.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June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Fair Value Measurements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2014</w:t>
            </w:r>
          </w:p>
        </w:tc>
        <w:tc>
          <w:tcPr>
            <w:tcW w:w="320" w:type="dxa"/>
            <w:vAlign w:val="bottom"/>
          </w:tcPr>
          <w:p>
            <w:pPr>
              <w:spacing w:after="0"/>
              <w:rPr>
                <w:sz w:val="22"/>
                <w:szCs w:val="22"/>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22"/>
                <w:szCs w:val="22"/>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Operating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47,287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47,287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47,552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47,552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0" w:type="dxa"/>
            <w:vAlign w:val="bottom"/>
          </w:tcPr>
          <w:p>
            <w:pPr>
              <w:spacing w:after="0"/>
              <w:rPr>
                <w:sz w:val="24"/>
                <w:szCs w:val="24"/>
                <w:color w:val="auto"/>
              </w:rPr>
            </w:pPr>
          </w:p>
        </w:tc>
        <w:tc>
          <w:tcPr>
            <w:tcW w:w="6560" w:type="dxa"/>
            <w:vAlign w:val="bottom"/>
            <w:gridSpan w:val="4"/>
          </w:tcPr>
          <w:p>
            <w:pPr>
              <w:ind w:left="220"/>
              <w:spacing w:after="0"/>
              <w:rPr>
                <w:sz w:val="20"/>
                <w:szCs w:val="20"/>
                <w:color w:val="auto"/>
              </w:rPr>
            </w:pPr>
            <w:r>
              <w:rPr>
                <w:rFonts w:ascii="Arial" w:cs="Arial" w:eastAsia="Arial" w:hAnsi="Arial"/>
                <w:sz w:val="18"/>
                <w:szCs w:val="18"/>
                <w:color w:val="auto"/>
                <w:w w:val="98"/>
              </w:rPr>
              <w:t>The change of the fair value of the Company's investment in equity is as follows: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220" w:type="dxa"/>
            <w:vAlign w:val="bottom"/>
            <w:tcBorders>
              <w:bottom w:val="single" w:sz="8" w:color="CCEEFF"/>
            </w:tcBorders>
          </w:tcPr>
          <w:p>
            <w:pPr>
              <w:spacing w:after="0"/>
              <w:rPr>
                <w:sz w:val="24"/>
                <w:szCs w:val="24"/>
                <w:color w:val="auto"/>
              </w:rPr>
            </w:pPr>
          </w:p>
        </w:tc>
        <w:tc>
          <w:tcPr>
            <w:tcW w:w="49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Cost-method investment</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w:t>
            </w:r>
          </w:p>
        </w:tc>
        <w:tc>
          <w:tcPr>
            <w:tcW w:w="4940" w:type="dxa"/>
            <w:vAlign w:val="bottom"/>
            <w:tcBorders>
              <w:top w:val="single" w:sz="8" w:color="CCEEFF"/>
              <w:bottom w:val="single" w:sz="8" w:color="CCEEFF"/>
            </w:tcBorders>
            <w:vMerge w:val="restart"/>
          </w:tcPr>
          <w:p>
            <w:pPr>
              <w:ind w:left="600"/>
              <w:spacing w:after="0"/>
              <w:rPr>
                <w:sz w:val="20"/>
                <w:szCs w:val="20"/>
                <w:color w:val="auto"/>
              </w:rPr>
            </w:pPr>
            <w:r>
              <w:rPr>
                <w:rFonts w:ascii="Arial" w:cs="Arial" w:eastAsia="Arial" w:hAnsi="Arial"/>
                <w:sz w:val="18"/>
                <w:szCs w:val="18"/>
                <w:b w:val="1"/>
                <w:bCs w:val="1"/>
                <w:color w:val="auto"/>
              </w:rPr>
              <w:t>Inventory</w:t>
            </w: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20" w:type="dxa"/>
            <w:vAlign w:val="bottom"/>
            <w:vMerge w:val="continue"/>
          </w:tcPr>
          <w:p>
            <w:pPr>
              <w:spacing w:after="0"/>
              <w:rPr>
                <w:sz w:val="24"/>
                <w:szCs w:val="24"/>
                <w:color w:val="auto"/>
              </w:rPr>
            </w:pPr>
          </w:p>
        </w:tc>
        <w:tc>
          <w:tcPr>
            <w:tcW w:w="4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4940" w:type="dxa"/>
            <w:vAlign w:val="bottom"/>
          </w:tcPr>
          <w:p>
            <w:pPr>
              <w:ind w:left="220"/>
              <w:spacing w:after="0"/>
              <w:rPr>
                <w:sz w:val="20"/>
                <w:szCs w:val="20"/>
                <w:color w:val="auto"/>
              </w:rPr>
            </w:pPr>
            <w:r>
              <w:rPr>
                <w:rFonts w:ascii="Arial" w:cs="Arial" w:eastAsia="Arial" w:hAnsi="Arial"/>
                <w:sz w:val="18"/>
                <w:szCs w:val="18"/>
                <w:color w:val="auto"/>
              </w:rPr>
              <w:t>Inventory was comprised of the following:</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0" w:type="dxa"/>
            <w:vAlign w:val="bottom"/>
            <w:tcBorders>
              <w:bottom w:val="single" w:sz="8" w:color="CCEEFF"/>
            </w:tcBorders>
          </w:tcPr>
          <w:p>
            <w:pPr>
              <w:spacing w:after="0"/>
              <w:rPr>
                <w:sz w:val="22"/>
                <w:szCs w:val="22"/>
                <w:color w:val="auto"/>
              </w:rPr>
            </w:pPr>
          </w:p>
        </w:tc>
        <w:tc>
          <w:tcPr>
            <w:tcW w:w="49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13,755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11,190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12,677</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31,960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F.</w:t>
            </w:r>
          </w:p>
        </w:tc>
        <w:tc>
          <w:tcPr>
            <w:tcW w:w="4740" w:type="dxa"/>
            <w:vAlign w:val="bottom"/>
          </w:tcPr>
          <w:p>
            <w:pPr>
              <w:ind w:left="360"/>
              <w:spacing w:after="0"/>
              <w:rPr>
                <w:sz w:val="20"/>
                <w:szCs w:val="20"/>
                <w:color w:val="auto"/>
              </w:rPr>
            </w:pPr>
            <w:r>
              <w:rPr>
                <w:rFonts w:ascii="Arial" w:cs="Arial" w:eastAsia="Arial" w:hAnsi="Arial"/>
                <w:sz w:val="18"/>
                <w:szCs w:val="18"/>
                <w:b w:val="1"/>
                <w:bCs w:val="1"/>
                <w:color w:val="auto"/>
              </w:rPr>
              <w:t>Property and Equipment</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Property and equipment consisted of the following:</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 Useful Lives</w:t>
            </w: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00" w:type="dxa"/>
            <w:vAlign w:val="bottom"/>
          </w:tcPr>
          <w:p>
            <w:pPr>
              <w:spacing w:after="0"/>
              <w:rPr>
                <w:sz w:val="6"/>
                <w:szCs w:val="6"/>
                <w:color w:val="auto"/>
              </w:rPr>
            </w:pPr>
          </w:p>
        </w:tc>
        <w:tc>
          <w:tcPr>
            <w:tcW w:w="474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55,881</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lesser of estimated useful life or lease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term</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Machinery and equipment</w:t>
            </w: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16,383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81,354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2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(67,210)</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14,144</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fiscal 2015 and 2014, the Company retired $733 and $715, respectively, of fully depreciated computer equipment and software assets that were no longer in use by the Company.</w:t>
      </w:r>
    </w:p>
    <w:p>
      <w:pPr>
        <w:spacing w:after="0" w:line="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Depreciation expense related to property and equipment for the fiscal years ended June 30, 2015, 2014 and 2013 was $6,332, $7,625 and $8,445, respectively.</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June 27, 2013, the Company entered into a sales agreement and a separate short-term lease agreement in connection with the Company’s legacy Hudson, New Hampshire, facility. Pursuant to the sale agreement, the Company sold all land, land improvements, buildings and building improvements related to the facility. The loss on the sale of the facility was approximately $1,091 and is recorded in restructuring and other charges in the accompanying consolidated statement of operations.</w:t>
      </w:r>
    </w:p>
    <w:p>
      <w:pPr>
        <w:spacing w:after="0" w:line="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April 20, 2007, the Company entered into a sales agreement and a lease agreement in connection with a sale-leaseback of the Company’s headquarters in Chelmsford, Massachusetts. Pursuant to the agreements, the Company sold all land, land improvements, buildings and building improvements related to the facilities and leased back those assets. The term of the lease is ten years and includes two five year options to renew. Under the provisions of sale-leaseback accounting, the transaction was considered a normal leaseback; thus the realized gain of $11,569 was deferred and will be amortized to other income on a straight-line basis over the initial lease term.</w:t>
      </w:r>
    </w:p>
    <w:p>
      <w:pPr>
        <w:spacing w:after="0" w:line="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unamortized deferred gain consisted of the following of which the current portion is included in accrued expenses and the non-current portion is separately classified in the accompanying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64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Non-current portion</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6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unamortized deferred gain</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G.</w:t>
            </w:r>
          </w:p>
        </w:tc>
        <w:tc>
          <w:tcPr>
            <w:tcW w:w="646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8"/>
                <w:szCs w:val="18"/>
                <w:b w:val="1"/>
                <w:bCs w:val="1"/>
                <w:color w:val="auto"/>
              </w:rPr>
              <w:t>Goodwill</w:t>
            </w: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0" w:type="dxa"/>
            <w:vAlign w:val="bottom"/>
            <w:vMerge w:val="continue"/>
          </w:tcPr>
          <w:p>
            <w:pPr>
              <w:spacing w:after="0"/>
              <w:rPr>
                <w:sz w:val="24"/>
                <w:szCs w:val="24"/>
                <w:color w:val="auto"/>
              </w:rPr>
            </w:pPr>
          </w:p>
        </w:tc>
        <w:tc>
          <w:tcPr>
            <w:tcW w:w="6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0" w:type="dxa"/>
            <w:vAlign w:val="bottom"/>
          </w:tcPr>
          <w:p>
            <w:pPr>
              <w:spacing w:after="0"/>
              <w:rPr>
                <w:sz w:val="24"/>
                <w:szCs w:val="24"/>
                <w:color w:val="auto"/>
              </w:rPr>
            </w:pPr>
          </w:p>
        </w:tc>
        <w:tc>
          <w:tcPr>
            <w:tcW w:w="8060" w:type="dxa"/>
            <w:vAlign w:val="bottom"/>
            <w:gridSpan w:val="4"/>
          </w:tcPr>
          <w:p>
            <w:pPr>
              <w:ind w:left="140"/>
              <w:spacing w:after="0"/>
              <w:rPr>
                <w:sz w:val="20"/>
                <w:szCs w:val="20"/>
                <w:color w:val="auto"/>
              </w:rPr>
            </w:pPr>
            <w:r>
              <w:rPr>
                <w:rFonts w:ascii="Arial" w:cs="Arial" w:eastAsia="Arial" w:hAnsi="Arial"/>
                <w:sz w:val="18"/>
                <w:szCs w:val="18"/>
                <w:color w:val="auto"/>
                <w:w w:val="97"/>
              </w:rPr>
              <w:t>The following table summarizes the changes in goodwill for the years ended June 30, 2014 and 2015:</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MCE</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MDS</w:t>
            </w:r>
          </w:p>
        </w:tc>
        <w:tc>
          <w:tcPr>
            <w:tcW w:w="380" w:type="dxa"/>
            <w:vAlign w:val="bottom"/>
          </w:tcPr>
          <w:p>
            <w:pPr>
              <w:spacing w:after="0"/>
              <w:rPr>
                <w:sz w:val="24"/>
                <w:szCs w:val="24"/>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133,783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167,551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Goodwill adjustments during fiscal 2014</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2014 and 2015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134,378</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33,768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168,146</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 xml:space="preserve">In accordance with FASB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“FASB ASC 350”, the Company determines its reporting units based upon whether discrete financial information is available, if management regularly reviews the operating results of the component, the nature of the products offered to customers and the market characteristics of each reporting unit. A reporting unit is considered to be an operating segment or one level below an operating segment also known as a component. MCE has four components with discrete financial information available which are reviewed by their segment manager; however, those four components are economically similar in nature and thus have been aggregated into a single reporting unit at the operating segment level. MDS is a sole component and the reporting unit is at the operating segment level. The Company determined that its reporting units are the same as its operating segments, MCE and MDS.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As defined by FASB ASC 350, goodwill is tested for impairment on an interim basis at the occurrence of certain triggering events or at a minimum on an annual basis. In fiscal 2015, there were no triggering events from continuing operations which required an interim goodwill impairment test.</w:t>
      </w:r>
    </w:p>
    <w:p>
      <w:pPr>
        <w:spacing w:after="0" w:line="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follows FASB ASC 350 in assessing whether the fair value of a reporting unit is less than its carrying amount. As of June 30, 2015, both MCE and MDS had goodwill balances and the annual impairment analysis was performed for each reporting unit in the fourth quarter of fiscal 2015. The results of the Company's step one interim goodwill impairment test indicated that the fair values of the MCE and MDS reporting units were substantially in excess of their carrying values. As such, step two of the goodwill impairment testing was not required. Consistent with prior years, the valuation was based upon a discounted cash flow analysis and corroborated by a market-based analysis which compares the trading multiples of public companies in similar lines of business.</w:t>
      </w:r>
    </w:p>
    <w:p>
      <w:pPr>
        <w:spacing w:after="0" w:line="13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consisted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vMerge w:val="restart"/>
          </w:tcPr>
          <w:p>
            <w:pPr>
              <w:jc w:val="center"/>
              <w:ind w:right="530"/>
              <w:spacing w:after="0"/>
              <w:rPr>
                <w:sz w:val="20"/>
                <w:szCs w:val="20"/>
                <w:color w:val="auto"/>
              </w:rPr>
            </w:pPr>
            <w:r>
              <w:rPr>
                <w:rFonts w:ascii="Arial" w:cs="Arial" w:eastAsia="Arial" w:hAnsi="Arial"/>
                <w:sz w:val="14"/>
                <w:szCs w:val="14"/>
                <w:b w:val="1"/>
                <w:bCs w:val="1"/>
                <w:color w:val="auto"/>
                <w:w w:val="97"/>
              </w:rPr>
              <w:t>Net</w:t>
            </w:r>
          </w:p>
        </w:tc>
        <w:tc>
          <w:tcPr>
            <w:tcW w:w="12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3"/>
          </w:tcPr>
          <w:p>
            <w:pPr>
              <w:jc w:val="center"/>
              <w:ind w:right="550"/>
              <w:spacing w:after="0" w:line="149"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520" w:type="dxa"/>
            <w:vAlign w:val="bottom"/>
            <w:gridSpan w:val="3"/>
          </w:tcPr>
          <w:p>
            <w:pPr>
              <w:jc w:val="center"/>
              <w:ind w:right="530"/>
              <w:spacing w:after="0"/>
              <w:rPr>
                <w:sz w:val="20"/>
                <w:szCs w:val="20"/>
                <w:color w:val="auto"/>
              </w:rPr>
            </w:pPr>
            <w:r>
              <w:rPr>
                <w:rFonts w:ascii="Arial" w:cs="Arial" w:eastAsia="Arial" w:hAnsi="Arial"/>
                <w:sz w:val="14"/>
                <w:szCs w:val="14"/>
                <w:b w:val="1"/>
                <w:bCs w:val="1"/>
                <w:color w:val="auto"/>
                <w:w w:val="94"/>
              </w:rPr>
              <w:t>Amount</w:t>
            </w: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2015</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33,880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agreements and patents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Completed technologies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 years</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June 30, 2014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33,880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Licensing agreements and patents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60" w:type="dxa"/>
            <w:vAlign w:val="bottom"/>
            <w:gridSpan w:val="7"/>
          </w:tcPr>
          <w:p>
            <w:pPr>
              <w:spacing w:after="0"/>
              <w:rPr>
                <w:sz w:val="20"/>
                <w:szCs w:val="20"/>
                <w:color w:val="auto"/>
              </w:rPr>
            </w:pPr>
            <w:r>
              <w:rPr>
                <w:rFonts w:ascii="Arial" w:cs="Arial" w:eastAsia="Arial" w:hAnsi="Arial"/>
                <w:sz w:val="18"/>
                <w:szCs w:val="18"/>
                <w:color w:val="auto"/>
              </w:rPr>
              <w:t>Estimated future amortization expense for intangible assets remaining at June 30, 2015 is as follows: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Year Ending</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future amortization expense</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17,998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780" w:hanging="772"/>
        <w:spacing w:after="0"/>
        <w:tabs>
          <w:tab w:leader="none" w:pos="7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2015, the Company incurred restructuring and other charges of $3,175, which affected both MCE and MDS reportable segments as the Company completed its acquisition integration plan. Additionally, during the fourth quarter of fiscal 2015, the Company eliminated 16 positions, primarily in operations, in the MCE reportable segment.</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fiscal 2014, the Company announced a restructuring plan ("2014 Plan") that was implemented as part of the final phase of integration activities relating to the Company’s recent acquisitions. The acquisition integration plan included the consolidation of manufacturing facilities, centralization of administrative functions using common information systems and processes, and realignment of research and development resources. The acquisition integration plan included the elimination of 70 positions largely in engineering, manufacturing and administrative functions. Additionally, the Company closed four facilities relocating all related activities to the Company's Advanced Microelectronics Center ("AMC") in Hudson, New Hampshire.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Company also completed the first phase of the Chelmsford, Massachusetts headquarters consolidation in the fourth quarter of fiscal 2014. These restructuring and other charges associated with the Company's fiscal 2014 restructuring plan amounted to $5,443 and affected both MCE and MDS reportable segments. In the event that the Company is unable to sublease the unoccupied portion of its headquarters complex in Chelmsford, Massachusetts, it will incur nominal, periodic restructuring charges through fiscal 2017 in its MCE reportable segment.</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any remaining severance obligations are expected to be paid within the next twelve months. The remaining restructuring liability is classified as accrued expenses in the consolidated balance sheets.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detail of expenses by reportable segment for the Company’s restructuring plans: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Severance &amp; Related</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Facilities &amp; Other</w:t>
            </w:r>
          </w:p>
        </w:tc>
        <w:tc>
          <w:tcPr>
            <w:tcW w:w="440" w:type="dxa"/>
            <w:vAlign w:val="bottom"/>
          </w:tcPr>
          <w:p>
            <w:pPr>
              <w:spacing w:after="0"/>
              <w:rPr>
                <w:sz w:val="16"/>
                <w:szCs w:val="16"/>
                <w:color w:val="auto"/>
              </w:rPr>
            </w:pPr>
          </w:p>
        </w:tc>
        <w:tc>
          <w:tcPr>
            <w:tcW w:w="1360" w:type="dxa"/>
            <w:vAlign w:val="bottom"/>
          </w:tcPr>
          <w:p>
            <w:pPr>
              <w:jc w:val="right"/>
              <w:ind w:right="651"/>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2013</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MCE restructuring charges</w:t>
            </w:r>
          </w:p>
        </w:tc>
        <w:tc>
          <w:tcPr>
            <w:tcW w:w="18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3,961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5,473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MDS restructuring charges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paid</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 (*)</w:t>
            </w: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Restructuring liability at June 30, 2014</w:t>
            </w: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MCE restructuring charges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MDS restructuring charges</w:t>
            </w:r>
          </w:p>
        </w:tc>
        <w:tc>
          <w:tcPr>
            <w:tcW w:w="18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Reversals (*)</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Reversals result from the unused outplacement services and operating costs.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61</w:t>
      </w:r>
    </w:p>
    <w:p>
      <w:pPr>
        <w:sectPr>
          <w:pgSz w:w="11900" w:h="16838" w:orient="portrait"/>
          <w:cols w:equalWidth="0" w:num="1">
            <w:col w:w="11420"/>
          </w:cols>
          <w:pgMar w:left="240" w:top="746"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00" w:hanging="792"/>
        <w:spacing w:after="0"/>
        <w:tabs>
          <w:tab w:leader="none" w:pos="8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(loss) from continuing operations before income taxes and income tax expense (benefit)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18,443</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(24,760)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(24,283)</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(benefit):</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(10,501)</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is the reconciliation between the statutory federal income tax rate and the Company’s effective income tax (benefit) rate for continuing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 Ended June 30,</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spacing w:after="0"/>
              <w:rPr>
                <w:sz w:val="22"/>
                <w:szCs w:val="22"/>
                <w:color w:val="auto"/>
              </w:rPr>
            </w:pPr>
          </w:p>
        </w:tc>
        <w:tc>
          <w:tcPr>
            <w:tcW w:w="196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(benefit) at federal statutory rates</w:t>
            </w:r>
          </w:p>
        </w:tc>
        <w:tc>
          <w:tcPr>
            <w:tcW w:w="3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State income tax, net of federal tax benefit</w:t>
            </w:r>
          </w:p>
        </w:tc>
        <w:tc>
          <w:tcPr>
            <w:tcW w:w="3500" w:type="dxa"/>
            <w:vAlign w:val="bottom"/>
            <w:gridSpan w:val="2"/>
          </w:tcPr>
          <w:p>
            <w:pPr>
              <w:jc w:val="right"/>
              <w:ind w:right="13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8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credits</w:t>
            </w:r>
          </w:p>
        </w:tc>
        <w:tc>
          <w:tcPr>
            <w:tcW w:w="35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Domestic manufacturing deduction</w:t>
            </w:r>
          </w:p>
        </w:tc>
        <w:tc>
          <w:tcPr>
            <w:tcW w:w="3500" w:type="dxa"/>
            <w:vAlign w:val="bottom"/>
            <w:gridSpan w:val="2"/>
          </w:tcPr>
          <w:p>
            <w:pPr>
              <w:jc w:val="right"/>
              <w:ind w:right="7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repatriation of foreign earnings</w:t>
            </w:r>
          </w:p>
        </w:tc>
        <w:tc>
          <w:tcPr>
            <w:tcW w:w="35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Foreign tax credits</w:t>
            </w:r>
          </w:p>
        </w:tc>
        <w:tc>
          <w:tcPr>
            <w:tcW w:w="196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w:t>
            </w:r>
          </w:p>
        </w:tc>
        <w:tc>
          <w:tcPr>
            <w:tcW w:w="35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Officers' compensation</w:t>
            </w:r>
          </w:p>
        </w:tc>
        <w:tc>
          <w:tcPr>
            <w:tcW w:w="3500" w:type="dxa"/>
            <w:vAlign w:val="bottom"/>
            <w:gridSpan w:val="2"/>
          </w:tcPr>
          <w:p>
            <w:pPr>
              <w:jc w:val="right"/>
              <w:ind w:right="13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shortfalls</w:t>
            </w:r>
          </w:p>
        </w:tc>
        <w:tc>
          <w:tcPr>
            <w:tcW w:w="1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Deferred tax asset and liability adjustments</w:t>
            </w:r>
          </w:p>
        </w:tc>
        <w:tc>
          <w:tcPr>
            <w:tcW w:w="3500" w:type="dxa"/>
            <w:vAlign w:val="bottom"/>
            <w:gridSpan w:val="2"/>
          </w:tcPr>
          <w:p>
            <w:pPr>
              <w:jc w:val="right"/>
              <w:ind w:right="7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state tax rates</w:t>
            </w:r>
          </w:p>
        </w:tc>
        <w:tc>
          <w:tcPr>
            <w:tcW w:w="350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Reserves for tax contingencies</w:t>
            </w:r>
          </w:p>
        </w:tc>
        <w:tc>
          <w:tcPr>
            <w:tcW w:w="3500" w:type="dxa"/>
            <w:vAlign w:val="bottom"/>
            <w:gridSpan w:val="2"/>
          </w:tcPr>
          <w:p>
            <w:pPr>
              <w:jc w:val="right"/>
              <w:ind w:right="7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19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96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23.2 %</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60" w:type="dxa"/>
            <w:vAlign w:val="bottom"/>
            <w:vMerge w:val="restart"/>
          </w:tcPr>
          <w:p>
            <w:pPr>
              <w:jc w:val="right"/>
              <w:ind w:right="610"/>
              <w:spacing w:after="0"/>
              <w:rPr>
                <w:sz w:val="20"/>
                <w:szCs w:val="20"/>
                <w:color w:val="auto"/>
              </w:rPr>
            </w:pPr>
            <w:r>
              <w:rPr>
                <w:rFonts w:ascii="Arial" w:cs="Arial" w:eastAsia="Arial" w:hAnsi="Arial"/>
                <w:sz w:val="18"/>
                <w:szCs w:val="18"/>
                <w:color w:val="auto"/>
              </w:rPr>
              <w:t>62</w:t>
            </w: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Company’s net deferred tax assets (liabilities) for continuing operations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Inventory valuation and receivable allowances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and state research and development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sale-leaseback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1,232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accruals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loss carryforwards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temporary differences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4,012</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40,403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21,539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(9,242)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method of accounting change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temporary differences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10,574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9,683</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 reported: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deferred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Non-current deferred tax assets (included in other non-current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10,574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9,683</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At June 30, 2015, the Company evaluated the need for a valuation allowance on deferred tax assets. In assessing whether the deferred tax assets are realizable, management considered whether it is more likely than not that some portion or all of the deferred tax assets will not be realized. The ultimate realization of deferred tax assets is dependent upon the Company's past operating results, its forecast of future earnings, future taxable income, and tax planning strategies. The Company continues to conclude that it is more likely than not that most domestic deferred tax assets would be realizable based on the financial performance in fiscal year 2015, projected future taxable income and the reversal of existing deferred tax liabilities.</w:t>
      </w:r>
    </w:p>
    <w:p>
      <w:pPr>
        <w:spacing w:after="0" w:line="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record a full valuation allowance on certain state research and development (“R&amp;D”) and investment tax credits, and capital loss carryforwards as of June 30, 2015 as management continues to believe that it is not more likely than not that these deferred tax assets would be realized. Any future reversals of the valuation allowance will impact income tax expense.</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had federal research and development credit carryforwards of $959, which will expire from 2032 through 2033. The Company had state research and development credit carryforwards of $14,899, which will expire from 2016 through 2029. The Company also had state investment tax credits carryforwards of $404.</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Upon consideration of changing business conditions and cash position in its foreign subsidiaries, management has determined that it does not need to indefinitely reinvest the earnings of certain foreign subsidiaries. Therefore, the Company has accrued deferred taxes in association with $672 in undistributed earnings and profits.</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files income tax returns in all jurisdictions in which it operates. The Company has established reserves to provide for additional income taxes that management believes will more likely than not be due in future years as these previously filed tax returns are audited. These reserves have been established based upon management’s assessment as to the potential exposures. All tax reserves are analyzed quarterly and adjustments are made as events occur and warrant modification.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Company’s reserves for unrecognized income tax benefits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June 30,</w:t>
            </w:r>
          </w:p>
        </w:tc>
        <w:tc>
          <w:tcPr>
            <w:tcW w:w="8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Increases for previously recognized positions</w:t>
            </w: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102</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as a result of a lapse of the applicable statue of limitations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Increases for currently recognized positions</w:t>
            </w: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283</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end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$2,190 of unrecognized tax benefits as of June 30, 2015, if released, would reduce income tax expense.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major tax jurisdiction is the U.S. and the open tax years are fiscal 2011 through 2015.</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is currently under audit by the Internal Revenue Service for fiscal year 2013. There have been no significant changes to the status of this examination during the year ended June 30, 2015. It is reasonably possible that within the next 12 months the Company’s unrecognized tax benefits, exclusive of interest, may decrease by up to $757 at the conclusion of the audit. We expect that the decrease, if recognized, would not affect the effective tax rate.</w:t>
      </w:r>
    </w:p>
    <w:p>
      <w:pPr>
        <w:spacing w:after="0" w:line="116" w:lineRule="exact"/>
        <w:rPr>
          <w:sz w:val="20"/>
          <w:szCs w:val="20"/>
          <w:color w:val="auto"/>
        </w:rPr>
      </w:pPr>
    </w:p>
    <w:p>
      <w:pPr>
        <w:ind w:left="840" w:hanging="832"/>
        <w:spacing w:after="0"/>
        <w:tabs>
          <w:tab w:leader="none" w:pos="8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LAIMS</w:t>
      </w:r>
    </w:p>
    <w:p>
      <w:pPr>
        <w:spacing w:after="0" w:line="108"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sale of the Company’s former MIS business, the Company provided indemnification to the buyer of the business. The Company’s indemnification obligations generally cover the buyer for damages resulting from breaches of representations, warranties and covenants contained in the purchase and sale agreement and generally cover pre-closing tax liabilities of the business. The Company’s indemnification obligations regarding the MIS business are generally subject to caps.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10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of June 30, 2015, the Company has entered into non-cancelable purchase commitments for certain inventory components and services used in its normal operations. The purchase commitments covered by these agreements are for less than one year and aggregate to $27,376.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leases certain facilities, machinery and equipment under various cancelable and non-cancelable operating leases that expire at various dates through fiscal 2025. The leases contain various renewal options. Rental charges are subject to escalation for increases in certain operating costs of the lessor. For tenant improvement allowances and rent holidays, the Company records a deferred rent liability on the consolidated balance sheets and amortizes the deferred rent over the terms of the leases as reductions to rent expense on the consolidated statements of operations. Rental expense during the fiscal years ended June 30, 2015, 2014, and 2013 was $3,777, $4,213 and $4,167, respectively. Minimum lease payments under the Company’s non-cancelable operating leases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Year Ending</w:t>
            </w:r>
          </w:p>
        </w:tc>
        <w:tc>
          <w:tcPr>
            <w:tcW w:w="0" w:type="dxa"/>
            <w:vAlign w:val="bottom"/>
          </w:tcPr>
          <w:p>
            <w:pPr>
              <w:spacing w:after="0"/>
              <w:rPr>
                <w:sz w:val="1"/>
                <w:szCs w:val="1"/>
                <w:color w:val="auto"/>
              </w:rPr>
            </w:pPr>
          </w:p>
        </w:tc>
      </w:tr>
      <w:tr>
        <w:trPr>
          <w:trHeight w:val="192"/>
        </w:trPr>
        <w:tc>
          <w:tcPr>
            <w:tcW w:w="600" w:type="dxa"/>
            <w:vAlign w:val="bottom"/>
            <w:tcBorders>
              <w:bottom w:val="single" w:sz="8" w:color="CCEEFF"/>
            </w:tcBorders>
          </w:tcPr>
          <w:p>
            <w:pPr>
              <w:spacing w:after="0"/>
              <w:rPr>
                <w:sz w:val="16"/>
                <w:szCs w:val="16"/>
                <w:color w:val="auto"/>
              </w:rPr>
            </w:pPr>
          </w:p>
        </w:tc>
        <w:tc>
          <w:tcPr>
            <w:tcW w:w="9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rPr>
              <w:t>2017</w:t>
            </w:r>
          </w:p>
        </w:tc>
        <w:tc>
          <w:tcPr>
            <w:tcW w:w="9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rPr>
              <w:t>2019</w:t>
            </w:r>
          </w:p>
        </w:tc>
        <w:tc>
          <w:tcPr>
            <w:tcW w:w="9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9340" w:type="dxa"/>
            <w:vAlign w:val="bottom"/>
          </w:tcPr>
          <w:p>
            <w:pPr>
              <w:ind w:left="8580"/>
              <w:spacing w:after="0"/>
              <w:rPr>
                <w:sz w:val="20"/>
                <w:szCs w:val="20"/>
                <w:color w:val="auto"/>
              </w:rPr>
            </w:pPr>
            <w:r>
              <w:rPr>
                <w:rFonts w:ascii="Arial" w:cs="Arial" w:eastAsia="Arial" w:hAnsi="Arial"/>
                <w:sz w:val="18"/>
                <w:szCs w:val="18"/>
                <w:color w:val="auto"/>
                <w:w w:val="89"/>
              </w:rPr>
              <w:t>Thereafter</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21,398</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w:t>
            </w:r>
          </w:p>
        </w:tc>
        <w:tc>
          <w:tcPr>
            <w:tcW w:w="93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b w:val="1"/>
                <w:bCs w:val="1"/>
                <w:color w:val="auto"/>
              </w:rPr>
              <w:t>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0" w:type="dxa"/>
            <w:vAlign w:val="bottom"/>
            <w:vMerge w:val="continue"/>
          </w:tcPr>
          <w:p>
            <w:pPr>
              <w:spacing w:after="0"/>
              <w:rPr>
                <w:sz w:val="24"/>
                <w:szCs w:val="24"/>
                <w:color w:val="auto"/>
              </w:rPr>
            </w:pPr>
          </w:p>
        </w:tc>
        <w:tc>
          <w:tcPr>
            <w:tcW w:w="9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NSECURED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October 12, 2012, the Company entered into a credit agreement (the “Credit Agreement”) with a syndicate of commercial banks, with KeyBank National Association acting as the administrative agent. The Credit Agreement provides for a $200,000 senior unsecured revolving line of credit (the “Revolver”). The Company can borrow up to $200,000 based on its consolidated EBITDA for the prior trailing four quarters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Credit Agreement has an accordion feature permitting the Company to request from the lenders an increase in the aggregate amount of the credit facility in the form of an incremental revolver or term loan in an amount not to exceed $50,000. Any such increase would require only the consent of the lenders increasing their respective commitments under the credit facility.</w:t>
      </w:r>
    </w:p>
    <w:p>
      <w:pPr>
        <w:spacing w:after="0" w:line="4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interest rates applicable to borrowings under the Credit Agreement involve various rate options that are available to the Company. The rates are calculated using a combination of conventional base rate measures plus a margin over those rates. The base rates consist of LIBOR rates or prime rates. The actual rates will depend on the level of these underlying rates plus a margin based on the Company's leverage at the time of borrowing.</w:t>
      </w:r>
    </w:p>
    <w:p>
      <w:pPr>
        <w:spacing w:after="0" w:line="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Borrowings under the Credit Agreement are senior unsecured loans. Each of the Company's domestic subsidiaries is a guarantor under the Credit Agreement.</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for each consecutive four fiscal quarter period, after giving pro forma effect for any acquisitions. Acquisitions are permitted under the Credit Agreement without any dollar limitation so long as, among other requirements, no default or event of default exists or would result. In addition, the Credit Agreement contains certain customary representations and warranties, and events of default.</w:t>
      </w:r>
    </w:p>
    <w:p>
      <w:pPr>
        <w:spacing w:after="0" w:line="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2015, there was $151,549 of borrowing capacity available based on our consolidated EBITDA for the trailing four quarters ended June 30, 2015. There were no borrowings outstanding on the Credit Agreement; however, there were outstanding letters of credit of $3,839. As of June 30, 2015, the Company is in compliance with the covenants in the Credit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ind w:left="880" w:hanging="872"/>
        <w:spacing w:after="0"/>
        <w:tabs>
          <w:tab w:leader="none" w:pos="8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authorized to issue 1,000 shares of preferred stock with a par value of $0.01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HAREHOLDER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0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June 2015, the Company's Board of Directors terminated the Shareholder Rights Plan and the associated rights effective as of June 30, 2015. See the Company's fiscal 2014 Annual Report for further description of the Shareholder Rights Plan.</w:t>
      </w:r>
    </w:p>
    <w:p>
      <w:pPr>
        <w:spacing w:after="0" w:line="139" w:lineRule="exact"/>
        <w:rPr>
          <w:sz w:val="20"/>
          <w:szCs w:val="20"/>
          <w:color w:val="auto"/>
        </w:rPr>
      </w:pPr>
    </w:p>
    <w:p>
      <w:pPr>
        <w:ind w:left="840" w:hanging="832"/>
        <w:spacing w:after="0"/>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maintains a qualified 401(k) plan (the “401(k) Plan”) for its U.S. employees. During fiscal 2015, 2014 and 2013, the Company matched employee contributions up to 3% of eligible compensation. The Company may also make optional contributions to the plan for any plan year at its discretion. Expense recognized by the Company for matching contributions related to the 401(k) plan was $1,934, $1,896 and $1,992 during the fiscal years ended June 30, 2015, 2014, and 2013, respectively.</w:t>
      </w:r>
    </w:p>
    <w:p>
      <w:pPr>
        <w:spacing w:after="0" w:line="156" w:lineRule="exact"/>
        <w:rPr>
          <w:sz w:val="20"/>
          <w:szCs w:val="20"/>
          <w:color w:val="auto"/>
        </w:rPr>
      </w:pPr>
    </w:p>
    <w:p>
      <w:pPr>
        <w:ind w:left="840" w:hanging="832"/>
        <w:spacing w:after="0"/>
        <w:tabs>
          <w:tab w:leader="none" w:pos="8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10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number of shares authorized for issuance under the Company’s 2005 Stock Incentive Plan, as amended and restated (the “2005 Plan”), is 11,424 shares at June 30, 2015. On October 21, 2014, the Company's number of shares authorized for issuance under the 2005 Plan increased by 3,406 shares, including 3,200 shares approved by the Company's shareholders at the 2014 Annual Meeting of Shareholders and 206 shares as a result of forfeitures, cancellations and/or terminations from the Company's 1997 Stock Option Plan (the "1997 Plan"). The 2005 Plan will be increased by any future cancellations, forfeitures or terminations (other than by exercise) under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3,648 shares available for future grant under the 2005 Plan at June 30, 2015.</w:t>
      </w:r>
    </w:p>
    <w:p>
      <w:pPr>
        <w:spacing w:after="0" w:line="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determined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8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August 15, 2014, as part of the Company's ongoing annual equity grant program for employees, the Company granted performance-based restricted stock awards to certain executives pursuant to the 2005 Plan. These performance awards vest annually over a three year requisite service period subject to the achievement of specific financial performance targets related to adjusted EBITDA as a percentage of revenue. Based on the performance targets, these awards require graded vesting that results in more rapid expense recognition compared to traditional time-based vesting over the same vesting period. The Company monitors the probability of achieving the performance targets on a quarterly basis and may adjust periodic compensation expense accordingly.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0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 number of shares issued under the ESPP during fiscal years 2015, 2014, and 2013 was 79, 92 and 104, respectively. Shares available for future purchase under the ESPP totaled 85 at June 30,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69"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CTIVITY</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3"/>
                <w:szCs w:val="13"/>
                <w:color w:val="auto"/>
              </w:rPr>
            </w:pPr>
          </w:p>
        </w:tc>
        <w:tc>
          <w:tcPr>
            <w:tcW w:w="14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Intrinsic Value as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of 6/30/2015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2,070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1,435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830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1,382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Vested and expected to vest at June 30, 2015</w:t>
            </w:r>
          </w:p>
        </w:tc>
        <w:tc>
          <w:tcPr>
            <w:tcW w:w="1600" w:type="dxa"/>
            <w:vAlign w:val="bottom"/>
          </w:tcPr>
          <w:p>
            <w:pPr>
              <w:jc w:val="right"/>
              <w:ind w:right="33"/>
              <w:spacing w:after="0"/>
              <w:rPr>
                <w:sz w:val="20"/>
                <w:szCs w:val="20"/>
                <w:color w:val="auto"/>
              </w:rPr>
            </w:pPr>
            <w:r>
              <w:rPr>
                <w:rFonts w:ascii="Arial" w:cs="Arial" w:eastAsia="Arial" w:hAnsi="Arial"/>
                <w:sz w:val="18"/>
                <w:szCs w:val="18"/>
                <w:b w:val="1"/>
                <w:bCs w:val="1"/>
                <w:color w:val="auto"/>
              </w:rPr>
              <w:t>830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b w:val="1"/>
                <w:bCs w:val="1"/>
                <w:color w:val="auto"/>
              </w:rPr>
              <w:t>13.43</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b w:val="1"/>
                <w:bCs w:val="1"/>
                <w:color w:val="auto"/>
              </w:rPr>
              <w:t>1,382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Exercisable at June 30, 2015</w:t>
            </w: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13.57</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1,249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intrinsic value of the options exercised during fiscal years 2015, 2014, and 2013 was $3,373, $578 and $233, respectively. Non-vested stock options are subject to the risk of forfeiture until the fulfillment of specified conditions. As of June 30, 2015, there was $6 of total unrecognized compensation cost related to non-vested options granted under the Company’s stock plans that is expected to be recognized over a weighted-average period of 0.13 years from June 30, 2015. As of June 30, 2014, there was $118 of total unrecognized compensation cost related to non-vested options granted under the Company’s stock plans that was expected to be recognized over a weighted-average period of 0.91 years from June 30, 2014.</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6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10.82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2,091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10.15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1,866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10.72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fair value of restricted stock awards vested during fiscal year 2015, 2014, and 2013 was $9,078, $6,543 and $4,488, respectively.</w:t>
      </w:r>
    </w:p>
    <w:p>
      <w:pPr>
        <w:spacing w:after="0" w:line="1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Non-vested restricted stock awards are subject to the risk of forfeiture until the fulfillment of specified conditions. As of June 30, 2015, there was $11,080 of total unrecognized compensation cost related to non-vested restricted stock awards granted under the Company’s stock plans that is expected to be recognized over a weighted-average period of 1.9 years from June 30, 2015. As of June 30, 2014, there was $12,768 of total unrecognized compensation cost related to non-vested restricted stock awards granted under the Company’s stock plans that is expected to be recognized over a weighted-average period of 2.4 years from June 30,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SSUMPTIONS</w:t>
      </w:r>
    </w:p>
    <w:p>
      <w:pPr>
        <w:spacing w:after="0" w:line="1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recognized the full expense of its share-based payment plans in the consolidated statements of operations for the fiscal years 2015, 2014, and 2013 in accordance with FASB ASC 718 and did not capitalize any such costs on the consolidated balance sheets, as such costs that qualified for capitalization were not material. Under the fair value recognition provisions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ASC 718, stock-based compensation cost is measured at the grant date based on the value of the award and is recognized as expense over the service period. The following table presents share-based compensation expenses from continuing operations included in the Company’s consolidated statement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6,436</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9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7,854</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(3,332)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expense, net of income taxes</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4,977</w:t>
            </w:r>
          </w:p>
        </w:tc>
      </w:tr>
      <w:tr>
        <w:trPr>
          <w:trHeight w:val="27"/>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options granted during fiscal years 2015 or 2014. The only stock options granted during fiscal year 2013 were related to the Micronetics stock option rollover at the acquisition date. The following table sets forth the weighted-average key assumptions and fair value results for stock options granted during fiscal years 2015, 2014 and 2013: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Years Ended June 30,</w:t>
            </w: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of options granted</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9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Option life(1)</w:t>
            </w:r>
          </w:p>
        </w:tc>
        <w:tc>
          <w:tcPr>
            <w:tcW w:w="1040" w:type="dxa"/>
            <w:vAlign w:val="bottom"/>
          </w:tcPr>
          <w:p>
            <w:pPr>
              <w:spacing w:after="0"/>
              <w:rPr>
                <w:sz w:val="21"/>
                <w:szCs w:val="21"/>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4.5</w:t>
            </w:r>
          </w:p>
        </w:tc>
      </w:tr>
      <w:tr>
        <w:trPr>
          <w:trHeight w:val="27"/>
        </w:trPr>
        <w:tc>
          <w:tcPr>
            <w:tcW w:w="6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rate(2)</w:t>
            </w:r>
          </w:p>
        </w:tc>
        <w:tc>
          <w:tcPr>
            <w:tcW w:w="10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Stock volatility(3)</w:t>
            </w:r>
          </w:p>
        </w:tc>
        <w:tc>
          <w:tcPr>
            <w:tcW w:w="1040" w:type="dxa"/>
            <w:vAlign w:val="bottom"/>
          </w:tcPr>
          <w:p>
            <w:pPr>
              <w:spacing w:after="0"/>
              <w:rPr>
                <w:sz w:val="21"/>
                <w:szCs w:val="21"/>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rate</w:t>
            </w:r>
          </w:p>
        </w:tc>
        <w:tc>
          <w:tcPr>
            <w:tcW w:w="1040" w:type="dxa"/>
            <w:vAlign w:val="bottom"/>
            <w:shd w:val="clear" w:color="auto" w:fill="CCEEFF"/>
          </w:tcPr>
          <w:p>
            <w:pPr>
              <w:spacing w:after="0"/>
              <w:rPr>
                <w:sz w:val="21"/>
                <w:szCs w:val="21"/>
                <w:color w:val="auto"/>
              </w:rPr>
            </w:pP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40" w:hanging="316"/>
        <w:spacing w:after="0"/>
        <w:tabs>
          <w:tab w:leader="none" w:pos="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risk-free interest rate for each grant is equal to the U.S. Treasury yield curve in effect at the time of grant for instruments with a similar expected life.</w:t>
      </w:r>
    </w:p>
    <w:p>
      <w:pPr>
        <w:jc w:val="both"/>
        <w:ind w:left="540" w:hanging="316"/>
        <w:spacing w:after="0" w:line="255" w:lineRule="auto"/>
        <w:tabs>
          <w:tab w:leader="none" w:pos="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59" w:lineRule="exact"/>
        <w:rPr>
          <w:rFonts w:ascii="Arial" w:cs="Arial" w:eastAsia="Arial" w:hAnsi="Arial"/>
          <w:sz w:val="18"/>
          <w:szCs w:val="18"/>
          <w:color w:val="auto"/>
        </w:rPr>
      </w:pPr>
    </w:p>
    <w:p>
      <w:pPr>
        <w:ind w:left="800" w:hanging="792"/>
        <w:spacing w:after="0"/>
        <w:tabs>
          <w:tab w:leader="none" w:pos="8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The Company utilizes the management approach for determining reportable segments in accordance with the authoritative guidance. The following operating segments were determined based upon the nature of the products offered to customers, the market characteristics of each operating segment and the Company's management structure:</w:t>
      </w:r>
    </w:p>
    <w:p>
      <w:pPr>
        <w:spacing w:after="0" w:line="52" w:lineRule="exact"/>
        <w:rPr>
          <w:sz w:val="20"/>
          <w:szCs w:val="20"/>
          <w:color w:val="auto"/>
        </w:rPr>
      </w:pPr>
    </w:p>
    <w:p>
      <w:pPr>
        <w:jc w:val="both"/>
        <w:ind w:left="660" w:hanging="328"/>
        <w:spacing w:after="0" w:line="25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Mercury Commercial Electronics (“MCE”): this operating segment delivers more affordable, innovative, commercially developed, specialized processing subsystems powering today's critical defense and intelligence applications. MCE delivers secure solutions that are based upon open architectures and widely adopted industry standards. MCE delivers rapid time-to-value and service and support to prime defense contractors and commercial customers. MCE provides solutions to prime contractor customers on a variety of programs. MCE also provides technology building blocks to Mercury Defense Systems on key classified and unclassified programs. MCE has a legacy of embedded multi-computing and embedded sensor processing expertise. More recently, MCE has added substantial capabilities around radio frequency ("RF") and microwave technologies as well as emerging new manufacturing capabilities to bring design, production and test capabilities of its RF and microwave solutions to market on a more scalable basis.</w:t>
      </w:r>
    </w:p>
    <w:p>
      <w:pPr>
        <w:spacing w:after="0" w:line="57" w:lineRule="exact"/>
        <w:rPr>
          <w:rFonts w:ascii="Arial" w:cs="Arial" w:eastAsia="Arial" w:hAnsi="Arial"/>
          <w:sz w:val="18"/>
          <w:szCs w:val="18"/>
          <w:color w:val="auto"/>
        </w:rPr>
      </w:pPr>
    </w:p>
    <w:p>
      <w:pPr>
        <w:jc w:val="both"/>
        <w:ind w:left="660" w:hanging="355"/>
        <w:spacing w:after="0" w:line="273"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Mercury Defense Systems (“MDS”): this operating segment provides significant capabilities relating to pre-integrated, open, more affordable electronic warfare ("EW"), electronic attack ("EA") and electronic counter measure ("ECM") subsystems, and signals intelligence ("SIGINT") and electro-optical/infrared ("EO/IR") processing technologies and radar environmental test and simulation systems. MDS deploys these solutions on behalf of defense prime contractors and the Department of Defense ("DoD"), leveraging commercially available technologies and solutions (or “building blocks”) from the MCE business and other commercial suppliers. MDS leverages this technology to develop integrated sensor processing subsystems, often including classified application-specific software and intellectual property ("IP") for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line="348" w:lineRule="auto"/>
        <w:rPr>
          <w:sz w:val="20"/>
          <w:szCs w:val="20"/>
          <w:color w:val="auto"/>
        </w:rPr>
      </w:pPr>
      <w:r>
        <w:rPr>
          <w:rFonts w:ascii="Arial" w:cs="Arial" w:eastAsia="Arial" w:hAnsi="Arial"/>
          <w:sz w:val="17"/>
          <w:szCs w:val="17"/>
          <w:color w:val="auto"/>
        </w:rPr>
        <w:t>C4ISR (command, control, communications, computers, intelligence, surveillance and reconnaissance), EW, and ECM markets. MDS brings significant domain expertise to customers, drawing on over 25 years of experience in EW, SIGINT, and radar environment test and simulation.</w:t>
      </w:r>
    </w:p>
    <w:p>
      <w:pPr>
        <w:jc w:val="both"/>
        <w:ind w:firstLine="432"/>
        <w:spacing w:after="0" w:line="308" w:lineRule="auto"/>
        <w:rPr>
          <w:sz w:val="20"/>
          <w:szCs w:val="20"/>
          <w:color w:val="auto"/>
        </w:rPr>
      </w:pPr>
      <w:r>
        <w:rPr>
          <w:rFonts w:ascii="Arial" w:cs="Arial" w:eastAsia="Arial" w:hAnsi="Arial"/>
          <w:sz w:val="17"/>
          <w:szCs w:val="17"/>
          <w:color w:val="auto"/>
        </w:rPr>
        <w:t>The Company's operating segments were evaluated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in order to determine which operating segments qualified as reportable segments. The Company determined that both MCE and MDS met the quantitative thresholds for reporting.</w:t>
      </w:r>
    </w:p>
    <w:p>
      <w:pPr>
        <w:spacing w:after="0" w:line="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19"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Adjusted EBITDA is defined as income from continuing operations before interest income and expense, income taxes, depreciation, amortization of intangible assets, restructuring and other charges, impairment of long-lived assets, acquisition and financing costs, fair value adjustments from purchase accounting and stock-based compensation costs.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MCE</w:t>
            </w:r>
          </w:p>
        </w:tc>
        <w:tc>
          <w:tcPr>
            <w:tcW w:w="3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MDS</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207,104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27,411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234,847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Intersegment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212,460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27,725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234,847</w:t>
            </w: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YEAR ENDED JUNE 30, 2014</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208,729</w:t>
            </w: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Intersegment revenues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184,798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208,729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18,495</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23,522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152,606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41,491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194,231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Intersegment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166,350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41,491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194,231</w:t>
            </w:r>
          </w:p>
        </w:tc>
      </w:tr>
      <w:tr>
        <w:trPr>
          <w:trHeight w:val="23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9,940</w:t>
            </w:r>
          </w:p>
        </w:tc>
      </w:tr>
      <w:tr>
        <w:trPr>
          <w:trHeight w:val="459"/>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reconciles the Company's income (loss) from continuing operations, the most directly comparable GAAP financial measure, to its adjusted EBITDA:</w:t>
      </w:r>
    </w:p>
    <w:p>
      <w:pPr>
        <w:spacing w:after="0" w:line="11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Year Ended June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08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14,429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(13,782)</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Tax provision (benefit)</w:t>
            </w: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(10,501)</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8,445</w:t>
            </w: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8,222</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7,060</w:t>
            </w: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Acquisition and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Fair value adjustments from purchase accounting</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2,293</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7,854</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44,414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23,522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9,940</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7"/>
          </w:tcPr>
          <w:p>
            <w:pPr>
              <w:ind w:left="340"/>
              <w:spacing w:after="0"/>
              <w:rPr>
                <w:sz w:val="20"/>
                <w:szCs w:val="20"/>
                <w:color w:val="auto"/>
              </w:rPr>
            </w:pPr>
            <w:r>
              <w:rPr>
                <w:rFonts w:ascii="Arial" w:cs="Arial" w:eastAsia="Arial" w:hAnsi="Arial"/>
                <w:sz w:val="18"/>
                <w:szCs w:val="18"/>
                <w:color w:val="auto"/>
                <w:w w:val="98"/>
              </w:rPr>
              <w:t>The geographic distribution of the Company's revenues is summarized as follows: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US</w:t>
            </w:r>
          </w:p>
        </w:tc>
        <w:tc>
          <w:tcPr>
            <w:tcW w:w="30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Asia Pacific</w:t>
            </w: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34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2015</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229,849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234,847</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Inter-geographic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232,655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234,847</w:t>
            </w:r>
          </w:p>
        </w:tc>
      </w:tr>
      <w:tr>
        <w:trPr>
          <w:trHeight w:val="23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Identifiable long-lived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YEAR ENDED JUNE 30, 2014</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208,729</w:t>
            </w: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Inter-geographic revenues</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206,324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208,729</w:t>
            </w: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Identifiable long-lived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14,090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14,144</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30, 2013</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60"/>
              <w:spacing w:after="0"/>
              <w:rPr>
                <w:sz w:val="20"/>
                <w:szCs w:val="20"/>
                <w:color w:val="auto"/>
              </w:rPr>
            </w:pPr>
            <w:r>
              <w:rPr>
                <w:rFonts w:ascii="Arial" w:cs="Arial" w:eastAsia="Arial" w:hAnsi="Arial"/>
                <w:sz w:val="18"/>
                <w:szCs w:val="18"/>
                <w:color w:val="auto"/>
              </w:rPr>
              <w:t>Net revenues to unaffiliated customers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182,527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194,231</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Inter-geographic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3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191,261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194,231</w:t>
            </w: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long-lived assets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14,429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14,462</w:t>
            </w:r>
          </w:p>
        </w:tc>
      </w:tr>
      <w:tr>
        <w:trPr>
          <w:trHeight w:val="27"/>
        </w:trPr>
        <w:tc>
          <w:tcPr>
            <w:tcW w:w="3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Foreign revenue is based on the country in which the Company's legal subsidiary is domiciled. Identifiable long-lived assets exclude goodwill and intangible assets.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Customers comprising 10% or more of the Company's revenues for the periods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840" w:type="dxa"/>
            <w:vAlign w:val="bottom"/>
            <w:gridSpan w:val="4"/>
          </w:tcPr>
          <w:p>
            <w:pPr>
              <w:ind w:left="1240"/>
              <w:spacing w:after="0"/>
              <w:rPr>
                <w:sz w:val="20"/>
                <w:szCs w:val="20"/>
                <w:color w:val="auto"/>
              </w:rPr>
            </w:pPr>
            <w:r>
              <w:rPr>
                <w:rFonts w:ascii="Arial" w:cs="Arial" w:eastAsia="Arial" w:hAnsi="Arial"/>
                <w:sz w:val="18"/>
                <w:szCs w:val="18"/>
                <w:b w:val="1"/>
                <w:bCs w:val="1"/>
                <w:color w:val="auto"/>
                <w:w w:val="89"/>
              </w:rPr>
              <w:t>Year Ended June 30,</w:t>
            </w:r>
          </w:p>
        </w:tc>
        <w:tc>
          <w:tcPr>
            <w:tcW w:w="120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300" w:type="dxa"/>
            <w:vAlign w:val="bottom"/>
          </w:tcPr>
          <w:p>
            <w:pPr>
              <w:ind w:left="48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Arial" w:cs="Arial" w:eastAsia="Arial" w:hAnsi="Arial"/>
                <w:sz w:val="18"/>
                <w:szCs w:val="18"/>
                <w:b w:val="1"/>
                <w:bCs w:val="1"/>
                <w:color w:val="auto"/>
              </w:rPr>
              <w:t>2013</w:t>
            </w:r>
          </w:p>
        </w:tc>
      </w:tr>
      <w:tr>
        <w:trPr>
          <w:trHeight w:val="27"/>
        </w:trPr>
        <w:tc>
          <w:tcPr>
            <w:tcW w:w="73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Lockheed Martin Corporation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4"/>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94"/>
              </w:rPr>
              <w:t>17%</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Raytheon Company</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0" w:type="dxa"/>
            <w:vAlign w:val="bottom"/>
          </w:tcPr>
          <w:p>
            <w:pPr>
              <w:ind w:left="840"/>
              <w:spacing w:after="0"/>
              <w:rPr>
                <w:sz w:val="20"/>
                <w:szCs w:val="20"/>
                <w:color w:val="auto"/>
              </w:rPr>
            </w:pPr>
            <w:r>
              <w:rPr>
                <w:rFonts w:ascii="Arial" w:cs="Arial" w:eastAsia="Arial" w:hAnsi="Arial"/>
                <w:sz w:val="18"/>
                <w:szCs w:val="18"/>
                <w:color w:val="auto"/>
              </w:rPr>
              <w:t>10</w:t>
            </w:r>
          </w:p>
        </w:tc>
      </w:tr>
      <w:tr>
        <w:trPr>
          <w:trHeight w:val="27"/>
        </w:trPr>
        <w:tc>
          <w:tcPr>
            <w:tcW w:w="7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11</w:t>
            </w:r>
          </w:p>
        </w:tc>
      </w:tr>
      <w:tr>
        <w:trPr>
          <w:trHeight w:val="237"/>
        </w:trPr>
        <w:tc>
          <w:tcPr>
            <w:tcW w:w="73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3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94"/>
              </w:rPr>
              <w:t>43%</w:t>
            </w:r>
          </w:p>
        </w:tc>
        <w:tc>
          <w:tcPr>
            <w:tcW w:w="120" w:type="dxa"/>
            <w:vAlign w:val="bottom"/>
          </w:tcPr>
          <w:p>
            <w:pPr>
              <w:spacing w:after="0"/>
              <w:rPr>
                <w:sz w:val="20"/>
                <w:szCs w:val="20"/>
                <w:color w:val="auto"/>
              </w:rPr>
            </w:pPr>
          </w:p>
        </w:tc>
        <w:tc>
          <w:tcPr>
            <w:tcW w:w="12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w w:val="94"/>
              </w:rPr>
              <w:t>38%</w:t>
            </w:r>
          </w:p>
        </w:tc>
      </w:tr>
      <w:tr>
        <w:trPr>
          <w:trHeight w:val="27"/>
        </w:trPr>
        <w:tc>
          <w:tcPr>
            <w:tcW w:w="73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620" w:right="4280" w:hanging="5612"/>
        <w:spacing w:after="0" w:line="606" w:lineRule="auto"/>
        <w:tabs>
          <w:tab w:leader="none" w:pos="27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Indicates that the amount is less than 10% of the Company's revenues for the respective period. 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While the Company typically has customers from which it derives 10% or more of its revenue, the sales to each of these customers are spread across multiple programs and platforms. Programs comprising 10% or more of the Company's revenues for the periods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Year Ended June 30,</w:t>
            </w:r>
          </w:p>
        </w:tc>
        <w:tc>
          <w:tcPr>
            <w:tcW w:w="104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78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68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Patriot</w:t>
            </w:r>
          </w:p>
        </w:tc>
        <w:tc>
          <w:tcPr>
            <w:tcW w:w="7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80" w:type="dxa"/>
            <w:vAlign w:val="bottom"/>
          </w:tcPr>
          <w:p>
            <w:pPr>
              <w:ind w:left="40"/>
              <w:spacing w:after="0"/>
              <w:rPr>
                <w:sz w:val="20"/>
                <w:szCs w:val="20"/>
                <w:color w:val="auto"/>
              </w:rPr>
            </w:pPr>
            <w:r>
              <w:rPr>
                <w:rFonts w:ascii="Arial" w:cs="Arial" w:eastAsia="Arial" w:hAnsi="Arial"/>
                <w:sz w:val="18"/>
                <w:szCs w:val="18"/>
                <w:color w:val="auto"/>
              </w:rPr>
              <w:t>F-35</w:t>
            </w:r>
          </w:p>
        </w:tc>
        <w:tc>
          <w:tcPr>
            <w:tcW w:w="78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Aegis</w:t>
            </w:r>
          </w:p>
        </w:tc>
        <w:tc>
          <w:tcPr>
            <w:tcW w:w="66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6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280" w:type="dxa"/>
            <w:vAlign w:val="bottom"/>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28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9"/>
        </w:trPr>
        <w:tc>
          <w:tcPr>
            <w:tcW w:w="8560" w:type="dxa"/>
            <w:vAlign w:val="bottom"/>
            <w:gridSpan w:val="3"/>
          </w:tcPr>
          <w:p>
            <w:pPr>
              <w:spacing w:after="0"/>
              <w:rPr>
                <w:sz w:val="20"/>
                <w:szCs w:val="20"/>
                <w:color w:val="auto"/>
              </w:rPr>
            </w:pPr>
            <w:r>
              <w:rPr>
                <w:rFonts w:ascii="Arial" w:cs="Arial" w:eastAsia="Arial" w:hAnsi="Arial"/>
                <w:sz w:val="18"/>
                <w:szCs w:val="18"/>
                <w:color w:val="auto"/>
              </w:rPr>
              <w:t>*  Indicates that the amount is less than 10% of the Company's revenues for the respective period.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680" w:type="dxa"/>
            <w:vAlign w:val="bottom"/>
          </w:tcPr>
          <w:p>
            <w:pPr>
              <w:spacing w:after="0"/>
              <w:rPr>
                <w:sz w:val="20"/>
                <w:szCs w:val="20"/>
                <w:color w:val="auto"/>
              </w:rPr>
            </w:pPr>
            <w:r>
              <w:rPr>
                <w:rFonts w:ascii="Arial" w:cs="Arial" w:eastAsia="Arial" w:hAnsi="Arial"/>
                <w:sz w:val="18"/>
                <w:szCs w:val="18"/>
                <w:b w:val="1"/>
                <w:bCs w:val="1"/>
                <w:color w:val="auto"/>
              </w:rPr>
              <w:t>Q.</w:t>
            </w:r>
          </w:p>
        </w:tc>
        <w:tc>
          <w:tcPr>
            <w:tcW w:w="7880" w:type="dxa"/>
            <w:vAlign w:val="bottom"/>
            <w:gridSpan w:val="2"/>
          </w:tcPr>
          <w:p>
            <w:pPr>
              <w:jc w:val="right"/>
              <w:ind w:right="6170"/>
              <w:spacing w:after="0"/>
              <w:rPr>
                <w:sz w:val="20"/>
                <w:szCs w:val="20"/>
                <w:color w:val="auto"/>
              </w:rPr>
            </w:pPr>
            <w:r>
              <w:rPr>
                <w:rFonts w:ascii="Arial" w:cs="Arial" w:eastAsia="Arial" w:hAnsi="Arial"/>
                <w:sz w:val="18"/>
                <w:szCs w:val="18"/>
                <w:b w:val="1"/>
                <w:bCs w:val="1"/>
                <w:color w:val="auto"/>
                <w:w w:val="95"/>
              </w:rPr>
              <w:t>Subsequent Events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(UNAUDITED)</w:t>
      </w:r>
    </w:p>
    <w:p>
      <w:pPr>
        <w:spacing w:after="0" w:line="17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following sets forth certain unaudited consolidated quarterly statements of operations data for each of the Company’s last eight quarters. In management’s opinion, this quarterly information reflects all adjustments, consisting only of normal recurring adjustments, necessary for a fair presentation for the periods presented. Such quarterly results are not necessarily indicative of future results of operations and should be read in conjunction with the audited consolidated financial statements of the Company and the notes thereto included elsewhere herein.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2015 (In thousands, except per share data)</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rPr>
              <w:t>4TH QUARTER</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23,999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27,035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27,918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31,267</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7,982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6,132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5,930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income (loss)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2014 (In thousands, except per share data)</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2"/>
                <w:szCs w:val="22"/>
                <w:color w:val="auto"/>
              </w:rPr>
            </w:pPr>
          </w:p>
        </w:tc>
        <w:tc>
          <w:tcPr>
            <w:tcW w:w="1300" w:type="dxa"/>
            <w:vAlign w:val="bottom"/>
          </w:tcPr>
          <w:p>
            <w:pPr>
              <w:jc w:val="right"/>
              <w:ind w:right="131"/>
              <w:spacing w:after="0"/>
              <w:rPr>
                <w:sz w:val="20"/>
                <w:szCs w:val="20"/>
                <w:color w:val="auto"/>
              </w:rPr>
            </w:pPr>
            <w:r>
              <w:rPr>
                <w:rFonts w:ascii="Arial" w:cs="Arial" w:eastAsia="Arial" w:hAnsi="Arial"/>
                <w:sz w:val="14"/>
                <w:szCs w:val="14"/>
                <w:b w:val="1"/>
                <w:bCs w:val="1"/>
                <w:color w:val="auto"/>
              </w:rPr>
              <w:t>4TH QUARTER</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21,562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24,325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24,376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24,481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(loss) from discontinued operations, net of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(7,546)</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net loss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Due to the effects of rounding, the sum of the four quarters does not equal the annual total.</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FFECTIVENESS OF</w:t>
      </w:r>
      <w:r>
        <w:rPr>
          <w:rFonts w:ascii="Arial" w:cs="Arial" w:eastAsia="Arial" w:hAnsi="Arial"/>
          <w:sz w:val="18"/>
          <w:szCs w:val="18"/>
          <w:color w:val="auto"/>
        </w:rPr>
        <w:t xml:space="preserve"> D</w:t>
      </w:r>
      <w:r>
        <w:rPr>
          <w:rFonts w:ascii="Arial" w:cs="Arial" w:eastAsia="Arial" w:hAnsi="Arial"/>
          <w:sz w:val="14"/>
          <w:szCs w:val="14"/>
          <w:color w:val="auto"/>
        </w:rPr>
        <w:t>ISCLOSURE</w:t>
      </w:r>
      <w:r>
        <w:rPr>
          <w:rFonts w:ascii="Arial" w:cs="Arial" w:eastAsia="Arial" w:hAnsi="Arial"/>
          <w:sz w:val="18"/>
          <w:szCs w:val="18"/>
          <w:color w:val="auto"/>
        </w:rPr>
        <w:t xml:space="preserve"> C</w:t>
      </w:r>
      <w:r>
        <w:rPr>
          <w:rFonts w:ascii="Arial" w:cs="Arial" w:eastAsia="Arial" w:hAnsi="Arial"/>
          <w:sz w:val="14"/>
          <w:szCs w:val="14"/>
          <w:color w:val="auto"/>
        </w:rPr>
        <w:t>ONTROLS AND</w:t>
      </w:r>
      <w:r>
        <w:rPr>
          <w:rFonts w:ascii="Arial" w:cs="Arial" w:eastAsia="Arial" w:hAnsi="Arial"/>
          <w:sz w:val="18"/>
          <w:szCs w:val="18"/>
          <w:color w:val="auto"/>
        </w:rPr>
        <w:t xml:space="preserve"> P</w:t>
      </w:r>
      <w:r>
        <w:rPr>
          <w:rFonts w:ascii="Arial" w:cs="Arial" w:eastAsia="Arial" w:hAnsi="Arial"/>
          <w:sz w:val="14"/>
          <w:szCs w:val="14"/>
          <w:color w:val="auto"/>
        </w:rPr>
        <w:t>ROCEDURES</w:t>
      </w:r>
    </w:p>
    <w:p>
      <w:pPr>
        <w:spacing w:after="0" w:line="1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conducted an evaluation as of June 30, 2015 under the supervision and with the participation of our management, including our Chief Executive Officer and Chief Financial Officer (our principal executive officer and principal financial officer, respectively), and concluded that our disclosure controls and procedures (as defined in Rule 13a-15(e) or Rule 15d-15(e) under the Securities Exchange Act of 1934, as amended, the “Exchange Act”) were effective as of June 30, 2015 and designed to ensure that the information required to be disclosed by us in reports that we file or submit under the Exchange Act is recorded, processed, summarized and reported within the time periods specified in the SEC’s rules and forms and that it is accumulated and communicated to our management, including our Chief Executive Officer and Chief Financial Officer, to allow timely decisions regarding required disclosure.</w:t>
      </w:r>
    </w:p>
    <w:p>
      <w:pPr>
        <w:spacing w:after="0" w:line="11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4"/>
          <w:szCs w:val="14"/>
          <w:color w:val="auto"/>
        </w:rPr>
        <w:t>NHERENT</w:t>
      </w:r>
      <w:r>
        <w:rPr>
          <w:rFonts w:ascii="Arial" w:cs="Arial" w:eastAsia="Arial" w:hAnsi="Arial"/>
          <w:sz w:val="18"/>
          <w:szCs w:val="18"/>
          <w:color w:val="auto"/>
        </w:rPr>
        <w:t xml:space="preserve"> L</w:t>
      </w:r>
      <w:r>
        <w:rPr>
          <w:rFonts w:ascii="Arial" w:cs="Arial" w:eastAsia="Arial" w:hAnsi="Arial"/>
          <w:sz w:val="14"/>
          <w:szCs w:val="14"/>
          <w:color w:val="auto"/>
        </w:rPr>
        <w:t>IMITATIONS ON</w:t>
      </w:r>
      <w:r>
        <w:rPr>
          <w:rFonts w:ascii="Arial" w:cs="Arial" w:eastAsia="Arial" w:hAnsi="Arial"/>
          <w:sz w:val="18"/>
          <w:szCs w:val="18"/>
          <w:color w:val="auto"/>
        </w:rPr>
        <w:t xml:space="preserve"> E</w:t>
      </w:r>
      <w:r>
        <w:rPr>
          <w:rFonts w:ascii="Arial" w:cs="Arial" w:eastAsia="Arial" w:hAnsi="Arial"/>
          <w:sz w:val="14"/>
          <w:szCs w:val="14"/>
          <w:color w:val="auto"/>
        </w:rPr>
        <w:t>FFECTIVENESS OF</w:t>
      </w:r>
      <w:r>
        <w:rPr>
          <w:rFonts w:ascii="Arial" w:cs="Arial" w:eastAsia="Arial" w:hAnsi="Arial"/>
          <w:sz w:val="18"/>
          <w:szCs w:val="18"/>
          <w:color w:val="auto"/>
        </w:rPr>
        <w:t xml:space="preserve"> C</w:t>
      </w:r>
      <w:r>
        <w:rPr>
          <w:rFonts w:ascii="Arial" w:cs="Arial" w:eastAsia="Arial" w:hAnsi="Arial"/>
          <w:sz w:val="14"/>
          <w:szCs w:val="14"/>
          <w:color w:val="auto"/>
        </w:rPr>
        <w:t>ONTROLS</w:t>
      </w:r>
    </w:p>
    <w:p>
      <w:pPr>
        <w:spacing w:after="0" w:line="18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internal control over financial reporting or our internal controls will prevent or detect all errors and all fraud. A control system, no matter how well designed and operated, can provide only reasonable, not absolute, assurance that the control system’s objectives will be met. 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0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4"/>
          <w:szCs w:val="14"/>
          <w:color w:val="auto"/>
        </w:rPr>
        <w:t>ANAGEMENT</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A</w:t>
      </w:r>
      <w:r>
        <w:rPr>
          <w:rFonts w:ascii="Arial" w:cs="Arial" w:eastAsia="Arial" w:hAnsi="Arial"/>
          <w:sz w:val="14"/>
          <w:szCs w:val="14"/>
          <w:color w:val="auto"/>
        </w:rPr>
        <w:t>NNUAL</w:t>
      </w:r>
      <w:r>
        <w:rPr>
          <w:rFonts w:ascii="Arial" w:cs="Arial" w:eastAsia="Arial" w:hAnsi="Arial"/>
          <w:sz w:val="18"/>
          <w:szCs w:val="18"/>
          <w:color w:val="auto"/>
        </w:rPr>
        <w:t xml:space="preserve"> R</w:t>
      </w:r>
      <w:r>
        <w:rPr>
          <w:rFonts w:ascii="Arial" w:cs="Arial" w:eastAsia="Arial" w:hAnsi="Arial"/>
          <w:sz w:val="14"/>
          <w:szCs w:val="14"/>
          <w:color w:val="auto"/>
        </w:rPr>
        <w:t>EPORT ON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Under the supervision of the Chief Executive Officer and Chief Financial Officer, management conducted an assessment of the effectiveness of our internal control over financial reporting as of June 30, 2015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published by the Committee of Sponsoring Organizations of the Treadway Commission. As a result of this assessment, management concluded that our internal control over financial reporting was effective as of June 30, 2015. The effectiveness of our internal control over financial reporting as of June 30, 2015 has been audited by KPMG LLP, an independent registered public accounting firm, as stated in its report.</w:t>
      </w:r>
    </w:p>
    <w:p>
      <w:pPr>
        <w:spacing w:after="0" w:line="19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HANGES IN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fourth quarter of fiscal 2015 identified in connection with our Chief Executive Officer’s and Chief Financial Officer’s evaluation that have materially affected, or are reasonably likely to materially affect, our internal control over financial reporting.</w:t>
      </w:r>
    </w:p>
    <w:p>
      <w:pPr>
        <w:spacing w:after="0" w:line="15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our 2015 Annual Meeting of Shareholders (the “Shareholders Meeting”), except that information required by this item concerning our executive officers appears in Part I, Item 4.1. of this Annual Report on Form 10-K.</w:t>
      </w:r>
    </w:p>
    <w:p>
      <w:pPr>
        <w:spacing w:after="0" w:line="150"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the Shareholders Meeting.</w:t>
      </w:r>
    </w:p>
    <w:p>
      <w:pPr>
        <w:spacing w:after="0" w:line="167"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16" w:lineRule="exact"/>
        <w:rPr>
          <w:sz w:val="20"/>
          <w:szCs w:val="20"/>
          <w:color w:val="auto"/>
        </w:rPr>
      </w:pPr>
    </w:p>
    <w:p>
      <w:pPr>
        <w:ind w:left="860" w:hanging="852"/>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STATEMENTS, SCHEDULES AND EXHIBITS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financial statements, schedule, and exhibits listed below are included in or incorporated by reference as part of this report:</w:t>
      </w:r>
    </w:p>
    <w:p>
      <w:pPr>
        <w:spacing w:after="0" w:line="2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Consolidated Balance Sheets as of June 30, 2015 and 2014</w:t>
      </w:r>
    </w:p>
    <w:p>
      <w:pPr>
        <w:spacing w:after="0" w:line="9" w:lineRule="exact"/>
        <w:rPr>
          <w:sz w:val="20"/>
          <w:szCs w:val="20"/>
          <w:color w:val="auto"/>
        </w:rPr>
      </w:pPr>
    </w:p>
    <w:p>
      <w:pPr>
        <w:ind w:left="500" w:right="1940"/>
        <w:spacing w:after="0" w:line="265" w:lineRule="auto"/>
        <w:rPr>
          <w:sz w:val="20"/>
          <w:szCs w:val="20"/>
          <w:color w:val="auto"/>
        </w:rPr>
      </w:pPr>
      <w:r>
        <w:rPr>
          <w:rFonts w:ascii="Arial" w:cs="Arial" w:eastAsia="Arial" w:hAnsi="Arial"/>
          <w:sz w:val="17"/>
          <w:szCs w:val="17"/>
          <w:color w:val="auto"/>
        </w:rPr>
        <w:t>Consolidated Statements of Operations and Comprehensive Income for the fiscal years ended June 30, 2015, 2014, and 2013 Consolidated Statements of Shareholders’ Equity for the fiscal years ended June 30, 2015, 2014, and 2013</w:t>
      </w:r>
    </w:p>
    <w:p>
      <w:pPr>
        <w:ind w:left="500" w:right="4380"/>
        <w:spacing w:after="0" w:line="250" w:lineRule="auto"/>
        <w:rPr>
          <w:sz w:val="20"/>
          <w:szCs w:val="20"/>
          <w:color w:val="auto"/>
        </w:rPr>
      </w:pPr>
      <w:r>
        <w:rPr>
          <w:rFonts w:ascii="Arial" w:cs="Arial" w:eastAsia="Arial" w:hAnsi="Arial"/>
          <w:sz w:val="18"/>
          <w:szCs w:val="18"/>
          <w:color w:val="auto"/>
        </w:rPr>
        <w:t>Consolidated Statements of Cash Flows for the years ended June 30, 2015, 2014, and 2013 Notes to Consolidated Financial Statements</w:t>
      </w:r>
    </w:p>
    <w:p>
      <w:pPr>
        <w:spacing w:after="0" w:line="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Valuation and Qualifying Accounts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2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SYSTEMS,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FISCAL YEARS ENDED JUNE 30,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Allowance for Doubtful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AT</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WRITE-</w:t>
            </w: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BEGINNING</w:t>
            </w:r>
          </w:p>
        </w:tc>
        <w:tc>
          <w:tcPr>
            <w:tcW w:w="320" w:type="dxa"/>
            <w:vAlign w:val="bottom"/>
          </w:tcPr>
          <w:p>
            <w:pPr>
              <w:spacing w:after="0"/>
              <w:rPr>
                <w:sz w:val="12"/>
                <w:szCs w:val="12"/>
                <w:color w:val="auto"/>
              </w:rPr>
            </w:pPr>
          </w:p>
        </w:tc>
        <w:tc>
          <w:tcPr>
            <w:tcW w:w="13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2"/>
                <w:szCs w:val="12"/>
                <w:color w:val="auto"/>
              </w:rPr>
            </w:pPr>
          </w:p>
        </w:tc>
        <w:tc>
          <w:tcPr>
            <w:tcW w:w="128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rPr>
              <w:t>REVERSALS</w:t>
            </w: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OF PERIOD</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OFFS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540" w:type="dxa"/>
            <w:vAlign w:val="bottom"/>
          </w:tcPr>
          <w:p>
            <w:pPr>
              <w:jc w:val="right"/>
              <w:ind w:right="3050"/>
              <w:spacing w:after="0"/>
              <w:rPr>
                <w:sz w:val="20"/>
                <w:szCs w:val="20"/>
                <w:color w:val="auto"/>
              </w:rPr>
            </w:pPr>
            <w:r>
              <w:rPr>
                <w:rFonts w:ascii="Arial" w:cs="Arial" w:eastAsia="Arial" w:hAnsi="Arial"/>
                <w:sz w:val="18"/>
                <w:szCs w:val="18"/>
                <w:color w:val="auto"/>
                <w:w w:val="94"/>
              </w:rPr>
              <w:t>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60"/>
              <w:spacing w:after="0"/>
              <w:rPr>
                <w:sz w:val="20"/>
                <w:szCs w:val="20"/>
                <w:color w:val="auto"/>
              </w:rPr>
            </w:pPr>
            <w:r>
              <w:rPr>
                <w:rFonts w:ascii="Arial" w:cs="Arial" w:eastAsia="Arial" w:hAnsi="Arial"/>
                <w:sz w:val="18"/>
                <w:szCs w:val="18"/>
                <w:color w:val="auto"/>
              </w:rPr>
              <w:t>33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133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118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gridSpan w:val="5"/>
          </w:tcPr>
          <w:p>
            <w:pPr>
              <w:jc w:val="right"/>
              <w:ind w:right="958"/>
              <w:spacing w:after="0"/>
              <w:rPr>
                <w:sz w:val="20"/>
                <w:szCs w:val="20"/>
                <w:color w:val="auto"/>
              </w:rPr>
            </w:pPr>
            <w:r>
              <w:rPr>
                <w:rFonts w:ascii="Arial" w:cs="Arial" w:eastAsia="Arial" w:hAnsi="Arial"/>
                <w:sz w:val="18"/>
                <w:szCs w:val="18"/>
                <w:b w:val="1"/>
                <w:bCs w:val="1"/>
                <w:color w:val="auto"/>
                <w:w w:val="99"/>
              </w:rPr>
              <w:t>Deferred Tax Asset Valuation Allowance</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24"/>
                <w:szCs w:val="24"/>
                <w:color w:val="auto"/>
              </w:rPr>
            </w:pPr>
          </w:p>
        </w:tc>
        <w:tc>
          <w:tcPr>
            <w:tcW w:w="13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rPr>
              <w:t>CHARGED</w:t>
            </w:r>
          </w:p>
        </w:tc>
        <w:tc>
          <w:tcPr>
            <w:tcW w:w="300" w:type="dxa"/>
            <w:vAlign w:val="bottom"/>
          </w:tcPr>
          <w:p>
            <w:pPr>
              <w:spacing w:after="0"/>
              <w:rPr>
                <w:sz w:val="24"/>
                <w:szCs w:val="24"/>
                <w:color w:val="auto"/>
              </w:rPr>
            </w:pPr>
          </w:p>
        </w:tc>
        <w:tc>
          <w:tcPr>
            <w:tcW w:w="128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rPr>
              <w:t>CHARGED</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AT</w:t>
            </w:r>
          </w:p>
        </w:tc>
        <w:tc>
          <w:tcPr>
            <w:tcW w:w="3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rPr>
              <w:t>BEGINNING</w:t>
            </w:r>
          </w:p>
        </w:tc>
        <w:tc>
          <w:tcPr>
            <w:tcW w:w="320" w:type="dxa"/>
            <w:vAlign w:val="bottom"/>
          </w:tcPr>
          <w:p>
            <w:pPr>
              <w:spacing w:after="0"/>
              <w:rPr>
                <w:sz w:val="12"/>
                <w:szCs w:val="12"/>
                <w:color w:val="auto"/>
              </w:rPr>
            </w:pPr>
          </w:p>
        </w:tc>
        <w:tc>
          <w:tcPr>
            <w:tcW w:w="13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rPr>
              <w:t>TO COSTS &amp;</w:t>
            </w:r>
          </w:p>
        </w:tc>
        <w:tc>
          <w:tcPr>
            <w:tcW w:w="300" w:type="dxa"/>
            <w:vAlign w:val="bottom"/>
          </w:tcPr>
          <w:p>
            <w:pPr>
              <w:spacing w:after="0"/>
              <w:rPr>
                <w:sz w:val="12"/>
                <w:szCs w:val="12"/>
                <w:color w:val="auto"/>
              </w:rPr>
            </w:pPr>
          </w:p>
        </w:tc>
        <w:tc>
          <w:tcPr>
            <w:tcW w:w="12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rPr>
              <w:t>TO OTHER</w:t>
            </w:r>
          </w:p>
        </w:tc>
        <w:tc>
          <w:tcPr>
            <w:tcW w:w="280" w:type="dxa"/>
            <w:vAlign w:val="bottom"/>
          </w:tcPr>
          <w:p>
            <w:pPr>
              <w:spacing w:after="0"/>
              <w:rPr>
                <w:sz w:val="12"/>
                <w:szCs w:val="12"/>
                <w:color w:val="auto"/>
              </w:rPr>
            </w:pPr>
          </w:p>
        </w:tc>
        <w:tc>
          <w:tcPr>
            <w:tcW w:w="13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2"/>
                <w:szCs w:val="12"/>
                <w:color w:val="auto"/>
              </w:rPr>
            </w:pPr>
          </w:p>
        </w:tc>
        <w:tc>
          <w:tcPr>
            <w:tcW w:w="12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OF PERIOD</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7"/>
              </w:rPr>
              <w:t>EXPENSES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ACCOUNTS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jc w:val="right"/>
              <w:ind w:right="3050"/>
              <w:spacing w:after="0"/>
              <w:rPr>
                <w:sz w:val="20"/>
                <w:szCs w:val="20"/>
                <w:color w:val="auto"/>
              </w:rPr>
            </w:pPr>
            <w:r>
              <w:rPr>
                <w:rFonts w:ascii="Arial" w:cs="Arial" w:eastAsia="Arial" w:hAnsi="Arial"/>
                <w:sz w:val="18"/>
                <w:szCs w:val="18"/>
                <w:color w:val="auto"/>
                <w:w w:val="94"/>
              </w:rPr>
              <w:t>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10,844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8,020</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18,864</w:t>
            </w:r>
          </w:p>
        </w:tc>
        <w:tc>
          <w:tcPr>
            <w:tcW w:w="0" w:type="dxa"/>
            <w:vAlign w:val="bottom"/>
          </w:tcPr>
          <w:p>
            <w:pPr>
              <w:spacing w:after="0"/>
              <w:rPr>
                <w:sz w:val="1"/>
                <w:szCs w:val="1"/>
                <w:color w:val="auto"/>
              </w:rPr>
            </w:pPr>
          </w:p>
        </w:tc>
      </w:tr>
      <w:tr>
        <w:trPr>
          <w:trHeight w:val="243"/>
        </w:trPr>
        <w:tc>
          <w:tcPr>
            <w:tcW w:w="3540" w:type="dxa"/>
            <w:vAlign w:val="bottom"/>
          </w:tcPr>
          <w:p>
            <w:pPr>
              <w:jc w:val="right"/>
              <w:ind w:right="3050"/>
              <w:spacing w:after="0"/>
              <w:rPr>
                <w:sz w:val="20"/>
                <w:szCs w:val="20"/>
                <w:color w:val="auto"/>
              </w:rPr>
            </w:pPr>
            <w:r>
              <w:rPr>
                <w:rFonts w:ascii="Arial" w:cs="Arial" w:eastAsia="Arial" w:hAnsi="Arial"/>
                <w:sz w:val="18"/>
                <w:szCs w:val="18"/>
                <w:color w:val="auto"/>
                <w:w w:val="94"/>
              </w:rPr>
              <w:t>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60"/>
              <w:spacing w:after="0"/>
              <w:rPr>
                <w:sz w:val="20"/>
                <w:szCs w:val="20"/>
                <w:color w:val="auto"/>
              </w:rPr>
            </w:pPr>
            <w:r>
              <w:rPr>
                <w:rFonts w:ascii="Arial" w:cs="Arial" w:eastAsia="Arial" w:hAnsi="Arial"/>
                <w:sz w:val="18"/>
                <w:szCs w:val="18"/>
                <w:color w:val="auto"/>
              </w:rPr>
              <w:t>9,032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1,812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10,844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jc w:val="right"/>
              <w:ind w:right="3050"/>
              <w:spacing w:after="0"/>
              <w:rPr>
                <w:sz w:val="20"/>
                <w:szCs w:val="20"/>
                <w:color w:val="auto"/>
              </w:rPr>
            </w:pPr>
            <w:r>
              <w:rPr>
                <w:rFonts w:ascii="Arial" w:cs="Arial" w:eastAsia="Arial" w:hAnsi="Arial"/>
                <w:sz w:val="18"/>
                <w:szCs w:val="18"/>
                <w:color w:val="auto"/>
                <w:w w:val="94"/>
              </w:rPr>
              <w:t>2013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8,682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Exhibits required by Item 601 of Regulation S-K are listed in the Exhibit Index on page 77, which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Chelmsford, Massachusetts, on August 13,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500"/>
        <w:spacing w:after="0"/>
        <w:tabs>
          <w:tab w:leader="none" w:pos="6840" w:val="left"/>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GERALD M. HAINES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48"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Gerald M. Haines II</w:t>
      </w:r>
    </w:p>
    <w:p>
      <w:pPr>
        <w:jc w:val="center"/>
        <w:ind w:left="4920"/>
        <w:spacing w:after="0" w:line="226" w:lineRule="auto"/>
        <w:rPr>
          <w:sz w:val="20"/>
          <w:szCs w:val="20"/>
          <w:color w:val="auto"/>
        </w:rPr>
      </w:pPr>
      <w:r>
        <w:rPr>
          <w:rFonts w:ascii="Arial" w:cs="Arial" w:eastAsia="Arial" w:hAnsi="Arial"/>
          <w:sz w:val="14"/>
          <w:szCs w:val="14"/>
          <w:b w:val="1"/>
          <w:bCs w:val="1"/>
          <w:color w:val="auto"/>
        </w:rPr>
        <w:t>EXECUTIVE VICE PRESIDENT, CHIEF FINANCIAL OFFICER, AND TREASURER</w:t>
      </w:r>
    </w:p>
    <w:p>
      <w:pPr>
        <w:spacing w:after="0" w:line="1"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[PRINCIPAL FINANCIAL OFFICER]</w:t>
      </w:r>
    </w:p>
    <w:p>
      <w:pPr>
        <w:spacing w:after="0" w:line="16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2"/>
              </w:rPr>
              <w:t>Signature</w:t>
            </w:r>
          </w:p>
        </w:tc>
        <w:tc>
          <w:tcPr>
            <w:tcW w:w="218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Title(s)</w:t>
            </w:r>
          </w:p>
        </w:tc>
        <w:tc>
          <w:tcPr>
            <w:tcW w:w="920" w:type="dxa"/>
            <w:vAlign w:val="bottom"/>
          </w:tcPr>
          <w:p>
            <w:pPr>
              <w:spacing w:after="0"/>
              <w:rPr>
                <w:sz w:val="14"/>
                <w:szCs w:val="1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49"/>
        </w:trPr>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Director (principal</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30"/>
        </w:trPr>
        <w:tc>
          <w:tcPr>
            <w:tcW w:w="1720" w:type="dxa"/>
            <w:vAlign w:val="bottom"/>
            <w:gridSpan w:val="2"/>
          </w:tcPr>
          <w:p>
            <w:pPr>
              <w:ind w:left="1540"/>
              <w:spacing w:after="0"/>
              <w:rPr>
                <w:sz w:val="20"/>
                <w:szCs w:val="20"/>
                <w:color w:val="auto"/>
              </w:rPr>
            </w:pPr>
            <w:r>
              <w:rPr>
                <w:rFonts w:ascii="Arial" w:cs="Arial" w:eastAsia="Arial" w:hAnsi="Arial"/>
                <w:sz w:val="18"/>
                <w:szCs w:val="18"/>
                <w:color w:val="auto"/>
                <w:w w:val="83"/>
              </w:rPr>
              <w:t>/s/</w:t>
            </w:r>
          </w:p>
        </w:tc>
        <w:tc>
          <w:tcPr>
            <w:tcW w:w="2800" w:type="dxa"/>
            <w:vAlign w:val="bottom"/>
            <w:gridSpan w:val="3"/>
          </w:tcPr>
          <w:p>
            <w:pPr>
              <w:jc w:val="center"/>
              <w:ind w:right="13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executive officer)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13, 2015</w:t>
            </w:r>
          </w:p>
        </w:tc>
      </w:tr>
      <w:tr>
        <w:trPr>
          <w:trHeight w:val="27"/>
        </w:trPr>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Mark Aslett</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Chief Financial Officer, and</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580" w:type="dxa"/>
            <w:vAlign w:val="bottom"/>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gridSpan w:val="4"/>
          </w:tcPr>
          <w:p>
            <w:pPr>
              <w:ind w:left="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w:t>
            </w:r>
            <w:r>
              <w:rPr>
                <w:rFonts w:ascii="Arial" w:cs="Arial" w:eastAsia="Arial" w:hAnsi="Arial"/>
                <w:sz w:val="18"/>
                <w:szCs w:val="18"/>
                <w:color w:val="auto"/>
              </w:rPr>
              <w:t xml:space="preserve"> II</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Treasurer (principal financial officer)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13, 2015</w:t>
            </w:r>
          </w:p>
        </w:tc>
      </w:tr>
      <w:tr>
        <w:trPr>
          <w:trHeight w:val="27"/>
        </w:trPr>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b w:val="1"/>
                <w:bCs w:val="1"/>
                <w:color w:val="auto"/>
              </w:rPr>
              <w:t>Gerald M. Haines II</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Vice President, Controller, and Chief Accounting Officer</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580" w:type="dxa"/>
            <w:vAlign w:val="bottom"/>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gridSpan w:val="4"/>
          </w:tcPr>
          <w:p>
            <w:pPr>
              <w:ind w:left="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HARLES</w:t>
            </w:r>
            <w:r>
              <w:rPr>
                <w:rFonts w:ascii="Arial" w:cs="Arial" w:eastAsia="Arial" w:hAnsi="Arial"/>
                <w:sz w:val="18"/>
                <w:szCs w:val="18"/>
                <w:color w:val="auto"/>
              </w:rPr>
              <w:t xml:space="preserve"> A. S</w:t>
            </w:r>
            <w:r>
              <w:rPr>
                <w:rFonts w:ascii="Arial" w:cs="Arial" w:eastAsia="Arial" w:hAnsi="Arial"/>
                <w:sz w:val="14"/>
                <w:szCs w:val="14"/>
                <w:color w:val="auto"/>
              </w:rPr>
              <w:t>PEICHER</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(principal accounting officer)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13, 2015</w:t>
            </w:r>
          </w:p>
        </w:tc>
      </w:tr>
      <w:tr>
        <w:trPr>
          <w:trHeight w:val="27"/>
        </w:trPr>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b w:val="1"/>
                <w:bCs w:val="1"/>
                <w:color w:val="auto"/>
              </w:rPr>
              <w:t>Charles A. Speicher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720" w:type="dxa"/>
            <w:vAlign w:val="bottom"/>
            <w:gridSpan w:val="2"/>
          </w:tcPr>
          <w:p>
            <w:pPr>
              <w:ind w:left="15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800" w:type="dxa"/>
            <w:vAlign w:val="bottom"/>
            <w:gridSpan w:val="3"/>
          </w:tcPr>
          <w:p>
            <w:pPr>
              <w:jc w:val="center"/>
              <w:ind w:right="136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K. B</w:t>
            </w:r>
            <w:r>
              <w:rPr>
                <w:rFonts w:ascii="Arial" w:cs="Arial" w:eastAsia="Arial" w:hAnsi="Arial"/>
                <w:sz w:val="14"/>
                <w:szCs w:val="14"/>
                <w:color w:val="auto"/>
                <w:w w:val="96"/>
              </w:rPr>
              <w:t>ASS</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13, 2015</w:t>
            </w:r>
          </w:p>
        </w:tc>
      </w:tr>
      <w:tr>
        <w:trPr>
          <w:trHeight w:val="27"/>
        </w:trPr>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8"/>
              </w:rPr>
              <w:t>James K. Bass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580" w:type="dxa"/>
            <w:vAlign w:val="bottom"/>
          </w:tcPr>
          <w:p>
            <w:pPr>
              <w:ind w:left="13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40" w:type="dxa"/>
            <w:vAlign w:val="bottom"/>
          </w:tcPr>
          <w:p>
            <w:pPr>
              <w:spacing w:after="0"/>
              <w:rPr>
                <w:sz w:val="24"/>
                <w:szCs w:val="24"/>
                <w:color w:val="auto"/>
              </w:rPr>
            </w:pPr>
          </w:p>
        </w:tc>
        <w:tc>
          <w:tcPr>
            <w:tcW w:w="2800" w:type="dxa"/>
            <w:vAlign w:val="bottom"/>
            <w:gridSpan w:val="3"/>
          </w:tcPr>
          <w:p>
            <w:pPr>
              <w:jc w:val="center"/>
              <w:ind w:right="13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S. N</w:t>
            </w:r>
            <w:r>
              <w:rPr>
                <w:rFonts w:ascii="Arial" w:cs="Arial" w:eastAsia="Arial" w:hAnsi="Arial"/>
                <w:sz w:val="14"/>
                <w:szCs w:val="14"/>
                <w:color w:val="auto"/>
              </w:rPr>
              <w:t>EWMAN</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13, 2015</w:t>
            </w:r>
          </w:p>
        </w:tc>
      </w:tr>
      <w:tr>
        <w:trPr>
          <w:trHeight w:val="27"/>
        </w:trPr>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7"/>
              </w:rPr>
              <w:t>Mark S. Newman</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58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gridSpan w:val="4"/>
          </w:tcPr>
          <w:p>
            <w:pPr>
              <w:ind w:left="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A. D</w:t>
            </w:r>
            <w:r>
              <w:rPr>
                <w:rFonts w:ascii="Arial" w:cs="Arial" w:eastAsia="Arial" w:hAnsi="Arial"/>
                <w:sz w:val="14"/>
                <w:szCs w:val="14"/>
                <w:color w:val="auto"/>
              </w:rPr>
              <w:t>ANIELS</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13, 2015</w:t>
            </w:r>
          </w:p>
        </w:tc>
      </w:tr>
      <w:tr>
        <w:trPr>
          <w:trHeight w:val="27"/>
        </w:trPr>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2940" w:type="dxa"/>
            <w:vAlign w:val="bottom"/>
            <w:gridSpan w:val="4"/>
          </w:tcPr>
          <w:p>
            <w:pPr>
              <w:jc w:val="center"/>
              <w:ind w:right="1580"/>
              <w:spacing w:after="0"/>
              <w:rPr>
                <w:sz w:val="20"/>
                <w:szCs w:val="20"/>
                <w:color w:val="auto"/>
              </w:rPr>
            </w:pPr>
            <w:r>
              <w:rPr>
                <w:rFonts w:ascii="Arial" w:cs="Arial" w:eastAsia="Arial" w:hAnsi="Arial"/>
                <w:sz w:val="14"/>
                <w:szCs w:val="14"/>
                <w:b w:val="1"/>
                <w:bCs w:val="1"/>
                <w:color w:val="auto"/>
                <w:w w:val="94"/>
              </w:rPr>
              <w:t>Michael A. Daniels</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580" w:type="dxa"/>
            <w:vAlign w:val="bottom"/>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gridSpan w:val="4"/>
          </w:tcPr>
          <w:p>
            <w:pPr>
              <w:jc w:val="center"/>
              <w:ind w:right="1220"/>
              <w:spacing w:after="0"/>
              <w:rPr>
                <w:sz w:val="20"/>
                <w:szCs w:val="20"/>
                <w:color w:val="auto"/>
              </w:rPr>
            </w:pPr>
            <w:r>
              <w:rPr>
                <w:rFonts w:ascii="Arial" w:cs="Arial" w:eastAsia="Arial" w:hAnsi="Arial"/>
                <w:sz w:val="18"/>
                <w:szCs w:val="18"/>
                <w:color w:val="auto"/>
                <w:w w:val="98"/>
              </w:rPr>
              <w:t>G</w:t>
            </w:r>
            <w:r>
              <w:rPr>
                <w:rFonts w:ascii="Arial" w:cs="Arial" w:eastAsia="Arial" w:hAnsi="Arial"/>
                <w:sz w:val="14"/>
                <w:szCs w:val="14"/>
                <w:color w:val="auto"/>
                <w:w w:val="98"/>
              </w:rPr>
              <w:t>EORGE</w:t>
            </w:r>
            <w:r>
              <w:rPr>
                <w:rFonts w:ascii="Arial" w:cs="Arial" w:eastAsia="Arial" w:hAnsi="Arial"/>
                <w:sz w:val="18"/>
                <w:szCs w:val="18"/>
                <w:color w:val="auto"/>
                <w:w w:val="98"/>
              </w:rPr>
              <w:t xml:space="preserve"> K. M</w:t>
            </w:r>
            <w:r>
              <w:rPr>
                <w:rFonts w:ascii="Arial" w:cs="Arial" w:eastAsia="Arial" w:hAnsi="Arial"/>
                <w:sz w:val="14"/>
                <w:szCs w:val="14"/>
                <w:color w:val="auto"/>
                <w:w w:val="98"/>
              </w:rPr>
              <w:t>UELLNER</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13, 2015</w:t>
            </w:r>
          </w:p>
        </w:tc>
      </w:tr>
      <w:tr>
        <w:trPr>
          <w:trHeight w:val="27"/>
        </w:trPr>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2940" w:type="dxa"/>
            <w:vAlign w:val="bottom"/>
            <w:gridSpan w:val="4"/>
          </w:tcPr>
          <w:p>
            <w:pPr>
              <w:ind w:left="60"/>
              <w:spacing w:after="0"/>
              <w:rPr>
                <w:sz w:val="20"/>
                <w:szCs w:val="20"/>
                <w:color w:val="auto"/>
              </w:rPr>
            </w:pPr>
            <w:r>
              <w:rPr>
                <w:rFonts w:ascii="Arial" w:cs="Arial" w:eastAsia="Arial" w:hAnsi="Arial"/>
                <w:sz w:val="14"/>
                <w:szCs w:val="14"/>
                <w:b w:val="1"/>
                <w:bCs w:val="1"/>
                <w:color w:val="auto"/>
              </w:rPr>
              <w:t>George K. Muellner</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09"/>
        </w:trPr>
        <w:tc>
          <w:tcPr>
            <w:tcW w:w="1580" w:type="dxa"/>
            <w:vAlign w:val="bottom"/>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gridSpan w:val="4"/>
          </w:tcPr>
          <w:p>
            <w:pPr>
              <w:ind w:left="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K. O’B</w:t>
            </w:r>
            <w:r>
              <w:rPr>
                <w:rFonts w:ascii="Arial" w:cs="Arial" w:eastAsia="Arial" w:hAnsi="Arial"/>
                <w:sz w:val="14"/>
                <w:szCs w:val="14"/>
                <w:color w:val="auto"/>
              </w:rPr>
              <w:t>RIEN</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13, 2015</w:t>
            </w:r>
          </w:p>
        </w:tc>
      </w:tr>
      <w:tr>
        <w:trPr>
          <w:trHeight w:val="27"/>
        </w:trPr>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84"/>
        </w:trPr>
        <w:tc>
          <w:tcPr>
            <w:tcW w:w="1580" w:type="dxa"/>
            <w:vAlign w:val="bottom"/>
          </w:tcPr>
          <w:p>
            <w:pPr>
              <w:spacing w:after="0"/>
              <w:rPr>
                <w:sz w:val="16"/>
                <w:szCs w:val="16"/>
                <w:color w:val="auto"/>
              </w:rPr>
            </w:pPr>
          </w:p>
        </w:tc>
        <w:tc>
          <w:tcPr>
            <w:tcW w:w="2940" w:type="dxa"/>
            <w:vAlign w:val="bottom"/>
            <w:gridSpan w:val="4"/>
          </w:tcPr>
          <w:p>
            <w:pPr>
              <w:ind w:left="80"/>
              <w:spacing w:after="0"/>
              <w:rPr>
                <w:sz w:val="20"/>
                <w:szCs w:val="20"/>
                <w:color w:val="auto"/>
              </w:rPr>
            </w:pPr>
            <w:r>
              <w:rPr>
                <w:rFonts w:ascii="Arial" w:cs="Arial" w:eastAsia="Arial" w:hAnsi="Arial"/>
                <w:sz w:val="14"/>
                <w:szCs w:val="14"/>
                <w:b w:val="1"/>
                <w:bCs w:val="1"/>
                <w:color w:val="auto"/>
              </w:rPr>
              <w:t>William K. O’Brien</w:t>
            </w: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5"/>
        </w:trPr>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Chairman of the Board of</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1720" w:type="dxa"/>
            <w:vAlign w:val="bottom"/>
            <w:gridSpan w:val="2"/>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00" w:type="dxa"/>
            <w:vAlign w:val="bottom"/>
            <w:gridSpan w:val="3"/>
          </w:tcPr>
          <w:p>
            <w:pPr>
              <w:jc w:val="center"/>
              <w:ind w:right="136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INCENT</w:t>
            </w:r>
            <w:r>
              <w:rPr>
                <w:rFonts w:ascii="Arial" w:cs="Arial" w:eastAsia="Arial" w:hAnsi="Arial"/>
                <w:sz w:val="18"/>
                <w:szCs w:val="18"/>
                <w:color w:val="auto"/>
              </w:rPr>
              <w:t xml:space="preserve"> V</w:t>
            </w:r>
            <w:r>
              <w:rPr>
                <w:rFonts w:ascii="Arial" w:cs="Arial" w:eastAsia="Arial" w:hAnsi="Arial"/>
                <w:sz w:val="14"/>
                <w:szCs w:val="14"/>
                <w:color w:val="auto"/>
              </w:rPr>
              <w:t>ITTO</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Directors</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August 13,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64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5"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Vincent Vitto</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860" w:type="dxa"/>
            <w:vAlign w:val="bottom"/>
          </w:tcPr>
          <w:p>
            <w:pPr>
              <w:ind w:left="150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ITEM NO.</w:t>
            </w:r>
          </w:p>
        </w:tc>
        <w:tc>
          <w:tcPr>
            <w:tcW w:w="974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6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249"/>
        </w:trPr>
        <w:tc>
          <w:tcPr>
            <w:tcW w:w="660" w:type="dxa"/>
            <w:vAlign w:val="bottom"/>
          </w:tcPr>
          <w:p>
            <w:pPr>
              <w:ind w:left="140"/>
              <w:spacing w:after="0"/>
              <w:rPr>
                <w:sz w:val="20"/>
                <w:szCs w:val="20"/>
                <w:color w:val="auto"/>
              </w:rPr>
            </w:pPr>
            <w:r>
              <w:rPr>
                <w:rFonts w:ascii="Arial" w:cs="Arial" w:eastAsia="Arial" w:hAnsi="Arial"/>
                <w:sz w:val="18"/>
                <w:szCs w:val="18"/>
                <w:color w:val="auto"/>
              </w:rPr>
              <w:t>3.1.1</w:t>
            </w:r>
          </w:p>
        </w:tc>
        <w:tc>
          <w:tcPr>
            <w:tcW w:w="94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Articles of Organization (incorporated herein by reference to Exhibit 3.1.1 of the Company’s annual report on Form 10-K for the fiscal</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3.1.2</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Articles of Amendment (incorporated herein by reference to Exhibit 3.1.2 of the Company’s annual report on Form 10-K for the fiscal</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year ended June 30, 2010)</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3.1.3</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Articles of Amendment (incorporated herein by reference to Exhibit 1 of the Company’s registration statement on Form 8-A filed on</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December 15, 2005)</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3.1.4</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8"/>
              </w:rPr>
              <w:t>Articles of Amendment (incorporated herein by reference to Exhibit 3.1 of the Company's current report on Form 8-K filed on</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November 13, 2012)</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3.1.5</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Articles of Amendment (incorporated herein by reference to Exhibit 3.1 of the Company's current report on Form 8-K filed on June 30,</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2015)</w:t>
            </w:r>
          </w:p>
        </w:tc>
        <w:tc>
          <w:tcPr>
            <w:tcW w:w="7860" w:type="dxa"/>
            <w:vAlign w:val="bottom"/>
          </w:tcPr>
          <w:p>
            <w:pPr>
              <w:spacing w:after="0"/>
              <w:rPr>
                <w:sz w:val="20"/>
                <w:szCs w:val="20"/>
                <w:color w:val="auto"/>
              </w:rPr>
            </w:pP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Bylaws, amended and restated effective as of May 4, 2011 (incorporated herein by reference to Exhibit 3.2 of the Company’s quarterly</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report on Form 10-Q for the quarter ended March 31, 2011)</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Form of Stock Certificate (incorporated herein by reference to Exhibit 4.1 of the Company’s Registration Statement on Form S-1 (File</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No. 333-41139))</w:t>
            </w:r>
          </w:p>
        </w:tc>
      </w:tr>
      <w:tr>
        <w:trPr>
          <w:trHeight w:val="256"/>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1997 Stock Option Plan, as amended and restated (incorporated herein by reference to Exhibit 10.1.1 of the Company’s annual report</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on Form 10-K for the fiscal year ended June 30, 2010)</w:t>
            </w:r>
          </w:p>
        </w:tc>
      </w:tr>
      <w:tr>
        <w:trPr>
          <w:trHeight w:val="256"/>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9740" w:type="dxa"/>
            <w:vAlign w:val="bottom"/>
            <w:gridSpan w:val="2"/>
          </w:tcPr>
          <w:p>
            <w:pPr>
              <w:spacing w:after="0"/>
              <w:rPr>
                <w:sz w:val="20"/>
                <w:szCs w:val="20"/>
                <w:color w:val="auto"/>
              </w:rPr>
            </w:pPr>
            <w:r>
              <w:rPr>
                <w:rFonts w:ascii="Arial" w:cs="Arial" w:eastAsia="Arial" w:hAnsi="Arial"/>
                <w:sz w:val="18"/>
                <w:szCs w:val="18"/>
                <w:color w:val="auto"/>
                <w:w w:val="97"/>
              </w:rPr>
              <w:t>Form of Stock Option Agreement under the 1997 Stock Option Plan (incorporated herein by reference to Exhibit 10.1.2 of the</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Company’s annual report on Form 10-K for the fiscal year ended June 30, 2010)</w:t>
            </w:r>
          </w:p>
        </w:tc>
      </w:tr>
      <w:tr>
        <w:trPr>
          <w:trHeight w:val="256"/>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Form of Restricted Stock Award Agreement under the 1997 Stock Option Plan (incorporated herein by reference to Exhibit 10.1.3 of</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the Company’s annual report on Form 10-K for the fiscal year ended June 30, 2010)</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10.2*</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1997 Employee Stock Purchase Plan, as amended and restated (incorporated herein by reference to Appendix B to the Company’s</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definitive proxy statement filed on September 19, 2011)</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10.3*</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5"/>
              </w:rPr>
              <w:t>Form of Indemnification Agreement between the Company and each of its current directors (incorporated herein by reference to</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Exhibit 10.4 of the Company’s annual report on Form 10-K for the 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Annual Executive Bonus Plan – Corporate Financial Performance (incorporated herein by reference to Appendix A to the Company’s</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definitive proxy statement filed on August 30, 2013)</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10.5*</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Annual Executive Bonus Plan – Individual Performance (incorporated herein by reference to Exhibit 10.7 of the Company’s annual</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report on Form 10-K for the fiscal year ended June 30, 2009)</w:t>
            </w:r>
          </w:p>
        </w:tc>
      </w:tr>
      <w:tr>
        <w:trPr>
          <w:trHeight w:val="256"/>
        </w:trPr>
        <w:tc>
          <w:tcPr>
            <w:tcW w:w="660" w:type="dxa"/>
            <w:vAlign w:val="bottom"/>
          </w:tcPr>
          <w:p>
            <w:pPr>
              <w:ind w:left="140"/>
              <w:spacing w:after="0"/>
              <w:rPr>
                <w:sz w:val="20"/>
                <w:szCs w:val="20"/>
                <w:color w:val="auto"/>
              </w:rPr>
            </w:pPr>
            <w:r>
              <w:rPr>
                <w:rFonts w:ascii="Arial" w:cs="Arial" w:eastAsia="Arial" w:hAnsi="Arial"/>
                <w:sz w:val="18"/>
                <w:szCs w:val="18"/>
                <w:color w:val="auto"/>
              </w:rPr>
              <w:t>10.6*</w:t>
            </w:r>
          </w:p>
        </w:tc>
        <w:tc>
          <w:tcPr>
            <w:tcW w:w="940" w:type="dxa"/>
            <w:vAlign w:val="bottom"/>
          </w:tcPr>
          <w:p>
            <w:pPr>
              <w:spacing w:after="0"/>
              <w:rPr>
                <w:sz w:val="22"/>
                <w:szCs w:val="22"/>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4"/>
              </w:rPr>
              <w:t>2005 Stock Incentive Plan, as amended and restated (incorporated herein by reference to Appendix A to the Company’s definitive</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proxy statement filed on September 5, 2014)</w:t>
            </w:r>
          </w:p>
        </w:tc>
      </w:tr>
      <w:tr>
        <w:trPr>
          <w:trHeight w:val="256"/>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10.7.1*</w:t>
            </w:r>
          </w:p>
        </w:tc>
        <w:tc>
          <w:tcPr>
            <w:tcW w:w="9740" w:type="dxa"/>
            <w:vAlign w:val="bottom"/>
            <w:gridSpan w:val="2"/>
          </w:tcPr>
          <w:p>
            <w:pPr>
              <w:spacing w:after="0"/>
              <w:rPr>
                <w:sz w:val="20"/>
                <w:szCs w:val="20"/>
                <w:color w:val="auto"/>
              </w:rPr>
            </w:pPr>
            <w:r>
              <w:rPr>
                <w:rFonts w:ascii="Arial" w:cs="Arial" w:eastAsia="Arial" w:hAnsi="Arial"/>
                <w:sz w:val="18"/>
                <w:szCs w:val="18"/>
                <w:color w:val="auto"/>
                <w:w w:val="95"/>
              </w:rPr>
              <w:t>Form of Stock Option Agreement under the 2005 Stock Incentive Plan (incorporated herein by reference to Exhibit 10.8.1 of the</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Company’s annual report on Form 10-K for the fiscal year ended June 30, 2011)</w:t>
            </w:r>
          </w:p>
        </w:tc>
      </w:tr>
      <w:tr>
        <w:trPr>
          <w:trHeight w:val="256"/>
        </w:trPr>
        <w:tc>
          <w:tcPr>
            <w:tcW w:w="1600" w:type="dxa"/>
            <w:vAlign w:val="bottom"/>
            <w:gridSpan w:val="2"/>
          </w:tcPr>
          <w:p>
            <w:pPr>
              <w:ind w:left="140"/>
              <w:spacing w:after="0"/>
              <w:rPr>
                <w:sz w:val="20"/>
                <w:szCs w:val="20"/>
                <w:color w:val="auto"/>
              </w:rPr>
            </w:pPr>
            <w:r>
              <w:rPr>
                <w:rFonts w:ascii="Arial" w:cs="Arial" w:eastAsia="Arial" w:hAnsi="Arial"/>
                <w:sz w:val="18"/>
                <w:szCs w:val="18"/>
                <w:color w:val="auto"/>
              </w:rPr>
              <w:t>10.7.2*</w:t>
            </w:r>
          </w:p>
        </w:tc>
        <w:tc>
          <w:tcPr>
            <w:tcW w:w="9740" w:type="dxa"/>
            <w:vAlign w:val="bottom"/>
            <w:gridSpan w:val="2"/>
          </w:tcPr>
          <w:p>
            <w:pPr>
              <w:spacing w:after="0"/>
              <w:rPr>
                <w:sz w:val="20"/>
                <w:szCs w:val="20"/>
                <w:color w:val="auto"/>
              </w:rPr>
            </w:pPr>
            <w:r>
              <w:rPr>
                <w:rFonts w:ascii="Arial" w:cs="Arial" w:eastAsia="Arial" w:hAnsi="Arial"/>
                <w:sz w:val="18"/>
                <w:szCs w:val="18"/>
                <w:color w:val="auto"/>
                <w:w w:val="91"/>
              </w:rPr>
              <w:t>Form of Restricted Stock Award Agreement under the 2005 Stock Incentive Plan (incorporated herein by reference to Exhibit 10.8.2 of</w:t>
            </w:r>
          </w:p>
        </w:tc>
      </w:tr>
      <w:tr>
        <w:trPr>
          <w:trHeight w:val="230"/>
        </w:trPr>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the Company’s annual report on Form 10-K for the fiscal year ended June 30, 2011)</w:t>
            </w:r>
          </w:p>
        </w:tc>
      </w:tr>
      <w:tr>
        <w:trPr>
          <w:trHeight w:val="486"/>
        </w:trPr>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740" w:type="dxa"/>
            <w:vAlign w:val="bottom"/>
            <w:gridSpan w:val="2"/>
          </w:tcPr>
          <w:p>
            <w:pPr>
              <w:ind w:left="398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380"/>
          </w:cols>
          <w:pgMar w:left="240" w:top="125"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4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10200" w:type="dxa"/>
            <w:vAlign w:val="bottom"/>
          </w:tcPr>
          <w:p>
            <w:pPr>
              <w:ind w:left="460"/>
              <w:spacing w:after="0"/>
              <w:rPr>
                <w:sz w:val="20"/>
                <w:szCs w:val="20"/>
                <w:color w:val="auto"/>
              </w:rPr>
            </w:pPr>
            <w:r>
              <w:rPr>
                <w:rFonts w:ascii="Arial" w:cs="Arial" w:eastAsia="Arial" w:hAnsi="Arial"/>
                <w:sz w:val="14"/>
                <w:szCs w:val="14"/>
                <w:b w:val="1"/>
                <w:bCs w:val="1"/>
                <w:color w:val="auto"/>
              </w:rPr>
              <w:t>DESCRIPTION OF EXHIBIT</w:t>
            </w:r>
          </w:p>
        </w:tc>
      </w:tr>
      <w:tr>
        <w:trPr>
          <w:trHeight w:val="241"/>
        </w:trPr>
        <w:tc>
          <w:tcPr>
            <w:tcW w:w="1140" w:type="dxa"/>
            <w:vAlign w:val="bottom"/>
          </w:tcPr>
          <w:p>
            <w:pPr>
              <w:spacing w:after="0"/>
              <w:rPr>
                <w:sz w:val="20"/>
                <w:szCs w:val="20"/>
                <w:color w:val="auto"/>
              </w:rPr>
            </w:pPr>
            <w:r>
              <w:rPr>
                <w:rFonts w:ascii="Arial" w:cs="Arial" w:eastAsia="Arial" w:hAnsi="Arial"/>
                <w:sz w:val="18"/>
                <w:szCs w:val="18"/>
                <w:color w:val="auto"/>
              </w:rPr>
              <w:t>10.7.3*</w:t>
            </w:r>
          </w:p>
        </w:tc>
        <w:tc>
          <w:tcPr>
            <w:tcW w:w="10200" w:type="dxa"/>
            <w:vAlign w:val="bottom"/>
          </w:tcPr>
          <w:p>
            <w:pPr>
              <w:ind w:left="460"/>
              <w:spacing w:after="0"/>
              <w:rPr>
                <w:sz w:val="20"/>
                <w:szCs w:val="20"/>
                <w:color w:val="auto"/>
              </w:rPr>
            </w:pPr>
            <w:r>
              <w:rPr>
                <w:rFonts w:ascii="Arial" w:cs="Arial" w:eastAsia="Arial" w:hAnsi="Arial"/>
                <w:sz w:val="18"/>
                <w:szCs w:val="18"/>
                <w:color w:val="auto"/>
                <w:w w:val="92"/>
              </w:rPr>
              <w:t>Form of Deferred Stock Award Agreement under the 2005 Stock Incentive Plan (incorporated herein by reference to Exhibit 10.8.3 of</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the Company’s annual report on Form 10-K for the fiscal year ended June 30, 2011)</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10.7.4*</w:t>
            </w:r>
          </w:p>
        </w:tc>
        <w:tc>
          <w:tcPr>
            <w:tcW w:w="10200" w:type="dxa"/>
            <w:vAlign w:val="bottom"/>
          </w:tcPr>
          <w:p>
            <w:pPr>
              <w:ind w:left="460"/>
              <w:spacing w:after="0"/>
              <w:rPr>
                <w:sz w:val="20"/>
                <w:szCs w:val="20"/>
                <w:color w:val="auto"/>
              </w:rPr>
            </w:pPr>
            <w:r>
              <w:rPr>
                <w:rFonts w:ascii="Arial" w:cs="Arial" w:eastAsia="Arial" w:hAnsi="Arial"/>
                <w:sz w:val="18"/>
                <w:szCs w:val="18"/>
                <w:color w:val="auto"/>
                <w:w w:val="90"/>
              </w:rPr>
              <w:t>Form of Stock Option Agreement for performance stock options under the 2005 Stock Incentive Plan (incorporated herein by reference</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to Exhibit 10.1 of the Company’s current report on Form 8-K filed on September 28, 2007)</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10.7.5*</w:t>
            </w:r>
          </w:p>
        </w:tc>
        <w:tc>
          <w:tcPr>
            <w:tcW w:w="10200" w:type="dxa"/>
            <w:vAlign w:val="bottom"/>
          </w:tcPr>
          <w:p>
            <w:pPr>
              <w:ind w:left="460"/>
              <w:spacing w:after="0"/>
              <w:rPr>
                <w:sz w:val="20"/>
                <w:szCs w:val="20"/>
                <w:color w:val="auto"/>
              </w:rPr>
            </w:pPr>
            <w:r>
              <w:rPr>
                <w:rFonts w:ascii="Arial" w:cs="Arial" w:eastAsia="Arial" w:hAnsi="Arial"/>
                <w:sz w:val="18"/>
                <w:szCs w:val="18"/>
                <w:color w:val="auto"/>
                <w:w w:val="97"/>
              </w:rPr>
              <w:t>Form of Amended and Restated Performance-Based Restricted Stock Award Agreement under the 2005 Stock Incentive Plan</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0"/>
              </w:rPr>
              <w:t>(incorporated herein by reference to Exhibit 10.1 of the Company's quarterly report on Form 10-Q for the quarter ended September 30,</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2014)</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10.8.1*</w:t>
            </w:r>
          </w:p>
        </w:tc>
        <w:tc>
          <w:tcPr>
            <w:tcW w:w="10200" w:type="dxa"/>
            <w:vAlign w:val="bottom"/>
          </w:tcPr>
          <w:p>
            <w:pPr>
              <w:ind w:left="460"/>
              <w:spacing w:after="0"/>
              <w:rPr>
                <w:sz w:val="20"/>
                <w:szCs w:val="20"/>
                <w:color w:val="auto"/>
              </w:rPr>
            </w:pPr>
            <w:r>
              <w:rPr>
                <w:rFonts w:ascii="Arial" w:cs="Arial" w:eastAsia="Arial" w:hAnsi="Arial"/>
                <w:sz w:val="18"/>
                <w:szCs w:val="18"/>
                <w:color w:val="auto"/>
                <w:w w:val="96"/>
              </w:rPr>
              <w:t>Form of Change in Control Severance Agreement between the Company and Mark Aslett (incorporated herein by reference to</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Exhibit 10.9.1 of the Company’s annual report on Form 10-K for the fiscal year ended June 30, 2011)</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10.8.2*</w:t>
            </w: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Form of Change in Control Severance Agreement between the Company and Non-CEO Executives (incorporated herein by reference</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to Exhibit 10.9.2 of the Company’s annual report on Form 10-K for the fiscal year ended June 30, 2011)</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0200" w:type="dxa"/>
            <w:vAlign w:val="bottom"/>
          </w:tcPr>
          <w:p>
            <w:pPr>
              <w:ind w:left="460"/>
              <w:spacing w:after="0"/>
              <w:rPr>
                <w:sz w:val="20"/>
                <w:szCs w:val="20"/>
                <w:color w:val="auto"/>
              </w:rPr>
            </w:pPr>
            <w:r>
              <w:rPr>
                <w:rFonts w:ascii="Arial" w:cs="Arial" w:eastAsia="Arial" w:hAnsi="Arial"/>
                <w:sz w:val="18"/>
                <w:szCs w:val="18"/>
                <w:color w:val="auto"/>
                <w:w w:val="92"/>
              </w:rPr>
              <w:t>Compensation Policy for Non-Employee Directors (incorporated herein by reference to Exhibit 10.10 of the Company's annual report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on Form 10-K for the fiscal year ended June 30, 2012)</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10.10.1*</w:t>
            </w:r>
          </w:p>
        </w:tc>
        <w:tc>
          <w:tcPr>
            <w:tcW w:w="10200" w:type="dxa"/>
            <w:vAlign w:val="bottom"/>
          </w:tcPr>
          <w:p>
            <w:pPr>
              <w:ind w:left="460"/>
              <w:spacing w:after="0"/>
              <w:rPr>
                <w:sz w:val="20"/>
                <w:szCs w:val="20"/>
                <w:color w:val="auto"/>
              </w:rPr>
            </w:pPr>
            <w:r>
              <w:rPr>
                <w:rFonts w:ascii="Arial" w:cs="Arial" w:eastAsia="Arial" w:hAnsi="Arial"/>
                <w:sz w:val="18"/>
                <w:szCs w:val="18"/>
                <w:color w:val="auto"/>
                <w:w w:val="94"/>
              </w:rPr>
              <w:t>Employment Agreement, dated as of November 19, 2007, by and between the Company and Mark Aslett (incorporated herein by</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reference to Exhibit 10.1 of the Company’s current report on Form 8-K filed on November 20, 2007)</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10.10.2*</w:t>
            </w:r>
          </w:p>
        </w:tc>
        <w:tc>
          <w:tcPr>
            <w:tcW w:w="10200" w:type="dxa"/>
            <w:vAlign w:val="bottom"/>
          </w:tcPr>
          <w:p>
            <w:pPr>
              <w:ind w:left="460"/>
              <w:spacing w:after="0"/>
              <w:rPr>
                <w:sz w:val="20"/>
                <w:szCs w:val="20"/>
                <w:color w:val="auto"/>
              </w:rPr>
            </w:pPr>
            <w:r>
              <w:rPr>
                <w:rFonts w:ascii="Arial" w:cs="Arial" w:eastAsia="Arial" w:hAnsi="Arial"/>
                <w:sz w:val="18"/>
                <w:szCs w:val="18"/>
                <w:color w:val="auto"/>
                <w:w w:val="97"/>
              </w:rPr>
              <w:t>First Amendment to Employment Agreement, dated as of December 20, 2008, by and between the Company and Mark Aslett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(incorporated by reference to Exhibit 10.2 of the Company’s quarterly report on Form 10-Q for the quarter ended December 31, 2008)</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10.10.3*</w:t>
            </w:r>
          </w:p>
        </w:tc>
        <w:tc>
          <w:tcPr>
            <w:tcW w:w="10200" w:type="dxa"/>
            <w:vAlign w:val="bottom"/>
          </w:tcPr>
          <w:p>
            <w:pPr>
              <w:ind w:left="460"/>
              <w:spacing w:after="0"/>
              <w:rPr>
                <w:sz w:val="20"/>
                <w:szCs w:val="20"/>
                <w:color w:val="auto"/>
              </w:rPr>
            </w:pPr>
            <w:r>
              <w:rPr>
                <w:rFonts w:ascii="Arial" w:cs="Arial" w:eastAsia="Arial" w:hAnsi="Arial"/>
                <w:sz w:val="18"/>
                <w:szCs w:val="18"/>
                <w:color w:val="auto"/>
                <w:w w:val="94"/>
              </w:rPr>
              <w:t>Second Amendment to Employment Agreement, dated as of September 30, 2009, by and between the Company and Mark Aslett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(incorporated by reference to Exhibit 10.1 of the Company’s quarterly report on Form 10-Q for the quarter ended September 30, 2009)</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10200" w:type="dxa"/>
            <w:vAlign w:val="bottom"/>
          </w:tcPr>
          <w:p>
            <w:pPr>
              <w:ind w:left="460"/>
              <w:spacing w:after="0"/>
              <w:rPr>
                <w:sz w:val="20"/>
                <w:szCs w:val="20"/>
                <w:color w:val="auto"/>
              </w:rPr>
            </w:pPr>
            <w:r>
              <w:rPr>
                <w:rFonts w:ascii="Arial" w:cs="Arial" w:eastAsia="Arial" w:hAnsi="Arial"/>
                <w:sz w:val="18"/>
                <w:szCs w:val="18"/>
                <w:color w:val="auto"/>
                <w:w w:val="97"/>
              </w:rPr>
              <w:t>Agreement, dated March 1, 2010, by and between the Company and Gerald M. Haines II (incorporated herein by reference to</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Exhibit 10.13 of the Company’s annual report on Form 10-K for the fiscal year ended June 30, 2011)</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10.12.1*</w:t>
            </w:r>
          </w:p>
        </w:tc>
        <w:tc>
          <w:tcPr>
            <w:tcW w:w="10200" w:type="dxa"/>
            <w:vAlign w:val="bottom"/>
          </w:tcPr>
          <w:p>
            <w:pPr>
              <w:ind w:left="460"/>
              <w:spacing w:after="0"/>
              <w:rPr>
                <w:sz w:val="20"/>
                <w:szCs w:val="20"/>
                <w:color w:val="auto"/>
              </w:rPr>
            </w:pPr>
            <w:r>
              <w:rPr>
                <w:rFonts w:ascii="Arial" w:cs="Arial" w:eastAsia="Arial" w:hAnsi="Arial"/>
                <w:sz w:val="18"/>
                <w:szCs w:val="18"/>
                <w:color w:val="auto"/>
                <w:w w:val="95"/>
              </w:rPr>
              <w:t>Agreement, dated November 26, 2011, by and between the Company and Kevin M. Bisson (incorporated herein by reference to</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Exhibit 10.1 of the Company’s current report on Form 8-K filed on January 17, 2012)</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10200" w:type="dxa"/>
            <w:vAlign w:val="bottom"/>
          </w:tcPr>
          <w:p>
            <w:pPr>
              <w:ind w:left="460"/>
              <w:spacing w:after="0"/>
              <w:rPr>
                <w:sz w:val="20"/>
                <w:szCs w:val="20"/>
                <w:color w:val="auto"/>
              </w:rPr>
            </w:pPr>
            <w:r>
              <w:rPr>
                <w:rFonts w:ascii="Arial" w:cs="Arial" w:eastAsia="Arial" w:hAnsi="Arial"/>
                <w:sz w:val="18"/>
                <w:szCs w:val="18"/>
                <w:color w:val="auto"/>
                <w:w w:val="94"/>
              </w:rPr>
              <w:t>Stock Purchase Agreement by and among the Company, LNX Corporation, and the Holders of the Securities of LNX Corporation</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4"/>
              </w:rPr>
              <w:t>(incorporated herein by reference to Exhibit 10.1 of the Company’s quarterly report on Form 10-Q for the quarter ended March 31,</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2011)</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Agreement and Plan of Merger dated as of December 22, 2011 by and among the Company, King Merger, Inc., KOR Electronics, and</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the Securityholders’ Representative (incorporated by reference to Exhibit 10.1 of the Company’s quarterly report on Form 10-Q for the</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quarter ended December 31, 2011)</w:t>
            </w:r>
          </w:p>
        </w:tc>
      </w:tr>
      <w:tr>
        <w:trPr>
          <w:trHeight w:val="486"/>
        </w:trPr>
        <w:tc>
          <w:tcPr>
            <w:tcW w:w="1140" w:type="dxa"/>
            <w:vAlign w:val="bottom"/>
          </w:tcPr>
          <w:p>
            <w:pPr>
              <w:spacing w:after="0"/>
              <w:rPr>
                <w:sz w:val="24"/>
                <w:szCs w:val="24"/>
                <w:color w:val="auto"/>
              </w:rPr>
            </w:pPr>
          </w:p>
        </w:tc>
        <w:tc>
          <w:tcPr>
            <w:tcW w:w="10200" w:type="dxa"/>
            <w:vAlign w:val="bottom"/>
          </w:tcPr>
          <w:p>
            <w:pPr>
              <w:ind w:left="44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380"/>
          </w:cols>
          <w:pgMar w:left="240" w:top="125"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4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10200" w:type="dxa"/>
            <w:vAlign w:val="bottom"/>
          </w:tcPr>
          <w:p>
            <w:pPr>
              <w:ind w:left="460"/>
              <w:spacing w:after="0"/>
              <w:rPr>
                <w:sz w:val="20"/>
                <w:szCs w:val="20"/>
                <w:color w:val="auto"/>
              </w:rPr>
            </w:pPr>
            <w:r>
              <w:rPr>
                <w:rFonts w:ascii="Arial" w:cs="Arial" w:eastAsia="Arial" w:hAnsi="Arial"/>
                <w:sz w:val="14"/>
                <w:szCs w:val="14"/>
                <w:b w:val="1"/>
                <w:bCs w:val="1"/>
                <w:color w:val="auto"/>
              </w:rPr>
              <w:t>DESCRIPTION OF EXHIBIT</w:t>
            </w:r>
          </w:p>
        </w:tc>
      </w:tr>
      <w:tr>
        <w:trPr>
          <w:trHeight w:val="241"/>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Agreement and Plan of Merger by and among the Company, Wildcat Merger Sub Inc., and Micronetics, Inc. dated as of June 8, 2012</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(incorporated herein by reference to Exhibit 10.1 of the Company’s current report on Form 8-K filed on June 11, 2012)</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10200" w:type="dxa"/>
            <w:vAlign w:val="bottom"/>
          </w:tcPr>
          <w:p>
            <w:pPr>
              <w:ind w:left="460"/>
              <w:spacing w:after="0"/>
              <w:rPr>
                <w:sz w:val="20"/>
                <w:szCs w:val="20"/>
                <w:color w:val="auto"/>
              </w:rPr>
            </w:pPr>
            <w:r>
              <w:rPr>
                <w:rFonts w:ascii="Arial" w:cs="Arial" w:eastAsia="Arial" w:hAnsi="Arial"/>
                <w:sz w:val="18"/>
                <w:szCs w:val="18"/>
                <w:color w:val="auto"/>
                <w:w w:val="91"/>
              </w:rPr>
              <w:t>Micronetics, Inc. 2006 Equity Incentive Plan (incorporated herein by reference to Exhibit 99.1 to the Company’s registration statement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on Form S-8 filed on August 10, 2012)</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10200" w:type="dxa"/>
            <w:vAlign w:val="bottom"/>
          </w:tcPr>
          <w:p>
            <w:pPr>
              <w:ind w:left="460"/>
              <w:spacing w:after="0"/>
              <w:rPr>
                <w:sz w:val="20"/>
                <w:szCs w:val="20"/>
                <w:color w:val="auto"/>
              </w:rPr>
            </w:pPr>
            <w:r>
              <w:rPr>
                <w:rFonts w:ascii="Arial" w:cs="Arial" w:eastAsia="Arial" w:hAnsi="Arial"/>
                <w:sz w:val="18"/>
                <w:szCs w:val="18"/>
                <w:color w:val="auto"/>
                <w:w w:val="95"/>
              </w:rPr>
              <w:t>Credit Agreement dated as of October 12, 2012 among the Company and the lenders party thereto (incorporated by reference to</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Exhibit 10.1 of the Company's current report on Form 8-K filed on October 17, 2012)</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10200" w:type="dxa"/>
            <w:vAlign w:val="bottom"/>
          </w:tcPr>
          <w:p>
            <w:pPr>
              <w:ind w:left="460"/>
              <w:spacing w:after="0"/>
              <w:rPr>
                <w:sz w:val="20"/>
                <w:szCs w:val="20"/>
                <w:color w:val="auto"/>
              </w:rPr>
            </w:pPr>
            <w:r>
              <w:rPr>
                <w:rFonts w:ascii="Arial" w:cs="Arial" w:eastAsia="Arial" w:hAnsi="Arial"/>
                <w:sz w:val="18"/>
                <w:szCs w:val="18"/>
                <w:color w:val="auto"/>
              </w:rPr>
              <w:t>Subsidiaries of the Company</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10200" w:type="dxa"/>
            <w:vAlign w:val="bottom"/>
          </w:tcPr>
          <w:p>
            <w:pPr>
              <w:ind w:left="460"/>
              <w:spacing w:after="0"/>
              <w:rPr>
                <w:sz w:val="20"/>
                <w:szCs w:val="20"/>
                <w:color w:val="auto"/>
              </w:rPr>
            </w:pPr>
            <w:r>
              <w:rPr>
                <w:rFonts w:ascii="Arial" w:cs="Arial" w:eastAsia="Arial" w:hAnsi="Arial"/>
                <w:sz w:val="18"/>
                <w:szCs w:val="18"/>
                <w:color w:val="auto"/>
              </w:rPr>
              <w:t>Consent of KPMG LLP</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tcPr>
          <w:p>
            <w:pPr>
              <w:ind w:left="46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tcPr>
          <w:p>
            <w:pPr>
              <w:ind w:left="46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0200" w:type="dxa"/>
            <w:vAlign w:val="bottom"/>
          </w:tcPr>
          <w:p>
            <w:pPr>
              <w:ind w:left="460"/>
              <w:spacing w:after="0"/>
              <w:rPr>
                <w:sz w:val="20"/>
                <w:szCs w:val="20"/>
                <w:color w:val="auto"/>
              </w:rPr>
            </w:pPr>
            <w:r>
              <w:rPr>
                <w:rFonts w:ascii="Arial" w:cs="Arial" w:eastAsia="Arial" w:hAnsi="Arial"/>
                <w:sz w:val="18"/>
                <w:szCs w:val="18"/>
                <w:color w:val="auto"/>
                <w:w w:val="92"/>
              </w:rPr>
              <w:t>Certification of the Company’s Chief Executive Officer and Chief Financial Officer pursuant to Section 906 of the Sarbanes-Oxley Act</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of 2002</w:t>
            </w: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200" w:type="dxa"/>
            <w:vAlign w:val="bottom"/>
          </w:tcPr>
          <w:p>
            <w:pPr>
              <w:ind w:left="460"/>
              <w:spacing w:after="0"/>
              <w:rPr>
                <w:sz w:val="20"/>
                <w:szCs w:val="20"/>
                <w:color w:val="auto"/>
              </w:rPr>
            </w:pPr>
            <w:r>
              <w:rPr>
                <w:rFonts w:ascii="Arial" w:cs="Arial" w:eastAsia="Arial" w:hAnsi="Arial"/>
                <w:sz w:val="18"/>
                <w:szCs w:val="18"/>
                <w:color w:val="auto"/>
                <w:w w:val="94"/>
              </w:rPr>
              <w:t>Interactive data files pursuant to Rule 405 of Regulation S-T: (i) Consolidated Statement of Operations, (ii) Consolidated Balance</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w w:val="90"/>
              </w:rPr>
              <w:t>Sheet, (iii) Consolidated Statement of Shareholders’ Equity, (iv) Consolidated Statement of Cash Flows, and (v) Notes to Consolidated</w:t>
            </w:r>
          </w:p>
        </w:tc>
      </w:tr>
      <w:tr>
        <w:trPr>
          <w:trHeight w:val="230"/>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Arial" w:cs="Arial" w:eastAsia="Arial" w:hAnsi="Arial"/>
                <w:sz w:val="18"/>
                <w:szCs w:val="18"/>
                <w:color w:val="auto"/>
              </w:rPr>
              <w:t>financial Statements</w:t>
            </w:r>
          </w:p>
        </w:tc>
      </w:tr>
    </w:tbl>
    <w:p>
      <w:pPr>
        <w:spacing w:after="0" w:line="395" w:lineRule="exact"/>
        <w:rPr>
          <w:sz w:val="20"/>
          <w:szCs w:val="20"/>
          <w:color w:val="auto"/>
        </w:rPr>
      </w:pPr>
    </w:p>
    <w:p>
      <w:pPr>
        <w:ind w:left="960" w:hanging="925"/>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Identifies a management contract or compensatory plan or arrangement in which an executive officer or director of the Company participates.</w:t>
      </w:r>
    </w:p>
    <w:p>
      <w:pPr>
        <w:spacing w:after="0" w:line="73" w:lineRule="exact"/>
        <w:rPr>
          <w:sz w:val="20"/>
          <w:szCs w:val="20"/>
          <w:color w:val="auto"/>
        </w:rPr>
      </w:pPr>
    </w:p>
    <w:p>
      <w:pPr>
        <w:ind w:left="960" w:hanging="925"/>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Filed with this Form 10-K.</w:t>
      </w:r>
    </w:p>
    <w:p>
      <w:pPr>
        <w:spacing w:after="0" w:line="73" w:lineRule="exact"/>
        <w:rPr>
          <w:sz w:val="20"/>
          <w:szCs w:val="20"/>
          <w:color w:val="auto"/>
        </w:rPr>
      </w:pPr>
    </w:p>
    <w:p>
      <w:pPr>
        <w:ind w:left="960" w:right="40" w:hanging="925"/>
        <w:spacing w:after="0" w:line="329" w:lineRule="auto"/>
        <w:tabs>
          <w:tab w:leader="none" w:pos="9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Furnished herewith. This certification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25" w:right="27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3"/>
          </w:tcPr>
          <w:p>
            <w:pPr>
              <w:ind w:left="580"/>
              <w:spacing w:after="0"/>
              <w:rPr>
                <w:sz w:val="20"/>
                <w:szCs w:val="20"/>
                <w:color w:val="auto"/>
              </w:rPr>
            </w:pPr>
            <w:r>
              <w:rPr>
                <w:rFonts w:ascii="Arial" w:cs="Arial" w:eastAsia="Arial" w:hAnsi="Arial"/>
                <w:sz w:val="18"/>
                <w:szCs w:val="18"/>
                <w:b w:val="1"/>
                <w:bCs w:val="1"/>
                <w:color w:val="auto"/>
              </w:rPr>
              <w:t>SUBSIDIARIES OF THE REGISTRANT</w:t>
            </w:r>
          </w:p>
        </w:tc>
      </w:tr>
      <w:tr>
        <w:trPr>
          <w:trHeight w:val="850"/>
        </w:trPr>
        <w:tc>
          <w:tcPr>
            <w:tcW w:w="352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260"/>
              <w:spacing w:after="0"/>
              <w:rPr>
                <w:sz w:val="20"/>
                <w:szCs w:val="20"/>
                <w:color w:val="auto"/>
              </w:rPr>
            </w:pPr>
            <w:r>
              <w:rPr>
                <w:rFonts w:ascii="Arial" w:cs="Arial" w:eastAsia="Arial" w:hAnsi="Arial"/>
                <w:sz w:val="14"/>
                <w:szCs w:val="14"/>
                <w:b w:val="1"/>
                <w:bCs w:val="1"/>
                <w:color w:val="auto"/>
              </w:rPr>
              <w:t>JURISDICTION OF ORGANIZATION</w:t>
            </w:r>
          </w:p>
        </w:tc>
      </w:tr>
      <w:tr>
        <w:trPr>
          <w:trHeight w:val="109"/>
        </w:trPr>
        <w:tc>
          <w:tcPr>
            <w:tcW w:w="35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0" w:type="dxa"/>
            <w:vAlign w:val="bottom"/>
            <w:tcBorders>
              <w:bottom w:val="single" w:sz="8" w:color="auto"/>
            </w:tcBorders>
          </w:tcPr>
          <w:p>
            <w:pPr>
              <w:spacing w:after="0"/>
              <w:rPr>
                <w:sz w:val="9"/>
                <w:szCs w:val="9"/>
                <w:color w:val="auto"/>
              </w:rPr>
            </w:pPr>
          </w:p>
        </w:tc>
      </w:tr>
      <w:tr>
        <w:trPr>
          <w:trHeight w:val="331"/>
        </w:trPr>
        <w:tc>
          <w:tcPr>
            <w:tcW w:w="3520" w:type="dxa"/>
            <w:vAlign w:val="bottom"/>
          </w:tcPr>
          <w:p>
            <w:pPr>
              <w:ind w:left="40"/>
              <w:spacing w:after="0"/>
              <w:rPr>
                <w:sz w:val="20"/>
                <w:szCs w:val="20"/>
                <w:color w:val="auto"/>
              </w:rPr>
            </w:pPr>
            <w:r>
              <w:rPr>
                <w:rFonts w:ascii="Arial" w:cs="Arial" w:eastAsia="Arial" w:hAnsi="Arial"/>
                <w:sz w:val="18"/>
                <w:szCs w:val="18"/>
                <w:color w:val="auto"/>
              </w:rPr>
              <w:t>Mercury Defense Systems, Inc.</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California</w:t>
            </w:r>
          </w:p>
        </w:tc>
      </w:tr>
      <w:tr>
        <w:trPr>
          <w:trHeight w:val="446"/>
        </w:trPr>
        <w:tc>
          <w:tcPr>
            <w:tcW w:w="3520" w:type="dxa"/>
            <w:vAlign w:val="bottom"/>
          </w:tcPr>
          <w:p>
            <w:pPr>
              <w:ind w:left="40"/>
              <w:spacing w:after="0"/>
              <w:rPr>
                <w:sz w:val="20"/>
                <w:szCs w:val="20"/>
                <w:color w:val="auto"/>
              </w:rPr>
            </w:pPr>
            <w:r>
              <w:rPr>
                <w:rFonts w:ascii="Arial" w:cs="Arial" w:eastAsia="Arial" w:hAnsi="Arial"/>
                <w:sz w:val="18"/>
                <w:szCs w:val="18"/>
                <w:color w:val="auto"/>
              </w:rPr>
              <w:t>Nihon Mercury Computer Systems K.K.</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Japan</w:t>
            </w:r>
          </w:p>
        </w:tc>
      </w:tr>
      <w:tr>
        <w:trPr>
          <w:trHeight w:val="432"/>
        </w:trPr>
        <w:tc>
          <w:tcPr>
            <w:tcW w:w="3520" w:type="dxa"/>
            <w:vAlign w:val="bottom"/>
          </w:tcPr>
          <w:p>
            <w:pPr>
              <w:ind w:left="40"/>
              <w:spacing w:after="0"/>
              <w:rPr>
                <w:sz w:val="20"/>
                <w:szCs w:val="20"/>
                <w:color w:val="auto"/>
              </w:rPr>
            </w:pPr>
            <w:r>
              <w:rPr>
                <w:rFonts w:ascii="Arial" w:cs="Arial" w:eastAsia="Arial" w:hAnsi="Arial"/>
                <w:sz w:val="18"/>
                <w:szCs w:val="18"/>
                <w:color w:val="auto"/>
              </w:rPr>
              <w:t>Mercury Computer Systems N.V.</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The Netherlands</w:t>
            </w:r>
          </w:p>
        </w:tc>
      </w:tr>
      <w:tr>
        <w:trPr>
          <w:trHeight w:val="432"/>
        </w:trPr>
        <w:tc>
          <w:tcPr>
            <w:tcW w:w="3520" w:type="dxa"/>
            <w:vAlign w:val="bottom"/>
          </w:tcPr>
          <w:p>
            <w:pPr>
              <w:ind w:left="40"/>
              <w:spacing w:after="0"/>
              <w:rPr>
                <w:sz w:val="20"/>
                <w:szCs w:val="20"/>
                <w:color w:val="auto"/>
              </w:rPr>
            </w:pPr>
            <w:r>
              <w:rPr>
                <w:rFonts w:ascii="Arial" w:cs="Arial" w:eastAsia="Arial" w:hAnsi="Arial"/>
                <w:sz w:val="18"/>
                <w:szCs w:val="18"/>
                <w:color w:val="auto"/>
              </w:rPr>
              <w:t>Mercury Computer Systems Ltd.</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378"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319"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We consent to the incorporation by reference in the registration statements (Nos. 333</w:t>
      </w:r>
      <w:r>
        <w:rPr>
          <w:rFonts w:ascii="MS PGothic" w:cs="MS PGothic" w:eastAsia="MS PGothic" w:hAnsi="MS PGothic"/>
          <w:sz w:val="17"/>
          <w:szCs w:val="17"/>
          <w:color w:val="auto"/>
        </w:rPr>
        <w:t>‑</w:t>
      </w:r>
      <w:r>
        <w:rPr>
          <w:rFonts w:ascii="Arial" w:cs="Arial" w:eastAsia="Arial" w:hAnsi="Arial"/>
          <w:sz w:val="17"/>
          <w:szCs w:val="17"/>
          <w:color w:val="auto"/>
        </w:rPr>
        <w:t>53291, 333-101993, 333-112990, 333-124294, 333-129929, 333-139019, 333-139020, 333-149046, 333-156364, 333-163705, 333-163707, 333-172775, 333-177770, 333-177771, 333-183240, 333-183240, 333-184756, 333-192161 and 333-199917) on Form S-8 and the registration statement (No. 333-198180) on Form S-3 of Mercury Systems, Inc. of our report dated August 13, 2015, with respect to the consolidated balance sheets of Mercury Systems, Inc. and subsidiaries as of June 30, 2015 and 2014, and the related consolidated statements of operations, comprehensive income (loss), shareholders’ equity, and cash flows, for each of the years in the three-year period ended June 30, 2015, and the related financial statement Schedule II, and the effectiveness of internal control over financial reporting as of June 30, 2015, which report appears in the June 30, 2015 annual report on Form 10-K of Mercury Systems, Inc.</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2015</w:t>
      </w:r>
    </w:p>
    <w:p>
      <w:pPr>
        <w:sectPr>
          <w:pgSz w:w="11900" w:h="16838" w:orient="portrait"/>
          <w:cols w:equalWidth="0" w:num="1">
            <w:col w:w="11420"/>
          </w:cols>
          <w:pgMar w:left="240" w:top="553"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17" w:lineRule="exact"/>
        <w:rPr>
          <w:sz w:val="20"/>
          <w:szCs w:val="20"/>
          <w:color w:val="auto"/>
        </w:rPr>
      </w:pPr>
    </w:p>
    <w:p>
      <w:pPr>
        <w:ind w:left="460" w:hanging="438"/>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Systems, Inc.;</w:t>
      </w:r>
    </w:p>
    <w:p>
      <w:pPr>
        <w:spacing w:after="0" w:line="117"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460" w:hanging="438"/>
        <w:spacing w:after="0" w:line="30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880" w:hanging="440"/>
        <w:spacing w:after="0" w:line="341" w:lineRule="auto"/>
        <w:tabs>
          <w:tab w:leader="none" w:pos="8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95"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460" w:hanging="438"/>
        <w:spacing w:after="0" w:line="341"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309"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8"/>
          <w:szCs w:val="18"/>
          <w:color w:val="auto"/>
        </w:rPr>
      </w:pPr>
    </w:p>
    <w:p>
      <w:pPr>
        <w:ind w:left="880" w:hanging="440"/>
        <w:spacing w:after="0" w:line="309"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60"/>
        <w:spacing w:after="0"/>
        <w:tabs>
          <w:tab w:leader="none" w:pos="1820" w:val="left"/>
        </w:tabs>
        <w:rPr>
          <w:sz w:val="20"/>
          <w:szCs w:val="20"/>
          <w:color w:val="auto"/>
        </w:rPr>
      </w:pPr>
      <w:r>
        <w:rPr>
          <w:rFonts w:ascii="Arial" w:cs="Arial" w:eastAsia="Arial" w:hAnsi="Arial"/>
          <w:sz w:val="18"/>
          <w:szCs w:val="18"/>
          <w:color w:val="auto"/>
        </w:rPr>
        <w:t>/s/</w:t>
        <w:tab/>
        <w:t>M</w:t>
      </w:r>
      <w:r>
        <w:rPr>
          <w:rFonts w:ascii="Arial" w:cs="Arial" w:eastAsia="Arial" w:hAnsi="Arial"/>
          <w:sz w:val="13"/>
          <w:szCs w:val="13"/>
          <w:color w:val="auto"/>
        </w:rPr>
        <w:t>ARK</w:t>
      </w:r>
      <w:r>
        <w:rPr>
          <w:rFonts w:ascii="Arial" w:cs="Arial" w:eastAsia="Arial" w:hAnsi="Arial"/>
          <w:sz w:val="18"/>
          <w:szCs w:val="18"/>
          <w:color w:val="auto"/>
        </w:rPr>
        <w:t xml:space="preserve"> A</w:t>
      </w:r>
      <w:r>
        <w:rPr>
          <w:rFonts w:ascii="Arial" w:cs="Arial" w:eastAsia="Arial" w:hAnsi="Arial"/>
          <w:sz w:val="13"/>
          <w:szCs w:val="13"/>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85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17" w:lineRule="exact"/>
        <w:rPr>
          <w:sz w:val="20"/>
          <w:szCs w:val="20"/>
          <w:color w:val="auto"/>
        </w:rPr>
      </w:pPr>
    </w:p>
    <w:p>
      <w:pPr>
        <w:ind w:left="460" w:hanging="438"/>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Systems, Inc.;</w:t>
      </w:r>
    </w:p>
    <w:p>
      <w:pPr>
        <w:spacing w:after="0" w:line="117"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460" w:hanging="438"/>
        <w:spacing w:after="0" w:line="30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460" w:hanging="438"/>
        <w:spacing w:after="0" w:line="295"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jc w:val="both"/>
        <w:ind w:left="880" w:hanging="440"/>
        <w:spacing w:after="0" w:line="295"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880" w:hanging="440"/>
        <w:spacing w:after="0" w:line="341" w:lineRule="auto"/>
        <w:tabs>
          <w:tab w:leader="none" w:pos="8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95"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460" w:hanging="438"/>
        <w:spacing w:after="0" w:line="341"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309"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Arial" w:cs="Arial" w:eastAsia="Arial" w:hAnsi="Arial"/>
          <w:sz w:val="18"/>
          <w:szCs w:val="18"/>
          <w:color w:val="auto"/>
        </w:rPr>
      </w:pPr>
    </w:p>
    <w:p>
      <w:pPr>
        <w:ind w:left="880" w:hanging="440"/>
        <w:spacing w:after="0" w:line="309" w:lineRule="auto"/>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80"/>
        <w:spacing w:after="0"/>
        <w:tabs>
          <w:tab w:leader="none" w:pos="1560" w:val="left"/>
        </w:tabs>
        <w:rPr>
          <w:sz w:val="20"/>
          <w:szCs w:val="20"/>
          <w:color w:val="auto"/>
        </w:rPr>
      </w:pPr>
      <w:r>
        <w:rPr>
          <w:rFonts w:ascii="Arial" w:cs="Arial" w:eastAsia="Arial" w:hAnsi="Arial"/>
          <w:sz w:val="18"/>
          <w:szCs w:val="18"/>
          <w:color w:val="auto"/>
        </w:rPr>
        <w:t>/s/</w:t>
        <w:tab/>
        <w:t>G</w:t>
      </w:r>
      <w:r>
        <w:rPr>
          <w:rFonts w:ascii="Arial" w:cs="Arial" w:eastAsia="Arial" w:hAnsi="Arial"/>
          <w:sz w:val="13"/>
          <w:szCs w:val="13"/>
          <w:color w:val="auto"/>
        </w:rPr>
        <w:t>ERALD</w:t>
      </w:r>
      <w:r>
        <w:rPr>
          <w:rFonts w:ascii="Arial" w:cs="Arial" w:eastAsia="Arial" w:hAnsi="Arial"/>
          <w:sz w:val="18"/>
          <w:szCs w:val="18"/>
          <w:color w:val="auto"/>
        </w:rPr>
        <w:t xml:space="preserve"> M. H</w:t>
      </w:r>
      <w:r>
        <w:rPr>
          <w:rFonts w:ascii="Arial" w:cs="Arial" w:eastAsia="Arial" w:hAnsi="Arial"/>
          <w:sz w:val="13"/>
          <w:szCs w:val="13"/>
          <w:color w:val="auto"/>
        </w:rPr>
        <w:t>AINES</w:t>
      </w:r>
      <w:r>
        <w:rPr>
          <w:rFonts w:ascii="Arial" w:cs="Arial" w:eastAsia="Arial" w:hAnsi="Arial"/>
          <w:sz w:val="18"/>
          <w:szCs w:val="18"/>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EXECUTIVE VICE PRESIDENT,</w:t>
      </w:r>
    </w:p>
    <w:p>
      <w:pPr>
        <w:jc w:val="center"/>
        <w:ind w:right="684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86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98"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8"/>
          <w:szCs w:val="18"/>
          <w:color w:val="auto"/>
        </w:rPr>
        <w:t>In connection with the Annual Report of Mercury Systems, Inc. (the “Company”) on Form 10-K for the fiscal year ended June 30, 2015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M</w:t>
      </w:r>
      <w:r>
        <w:rPr>
          <w:rFonts w:ascii="Arial" w:cs="Arial" w:eastAsia="Arial" w:hAnsi="Arial"/>
          <w:sz w:val="13"/>
          <w:szCs w:val="13"/>
          <w:color w:val="auto"/>
        </w:rPr>
        <w:t>ARK</w:t>
      </w:r>
      <w:r>
        <w:rPr>
          <w:rFonts w:ascii="Arial" w:cs="Arial" w:eastAsia="Arial" w:hAnsi="Arial"/>
          <w:sz w:val="18"/>
          <w:szCs w:val="18"/>
          <w:color w:val="auto"/>
        </w:rPr>
        <w:t xml:space="preserve"> A</w:t>
      </w:r>
      <w:r>
        <w:rPr>
          <w:rFonts w:ascii="Arial" w:cs="Arial" w:eastAsia="Arial" w:hAnsi="Arial"/>
          <w:sz w:val="13"/>
          <w:szCs w:val="13"/>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10" w:lineRule="exact"/>
        <w:rPr>
          <w:sz w:val="20"/>
          <w:szCs w:val="20"/>
          <w:color w:val="auto"/>
        </w:rPr>
      </w:pPr>
    </w:p>
    <w:p>
      <w:pPr>
        <w:ind w:left="1200"/>
        <w:spacing w:after="0"/>
        <w:tabs>
          <w:tab w:leader="none" w:pos="154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G</w:t>
      </w:r>
      <w:r>
        <w:rPr>
          <w:rFonts w:ascii="Arial" w:cs="Arial" w:eastAsia="Arial" w:hAnsi="Arial"/>
          <w:sz w:val="13"/>
          <w:szCs w:val="13"/>
          <w:color w:val="auto"/>
        </w:rPr>
        <w:t>ERALD</w:t>
      </w:r>
      <w:r>
        <w:rPr>
          <w:rFonts w:ascii="Arial" w:cs="Arial" w:eastAsia="Arial" w:hAnsi="Arial"/>
          <w:sz w:val="18"/>
          <w:szCs w:val="18"/>
          <w:color w:val="auto"/>
        </w:rPr>
        <w:t xml:space="preserve"> M. H</w:t>
      </w:r>
      <w:r>
        <w:rPr>
          <w:rFonts w:ascii="Arial" w:cs="Arial" w:eastAsia="Arial" w:hAnsi="Arial"/>
          <w:sz w:val="13"/>
          <w:szCs w:val="13"/>
          <w:color w:val="auto"/>
        </w:rPr>
        <w:t>AINES</w:t>
      </w:r>
      <w:r>
        <w:rPr>
          <w:rFonts w:ascii="Arial" w:cs="Arial" w:eastAsia="Arial" w:hAnsi="Arial"/>
          <w:sz w:val="18"/>
          <w:szCs w:val="18"/>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8"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Gerald M. Haines II</w:t>
      </w:r>
    </w:p>
    <w:p>
      <w:pPr>
        <w:jc w:val="center"/>
        <w:ind w:right="684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12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upperLetter"/>
      <w:start w:val="1"/>
    </w:lvl>
  </w:abstractNum>
  <w:abstractNum w:abstractNumId="20">
    <w:nsid w:val="419AC241"/>
    <w:multiLevelType w:val="hybridMultilevel"/>
    <w:lvl w:ilvl="0">
      <w:lvlJc w:val="left"/>
      <w:lvlText w:val="%1."/>
      <w:numFmt w:val="upperLetter"/>
      <w:start w:val="2"/>
    </w:lvl>
  </w:abstractNum>
  <w:abstractNum w:abstractNumId="21">
    <w:nsid w:val="5577F8E1"/>
    <w:multiLevelType w:val="hybridMultilevel"/>
    <w:lvl w:ilvl="0">
      <w:lvlJc w:val="left"/>
      <w:lvlText w:val="%1."/>
      <w:numFmt w:val="upperLetter"/>
      <w:start w:val="3"/>
    </w:lvl>
  </w:abstractNum>
  <w:abstractNum w:abstractNumId="22">
    <w:nsid w:val="440BADFC"/>
    <w:multiLevelType w:val="hybridMultilevel"/>
    <w:lvl w:ilvl="0">
      <w:lvlJc w:val="left"/>
      <w:lvlText w:val="%1."/>
      <w:numFmt w:val="upperLetter"/>
      <w:start w:val="4"/>
    </w:lvl>
  </w:abstractNum>
  <w:abstractNum w:abstractNumId="23">
    <w:nsid w:val="5072367"/>
    <w:multiLevelType w:val="hybridMultilevel"/>
    <w:lvl w:ilvl="0">
      <w:lvlJc w:val="left"/>
      <w:lvlText w:val="%1."/>
      <w:numFmt w:val="upperLetter"/>
      <w:start w:val="8"/>
    </w:lvl>
  </w:abstractNum>
  <w:abstractNum w:abstractNumId="24">
    <w:nsid w:val="3804823E"/>
    <w:multiLevelType w:val="hybridMultilevel"/>
    <w:lvl w:ilvl="0">
      <w:lvlJc w:val="left"/>
      <w:lvlText w:val="%1."/>
      <w:numFmt w:val="upperLetter"/>
      <w:start w:val="9"/>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upperLetter"/>
      <w:start w:val="10"/>
    </w:lvl>
  </w:abstractNum>
  <w:abstractNum w:abstractNumId="27">
    <w:nsid w:val="5C482A97"/>
    <w:multiLevelType w:val="hybridMultilevel"/>
    <w:lvl w:ilvl="0">
      <w:lvlJc w:val="left"/>
      <w:lvlText w:val="%1."/>
      <w:numFmt w:val="upperLetter"/>
      <w:start w:val="11"/>
    </w:lvl>
  </w:abstractNum>
  <w:abstractNum w:abstractNumId="28">
    <w:nsid w:val="2463B9EA"/>
    <w:multiLevelType w:val="hybridMultilevel"/>
    <w:lvl w:ilvl="0">
      <w:lvlJc w:val="left"/>
      <w:lvlText w:val="%1."/>
      <w:numFmt w:val="upperLetter"/>
      <w:start w:val="13"/>
    </w:lvl>
  </w:abstractNum>
  <w:abstractNum w:abstractNumId="29">
    <w:nsid w:val="5E884ADC"/>
    <w:multiLevelType w:val="hybridMultilevel"/>
    <w:lvl w:ilvl="0">
      <w:lvlJc w:val="left"/>
      <w:lvlText w:val="%1."/>
      <w:numFmt w:val="upperLetter"/>
      <w:start w:val="14"/>
    </w:lvl>
  </w:abstractNum>
  <w:abstractNum w:abstractNumId="30">
    <w:nsid w:val="51EAD36B"/>
    <w:multiLevelType w:val="hybridMultilevel"/>
    <w:lvl w:ilvl="0">
      <w:lvlJc w:val="left"/>
      <w:lvlText w:val="%1."/>
      <w:numFmt w:val="upperLetter"/>
      <w:start w:val="15"/>
    </w:lvl>
  </w:abstractNum>
  <w:abstractNum w:abstractNumId="31">
    <w:nsid w:val="2D517796"/>
    <w:multiLevelType w:val="hybridMultilevel"/>
    <w:lvl w:ilvl="0">
      <w:lvlJc w:val="left"/>
      <w:lvlText w:val="%1"/>
      <w:numFmt w:val="upperLetter"/>
      <w:start w:val="1"/>
    </w:lvl>
    <w:lvl w:ilvl="1">
      <w:lvlJc w:val="left"/>
      <w:lvlText w:val="(%2)"/>
      <w:numFmt w:val="decimal"/>
      <w:start w:val="1"/>
    </w:lvl>
  </w:abstractNum>
  <w:abstractNum w:abstractNumId="32">
    <w:nsid w:val="580BD78F"/>
    <w:multiLevelType w:val="hybridMultilevel"/>
    <w:lvl w:ilvl="0">
      <w:lvlJc w:val="left"/>
      <w:lvlText w:val="%1."/>
      <w:numFmt w:val="upperLetter"/>
      <w:start w:val="16"/>
    </w:lvl>
    <w:lvl w:ilvl="1">
      <w:lvlJc w:val="left"/>
      <w:lvlText w:val="%2"/>
      <w:numFmt w:val="decimal"/>
      <w:start w:val="1"/>
    </w:lvl>
  </w:abstractNum>
  <w:abstractNum w:abstractNumId="33">
    <w:nsid w:val="153EA438"/>
    <w:multiLevelType w:val="hybridMultilevel"/>
    <w:lvl w:ilvl="0">
      <w:lvlJc w:val="left"/>
      <w:lvlText w:val="•"/>
      <w:numFmt w:val="bullet"/>
      <w:start w:val="1"/>
    </w:lvl>
    <w:lvl w:ilvl="1">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2"/>
    </w:lvl>
  </w:abstractNum>
  <w:abstractNum w:abstractNumId="37">
    <w:nsid w:val="2A487CB0"/>
    <w:multiLevelType w:val="hybridMultilevel"/>
    <w:lvl w:ilvl="0">
      <w:lvlJc w:val="left"/>
      <w:lvlText w:val="(%1)"/>
      <w:numFmt w:val="lowerLetter"/>
      <w:start w:val="3"/>
    </w:lvl>
  </w:abstractNum>
  <w:abstractNum w:abstractNumId="38">
    <w:nsid w:val="1D4ED43B"/>
    <w:multiLevelType w:val="hybridMultilevel"/>
    <w:lvl w:ilvl="0">
      <w:lvlJc w:val="left"/>
      <w:lvlText w:val="(%1)"/>
      <w:numFmt w:val="lowerLetter"/>
      <w:start w:val="4"/>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2"/>
    </w:lvl>
  </w:abstractNum>
  <w:abstractNum w:abstractNumId="42">
    <w:nsid w:val="7A6D8D3C"/>
    <w:multiLevelType w:val="hybridMultilevel"/>
    <w:lvl w:ilvl="0">
      <w:lvlJc w:val="left"/>
      <w:lvlText w:val="%1."/>
      <w:numFmt w:val="decimal"/>
      <w:start w:val="3"/>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2019-12-29T15:44:26Z</dcterms:created>
  <dcterms:modified xsi:type="dcterms:W3CDTF">2019-12-29T15:44:26Z</dcterms:modified>
</cp:coreProperties>
</file>