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6"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w:t>
      </w:r>
    </w:p>
    <w:p>
      <w:pPr>
        <w:spacing w:after="0" w:line="7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w:t>
      </w:r>
    </w:p>
    <w:p>
      <w:pPr>
        <w:spacing w:after="0" w:line="138" w:lineRule="exact"/>
        <w:rPr>
          <w:sz w:val="24"/>
          <w:szCs w:val="24"/>
          <w:color w:val="auto"/>
        </w:rPr>
      </w:pPr>
    </w:p>
    <w:p>
      <w:pPr>
        <w:ind w:left="720" w:right="20" w:hanging="685"/>
        <w:spacing w:after="0" w:line="262"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2016</w:t>
      </w:r>
    </w:p>
    <w:p>
      <w:pPr>
        <w:spacing w:after="0" w:line="9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240"/>
          </w:cols>
          <w:pgMar w:left="240" w:top="214" w:right="419" w:bottom="1440" w:gutter="0" w:footer="0" w:header="0"/>
        </w:sectPr>
      </w:pPr>
    </w:p>
    <w:p>
      <w:pPr>
        <w:spacing w:after="0" w:line="51"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102" w:lineRule="exact"/>
        <w:rPr>
          <w:sz w:val="24"/>
          <w:szCs w:val="24"/>
          <w:color w:val="auto"/>
        </w:rPr>
      </w:pPr>
    </w:p>
    <w:p>
      <w:pPr>
        <w:sectPr>
          <w:pgSz w:w="11900" w:h="16838" w:orient="portrait"/>
          <w:cols w:equalWidth="0" w:num="2">
            <w:col w:w="6560" w:space="720"/>
            <w:col w:w="3960"/>
          </w:cols>
          <w:pgMar w:left="240" w:top="214" w:right="41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COMMISSION FILE NUMBER: 0-23599</w:t>
      </w:r>
    </w:p>
    <w:p>
      <w:pPr>
        <w:sectPr>
          <w:pgSz w:w="11900" w:h="16838" w:orient="portrait"/>
          <w:cols w:equalWidth="0" w:num="1">
            <w:col w:w="11240"/>
          </w:cols>
          <w:pgMar w:left="240" w:top="214" w:right="419" w:bottom="1440" w:gutter="0" w:footer="0" w:header="0"/>
          <w:type w:val="continuous"/>
        </w:sectPr>
      </w:pPr>
    </w:p>
    <w:p>
      <w:pPr>
        <w:spacing w:after="0" w:line="90"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w:t>
      </w:r>
    </w:p>
    <w:p>
      <w:pPr>
        <w:spacing w:after="0" w:line="7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MERCURY SYSTEMS, INC.</w:t>
      </w:r>
    </w:p>
    <w:p>
      <w:pPr>
        <w:spacing w:after="0" w:line="8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w:t>
      </w:r>
    </w:p>
    <w:p>
      <w:pPr>
        <w:spacing w:after="0" w:line="387" w:lineRule="exact"/>
        <w:rPr>
          <w:sz w:val="24"/>
          <w:szCs w:val="24"/>
          <w:color w:val="auto"/>
        </w:rPr>
      </w:pPr>
    </w:p>
    <w:tbl>
      <w:tblPr>
        <w:tblLayout w:type="fixed"/>
        <w:tblInd w:w="1620" w:type="dxa"/>
        <w:tblCellMar>
          <w:top w:w="0" w:type="dxa"/>
          <w:left w:w="0" w:type="dxa"/>
          <w:bottom w:w="0" w:type="dxa"/>
          <w:right w:w="0" w:type="dxa"/>
        </w:tblCellMar>
      </w:tblPr>
      <w:tr>
        <w:trPr>
          <w:trHeight w:val="238"/>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526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04-2741391</w:t>
            </w:r>
          </w:p>
        </w:tc>
      </w:tr>
      <w:tr>
        <w:trPr>
          <w:trHeight w:val="178"/>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60" w:type="dxa"/>
            <w:vAlign w:val="bottom"/>
          </w:tcPr>
          <w:p>
            <w:pPr>
              <w:jc w:val="center"/>
              <w:ind w:left="406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60" w:type="dxa"/>
            <w:vAlign w:val="bottom"/>
          </w:tcPr>
          <w:p>
            <w:pPr>
              <w:jc w:val="center"/>
              <w:ind w:left="40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 RIVERNECK ROAD</w:t>
            </w:r>
          </w:p>
        </w:tc>
        <w:tc>
          <w:tcPr>
            <w:tcW w:w="5260" w:type="dxa"/>
            <w:vAlign w:val="bottom"/>
          </w:tcPr>
          <w:p>
            <w:pPr>
              <w:spacing w:after="0"/>
              <w:rPr>
                <w:sz w:val="24"/>
                <w:szCs w:val="24"/>
                <w:color w:val="auto"/>
              </w:rPr>
            </w:pPr>
          </w:p>
        </w:tc>
      </w:tr>
      <w:tr>
        <w:trPr>
          <w:trHeight w:val="238"/>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CHELMSFORD, MA</w:t>
            </w:r>
          </w:p>
        </w:tc>
        <w:tc>
          <w:tcPr>
            <w:tcW w:w="526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01824</w:t>
            </w:r>
          </w:p>
        </w:tc>
      </w:tr>
      <w:tr>
        <w:trPr>
          <w:trHeight w:val="22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60" w:type="dxa"/>
            <w:vAlign w:val="bottom"/>
          </w:tcPr>
          <w:p>
            <w:pPr>
              <w:jc w:val="center"/>
              <w:ind w:left="406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2420" w:type="dxa"/>
            <w:vAlign w:val="bottom"/>
          </w:tcPr>
          <w:p>
            <w:pPr>
              <w:spacing w:after="0"/>
              <w:rPr>
                <w:sz w:val="24"/>
                <w:szCs w:val="24"/>
                <w:color w:val="auto"/>
              </w:rPr>
            </w:pPr>
          </w:p>
        </w:tc>
        <w:tc>
          <w:tcPr>
            <w:tcW w:w="5260" w:type="dxa"/>
            <w:vAlign w:val="bottom"/>
          </w:tcPr>
          <w:p>
            <w:pPr>
              <w:jc w:val="right"/>
              <w:ind w:right="3000"/>
              <w:spacing w:after="0"/>
              <w:rPr>
                <w:sz w:val="20"/>
                <w:szCs w:val="20"/>
                <w:color w:val="auto"/>
              </w:rPr>
            </w:pPr>
            <w:r>
              <w:rPr>
                <w:rFonts w:ascii="Times New Roman" w:cs="Times New Roman" w:eastAsia="Times New Roman" w:hAnsi="Times New Roman"/>
                <w:sz w:val="18"/>
                <w:szCs w:val="18"/>
                <w:b w:val="1"/>
                <w:bCs w:val="1"/>
                <w:color w:val="auto"/>
              </w:rPr>
              <w:t>978-256-1300</w:t>
            </w:r>
          </w:p>
        </w:tc>
      </w:tr>
      <w:tr>
        <w:trPr>
          <w:trHeight w:val="190"/>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42"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w:t>
      </w:r>
    </w:p>
    <w:p>
      <w:pPr>
        <w:spacing w:after="0" w:line="9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3" w:lineRule="exact"/>
        <w:rPr>
          <w:sz w:val="24"/>
          <w:szCs w:val="24"/>
          <w:color w:val="auto"/>
        </w:rPr>
      </w:pPr>
    </w:p>
    <w:p>
      <w:pPr>
        <w:ind w:right="4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definitions of “large accelerated filer,” “accelerated filer” and “smaller reporting company” in Rule 12b-2 of the Exchange Act.</w:t>
      </w:r>
    </w:p>
    <w:p>
      <w:pPr>
        <w:sectPr>
          <w:pgSz w:w="11900" w:h="16838" w:orient="portrait"/>
          <w:cols w:equalWidth="0" w:num="1">
            <w:col w:w="11240"/>
          </w:cols>
          <w:pgMar w:left="240" w:top="214" w:right="419" w:bottom="1440" w:gutter="0" w:footer="0" w:header="0"/>
          <w:type w:val="continuous"/>
        </w:sectPr>
      </w:pPr>
    </w:p>
    <w:p>
      <w:pPr>
        <w:spacing w:after="0" w:line="1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4"/>
          <w:szCs w:val="24"/>
          <w:color w:val="auto"/>
        </w:rPr>
      </w:pPr>
    </w:p>
    <w:p>
      <w:pPr>
        <w:sectPr>
          <w:pgSz w:w="11900" w:h="16838" w:orient="portrait"/>
          <w:cols w:equalWidth="0" w:num="4">
            <w:col w:w="1740" w:space="720"/>
            <w:col w:w="4860" w:space="720"/>
            <w:col w:w="2240" w:space="720"/>
            <w:col w:w="240"/>
          </w:cols>
          <w:pgMar w:left="240" w:top="214" w:right="41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720"/>
            <w:col w:w="4860" w:space="720"/>
            <w:col w:w="2240" w:space="720"/>
            <w:col w:w="240"/>
          </w:cols>
          <w:pgMar w:left="240" w:top="214" w:right="419" w:bottom="1440" w:gutter="0" w:footer="0" w:header="0"/>
          <w:type w:val="continuous"/>
        </w:sectPr>
      </w:pPr>
    </w:p>
    <w:p>
      <w:pPr>
        <w:ind w:left="440"/>
        <w:spacing w:after="0" w:line="207" w:lineRule="exact"/>
        <w:tabs>
          <w:tab w:leader="none" w:pos="88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by Rule 12b-2 of the Exchange Act).</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90" w:lineRule="exact"/>
        <w:rPr>
          <w:sz w:val="24"/>
          <w:szCs w:val="24"/>
          <w:color w:val="auto"/>
        </w:rPr>
      </w:pPr>
    </w:p>
    <w:p>
      <w:pPr>
        <w:sectPr>
          <w:pgSz w:w="11900" w:h="16838" w:orient="portrait"/>
          <w:cols w:equalWidth="0" w:num="2">
            <w:col w:w="9340" w:space="180"/>
            <w:col w:w="1720"/>
          </w:cols>
          <w:pgMar w:left="240" w:top="214" w:right="41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Shares of Common Stock outstanding as of October 31, 2016: 41,014,934 shares</w:t>
      </w:r>
    </w:p>
    <w:p>
      <w:pPr>
        <w:sectPr>
          <w:pgSz w:w="11900" w:h="16838" w:orient="portrait"/>
          <w:cols w:equalWidth="0" w:num="1">
            <w:col w:w="11240"/>
          </w:cols>
          <w:pgMar w:left="240" w:top="214" w:right="41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30"/>
        </w:trPr>
        <w:tc>
          <w:tcPr>
            <w:tcW w:w="103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1020" w:type="dxa"/>
            <w:vAlign w:val="bottom"/>
          </w:tcPr>
          <w:p>
            <w:pPr>
              <w:spacing w:after="0"/>
              <w:rPr>
                <w:sz w:val="19"/>
                <w:szCs w:val="19"/>
                <w:color w:val="auto"/>
              </w:rPr>
            </w:pPr>
          </w:p>
        </w:tc>
      </w:tr>
      <w:tr>
        <w:trPr>
          <w:trHeight w:val="56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3">
              <w:r>
                <w:rPr>
                  <w:rFonts w:ascii="Times New Roman" w:cs="Times New Roman" w:eastAsia="Times New Roman" w:hAnsi="Times New Roman"/>
                  <w:sz w:val="18"/>
                  <w:szCs w:val="18"/>
                  <w:color w:val="0000FF"/>
                  <w:w w:val="99"/>
                </w:rPr>
                <w:t>Financial Statements (unaudited)</w:t>
              </w:r>
            </w:hyperlink>
          </w:p>
        </w:tc>
        <w:tc>
          <w:tcPr>
            <w:tcW w:w="6040" w:type="dxa"/>
            <w:vAlign w:val="bottom"/>
            <w:gridSpan w:val="7"/>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574"/>
        </w:trPr>
        <w:tc>
          <w:tcPr>
            <w:tcW w:w="1940" w:type="dxa"/>
            <w:vAlign w:val="bottom"/>
          </w:tcPr>
          <w:p>
            <w:pPr>
              <w:spacing w:after="0"/>
              <w:rPr>
                <w:sz w:val="24"/>
                <w:szCs w:val="24"/>
                <w:color w:val="auto"/>
              </w:rPr>
            </w:pPr>
          </w:p>
        </w:tc>
        <w:tc>
          <w:tcPr>
            <w:tcW w:w="8420" w:type="dxa"/>
            <w:vAlign w:val="bottom"/>
            <w:gridSpan w:val="1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 as of September 30, 2016 and June 30, 2016</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4"/>
                <w:szCs w:val="24"/>
                <w:color w:val="auto"/>
              </w:rPr>
            </w:pPr>
          </w:p>
        </w:tc>
        <w:tc>
          <w:tcPr>
            <w:tcW w:w="8420" w:type="dxa"/>
            <w:vAlign w:val="bottom"/>
            <w:gridSpan w:val="1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Operations and Comprehensive Income for the three months ended September 30, 2016</w:t>
              </w:r>
            </w:hyperlink>
          </w:p>
        </w:tc>
        <w:tc>
          <w:tcPr>
            <w:tcW w:w="1020" w:type="dxa"/>
            <w:vAlign w:val="bottom"/>
          </w:tcPr>
          <w:p>
            <w:pPr>
              <w:spacing w:after="0"/>
              <w:rPr>
                <w:sz w:val="24"/>
                <w:szCs w:val="24"/>
                <w:color w:val="auto"/>
              </w:rPr>
            </w:pPr>
          </w:p>
        </w:tc>
      </w:tr>
      <w:tr>
        <w:trPr>
          <w:trHeight w:val="196"/>
        </w:trPr>
        <w:tc>
          <w:tcPr>
            <w:tcW w:w="1940" w:type="dxa"/>
            <w:vAlign w:val="bottom"/>
          </w:tcPr>
          <w:p>
            <w:pPr>
              <w:spacing w:after="0"/>
              <w:rPr>
                <w:sz w:val="17"/>
                <w:szCs w:val="17"/>
                <w:color w:val="auto"/>
              </w:rPr>
            </w:pPr>
          </w:p>
        </w:tc>
        <w:tc>
          <w:tcPr>
            <w:tcW w:w="83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2015</w:t>
              </w:r>
            </w:hyperlink>
          </w:p>
        </w:tc>
        <w:tc>
          <w:tcPr>
            <w:tcW w:w="80" w:type="dxa"/>
            <w:vAlign w:val="bottom"/>
          </w:tcPr>
          <w:p>
            <w:pPr>
              <w:spacing w:after="0"/>
              <w:rPr>
                <w:sz w:val="17"/>
                <w:szCs w:val="17"/>
                <w:color w:val="auto"/>
              </w:rPr>
            </w:pPr>
          </w:p>
        </w:tc>
        <w:tc>
          <w:tcPr>
            <w:tcW w:w="1020" w:type="dxa"/>
            <w:vAlign w:val="bottom"/>
          </w:tcPr>
          <w:p>
            <w:pPr>
              <w:jc w:val="right"/>
              <w:spacing w:after="0" w:line="196" w:lineRule="exact"/>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4</w:t>
              </w:r>
            </w:hyperlink>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4"/>
                <w:szCs w:val="24"/>
                <w:color w:val="auto"/>
              </w:rPr>
            </w:pPr>
          </w:p>
        </w:tc>
        <w:tc>
          <w:tcPr>
            <w:tcW w:w="8420" w:type="dxa"/>
            <w:vAlign w:val="bottom"/>
            <w:gridSpan w:val="1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Cash Flows for the three months ended September 30, 2016 and 2015</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r>
      <w:tr>
        <w:trPr>
          <w:trHeight w:val="574"/>
        </w:trPr>
        <w:tc>
          <w:tcPr>
            <w:tcW w:w="1940" w:type="dxa"/>
            <w:vAlign w:val="bottom"/>
          </w:tcPr>
          <w:p>
            <w:pPr>
              <w:spacing w:after="0"/>
              <w:rPr>
                <w:sz w:val="24"/>
                <w:szCs w:val="24"/>
                <w:color w:val="auto"/>
              </w:rPr>
            </w:pPr>
          </w:p>
        </w:tc>
        <w:tc>
          <w:tcPr>
            <w:tcW w:w="7040" w:type="dxa"/>
            <w:vAlign w:val="bottom"/>
            <w:tcBorders>
              <w:top w:val="single" w:sz="8" w:color="0000EE"/>
            </w:tcBorders>
            <w:gridSpan w:val="11"/>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Notes to Consolidated Financial Statements</w:t>
              </w:r>
            </w:hyperlink>
          </w:p>
        </w:tc>
        <w:tc>
          <w:tcPr>
            <w:tcW w:w="1380" w:type="dxa"/>
            <w:vAlign w:val="bottom"/>
            <w:gridSpan w:val="2"/>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6</w:t>
              </w:r>
            </w:hyperlink>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w:anchor="page16">
              <w:r>
                <w:rPr>
                  <w:rFonts w:ascii="Times New Roman" w:cs="Times New Roman" w:eastAsia="Times New Roman" w:hAnsi="Times New Roman"/>
                  <w:sz w:val="18"/>
                  <w:szCs w:val="18"/>
                  <w:color w:val="0000FF"/>
                  <w:w w:val="99"/>
                </w:rPr>
                <w:t>Management’s Discussion and Analysis of Financial Condition and Results of Operations</w:t>
              </w:r>
            </w:hyperlink>
          </w:p>
        </w:tc>
        <w:tc>
          <w:tcPr>
            <w:tcW w:w="1960" w:type="dxa"/>
            <w:vAlign w:val="bottom"/>
            <w:gridSpan w:val="3"/>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16">
              <w:r>
                <w:rPr>
                  <w:rFonts w:ascii="Times New Roman" w:cs="Times New Roman" w:eastAsia="Times New Roman" w:hAnsi="Times New Roman"/>
                  <w:sz w:val="18"/>
                  <w:szCs w:val="18"/>
                  <w:color w:val="auto"/>
                </w:rPr>
                <w:t>16</w:t>
              </w:r>
            </w:hyperlink>
          </w:p>
        </w:tc>
      </w:tr>
      <w:tr>
        <w:trPr>
          <w:trHeight w:val="57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420" w:type="dxa"/>
            <w:vAlign w:val="bottom"/>
            <w:gridSpan w:val="13"/>
          </w:tcPr>
          <w:p>
            <w:pPr>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Quantitative and Qualitative Disclosures about Market Risk</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24</w:t>
              </w:r>
            </w:hyperlink>
          </w:p>
        </w:tc>
      </w:tr>
      <w:tr>
        <w:trPr>
          <w:trHeight w:val="57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Controls and Procedures</w:t>
              </w:r>
            </w:hyperlink>
          </w:p>
        </w:tc>
        <w:tc>
          <w:tcPr>
            <w:tcW w:w="4120" w:type="dxa"/>
            <w:vAlign w:val="bottom"/>
            <w:gridSpan w:val="5"/>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24</w:t>
              </w:r>
            </w:hyperlink>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6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15"/>
        </w:trPr>
        <w:tc>
          <w:tcPr>
            <w:tcW w:w="103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1020" w:type="dxa"/>
            <w:vAlign w:val="bottom"/>
          </w:tcPr>
          <w:p>
            <w:pPr>
              <w:spacing w:after="0"/>
              <w:rPr>
                <w:sz w:val="24"/>
                <w:szCs w:val="24"/>
                <w:color w:val="auto"/>
              </w:rPr>
            </w:pPr>
          </w:p>
        </w:tc>
      </w:tr>
      <w:tr>
        <w:trPr>
          <w:trHeight w:val="55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w:anchor="page25">
              <w:r>
                <w:rPr>
                  <w:rFonts w:ascii="Times New Roman" w:cs="Times New Roman" w:eastAsia="Times New Roman" w:hAnsi="Times New Roman"/>
                  <w:sz w:val="18"/>
                  <w:szCs w:val="18"/>
                  <w:color w:val="0000FF"/>
                  <w:w w:val="98"/>
                </w:rPr>
                <w:t>Legal Proceedings</w:t>
              </w:r>
            </w:hyperlink>
          </w:p>
        </w:tc>
        <w:tc>
          <w:tcPr>
            <w:tcW w:w="7080" w:type="dxa"/>
            <w:vAlign w:val="bottom"/>
            <w:gridSpan w:val="9"/>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25</w:t>
              </w:r>
            </w:hyperlink>
          </w:p>
        </w:tc>
      </w:tr>
      <w:tr>
        <w:trPr>
          <w:trHeight w:val="57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420" w:type="dxa"/>
            <w:vAlign w:val="bottom"/>
            <w:gridSpan w:val="13"/>
          </w:tcPr>
          <w:p>
            <w:pPr>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Risk Factors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25</w:t>
              </w:r>
            </w:hyperlink>
          </w:p>
        </w:tc>
      </w:tr>
      <w:tr>
        <w:trPr>
          <w:trHeight w:val="57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6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Exhibits</w:t>
              </w:r>
            </w:hyperlink>
          </w:p>
        </w:tc>
        <w:tc>
          <w:tcPr>
            <w:tcW w:w="240" w:type="dxa"/>
            <w:vAlign w:val="bottom"/>
            <w:tcBorders>
              <w:top w:val="single" w:sz="8" w:color="0000FF"/>
            </w:tcBorders>
            <w:gridSpan w:val="2"/>
          </w:tcPr>
          <w:p>
            <w:pPr>
              <w:spacing w:after="0"/>
              <w:rPr>
                <w:sz w:val="24"/>
                <w:szCs w:val="24"/>
                <w:color w:val="auto"/>
              </w:rPr>
            </w:pPr>
          </w:p>
        </w:tc>
        <w:tc>
          <w:tcPr>
            <w:tcW w:w="7520" w:type="dxa"/>
            <w:vAlign w:val="bottom"/>
            <w:gridSpan w:val="10"/>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25</w:t>
              </w:r>
            </w:hyperlink>
          </w:p>
        </w:tc>
      </w:tr>
      <w:tr>
        <w:trPr>
          <w:trHeight w:val="574"/>
        </w:trPr>
        <w:tc>
          <w:tcPr>
            <w:tcW w:w="194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7"/>
              </w:rPr>
            </w:pPr>
            <w:hyperlink w:anchor="page26">
              <w:r>
                <w:rPr>
                  <w:rFonts w:ascii="Times New Roman" w:cs="Times New Roman" w:eastAsia="Times New Roman" w:hAnsi="Times New Roman"/>
                  <w:sz w:val="18"/>
                  <w:szCs w:val="18"/>
                  <w:color w:val="0000FF"/>
                  <w:w w:val="97"/>
                </w:rPr>
                <w:t>Signatures</w:t>
              </w:r>
            </w:hyperlink>
          </w:p>
        </w:tc>
        <w:tc>
          <w:tcPr>
            <w:tcW w:w="7660" w:type="dxa"/>
            <w:vAlign w:val="bottom"/>
            <w:gridSpan w:val="11"/>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26</w:t>
              </w:r>
            </w:hyperlink>
          </w:p>
        </w:tc>
      </w:tr>
      <w:tr>
        <w:trPr>
          <w:trHeight w:val="669"/>
        </w:trPr>
        <w:tc>
          <w:tcPr>
            <w:tcW w:w="1940" w:type="dxa"/>
            <w:vAlign w:val="bottom"/>
          </w:tcPr>
          <w:p>
            <w:pPr>
              <w:spacing w:after="0"/>
              <w:rPr>
                <w:sz w:val="24"/>
                <w:szCs w:val="24"/>
                <w:color w:val="auto"/>
              </w:rPr>
            </w:pPr>
          </w:p>
        </w:tc>
        <w:tc>
          <w:tcPr>
            <w:tcW w:w="4300" w:type="dxa"/>
            <w:vAlign w:val="bottom"/>
            <w:gridSpan w:val="8"/>
          </w:tcPr>
          <w:p>
            <w:pPr>
              <w:ind w:left="368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80"/>
          </w:cols>
          <w:pgMar w:left="280" w:top="576"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5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5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MERCURY SYSTEMS, INC.</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7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5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5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7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24"/>
                <w:szCs w:val="24"/>
                <w:color w:val="auto"/>
              </w:rPr>
            </w:pPr>
          </w:p>
        </w:tc>
        <w:tc>
          <w:tcPr>
            <w:tcW w:w="11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72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5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78"/>
        </w:trPr>
        <w:tc>
          <w:tcPr>
            <w:tcW w:w="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300" w:type="dxa"/>
            <w:vAlign w:val="bottom"/>
            <w:shd w:val="clear" w:color="auto" w:fill="CCEEFF"/>
          </w:tcPr>
          <w:p>
            <w:pPr>
              <w:spacing w:after="0"/>
              <w:rPr>
                <w:sz w:val="15"/>
                <w:szCs w:val="15"/>
                <w:color w:val="auto"/>
              </w:rPr>
            </w:pP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020" w:type="dxa"/>
            <w:vAlign w:val="bottom"/>
            <w:gridSpan w:val="2"/>
            <w:shd w:val="clear" w:color="auto" w:fill="CCEEFF"/>
          </w:tcPr>
          <w:p>
            <w:pPr>
              <w:spacing w:after="0"/>
              <w:rPr>
                <w:sz w:val="7"/>
                <w:szCs w:val="7"/>
                <w:color w:val="auto"/>
              </w:rPr>
            </w:pPr>
          </w:p>
        </w:tc>
        <w:tc>
          <w:tcPr>
            <w:tcW w:w="5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020" w:type="dxa"/>
            <w:vAlign w:val="bottom"/>
            <w:gridSpan w:val="2"/>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77,314</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81,691</w:t>
            </w:r>
          </w:p>
        </w:tc>
        <w:tc>
          <w:tcPr>
            <w:tcW w:w="0" w:type="dxa"/>
            <w:vAlign w:val="bottom"/>
          </w:tcPr>
          <w:p>
            <w:pPr>
              <w:spacing w:after="0"/>
              <w:rPr>
                <w:sz w:val="1"/>
                <w:szCs w:val="1"/>
                <w:color w:val="auto"/>
              </w:rPr>
            </w:pPr>
          </w:p>
        </w:tc>
      </w:tr>
      <w:tr>
        <w:trPr>
          <w:trHeight w:val="78"/>
        </w:trPr>
        <w:tc>
          <w:tcPr>
            <w:tcW w:w="72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556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$140 and $92 at September 30, 2016 and June 30, 2016, respectively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62,158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73,427</w:t>
            </w:r>
          </w:p>
        </w:tc>
        <w:tc>
          <w:tcPr>
            <w:tcW w:w="0" w:type="dxa"/>
            <w:vAlign w:val="bottom"/>
          </w:tcPr>
          <w:p>
            <w:pPr>
              <w:spacing w:after="0"/>
              <w:rPr>
                <w:sz w:val="1"/>
                <w:szCs w:val="1"/>
                <w:color w:val="auto"/>
              </w:rPr>
            </w:pPr>
          </w:p>
        </w:tc>
      </w:tr>
      <w:tr>
        <w:trPr>
          <w:trHeight w:val="73"/>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Unbilled receivables and costs in excess of billings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23,574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22,467</w:t>
            </w:r>
          </w:p>
        </w:tc>
        <w:tc>
          <w:tcPr>
            <w:tcW w:w="0" w:type="dxa"/>
            <w:vAlign w:val="bottom"/>
          </w:tcPr>
          <w:p>
            <w:pPr>
              <w:spacing w:after="0"/>
              <w:rPr>
                <w:sz w:val="1"/>
                <w:szCs w:val="1"/>
                <w:color w:val="auto"/>
              </w:rPr>
            </w:pPr>
          </w:p>
        </w:tc>
      </w:tr>
      <w:tr>
        <w:trPr>
          <w:trHeight w:val="78"/>
        </w:trPr>
        <w:tc>
          <w:tcPr>
            <w:tcW w:w="72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55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Inventory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58,443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58,284</w:t>
            </w:r>
          </w:p>
        </w:tc>
        <w:tc>
          <w:tcPr>
            <w:tcW w:w="0" w:type="dxa"/>
            <w:vAlign w:val="bottom"/>
          </w:tcPr>
          <w:p>
            <w:pPr>
              <w:spacing w:after="0"/>
              <w:rPr>
                <w:sz w:val="1"/>
                <w:szCs w:val="1"/>
                <w:color w:val="auto"/>
              </w:rPr>
            </w:pPr>
          </w:p>
        </w:tc>
      </w:tr>
      <w:tr>
        <w:trPr>
          <w:trHeight w:val="73"/>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shd w:val="clear" w:color="auto" w:fill="CCEEFF"/>
              </w:rPr>
              <w:t>Prepaid income taxes</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2,804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3,401</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5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6,122</w:t>
            </w:r>
          </w:p>
        </w:tc>
        <w:tc>
          <w:tcPr>
            <w:tcW w:w="0" w:type="dxa"/>
            <w:vAlign w:val="bottom"/>
          </w:tcPr>
          <w:p>
            <w:pPr>
              <w:spacing w:after="0"/>
              <w:rPr>
                <w:sz w:val="1"/>
                <w:szCs w:val="1"/>
                <w:color w:val="auto"/>
              </w:rPr>
            </w:pPr>
          </w:p>
        </w:tc>
      </w:tr>
      <w:tr>
        <w:trPr>
          <w:trHeight w:val="73"/>
        </w:trPr>
        <w:tc>
          <w:tcPr>
            <w:tcW w:w="720" w:type="dxa"/>
            <w:vAlign w:val="bottom"/>
            <w:tcBorders>
              <w:bottom w:val="single" w:sz="8" w:color="CCEEFF"/>
            </w:tcBorders>
          </w:tcPr>
          <w:p>
            <w:pPr>
              <w:spacing w:after="0"/>
              <w:rPr>
                <w:sz w:val="6"/>
                <w:szCs w:val="6"/>
                <w:color w:val="auto"/>
              </w:rPr>
            </w:pPr>
          </w:p>
        </w:tc>
        <w:tc>
          <w:tcPr>
            <w:tcW w:w="2300" w:type="dxa"/>
            <w:vAlign w:val="bottom"/>
            <w:tcBorders>
              <w:bottom w:val="single" w:sz="8" w:color="CCEEFF"/>
            </w:tcBorders>
          </w:tcPr>
          <w:p>
            <w:pPr>
              <w:spacing w:after="0"/>
              <w:rPr>
                <w:sz w:val="6"/>
                <w:szCs w:val="6"/>
                <w:color w:val="auto"/>
              </w:rPr>
            </w:pPr>
          </w:p>
        </w:tc>
        <w:tc>
          <w:tcPr>
            <w:tcW w:w="55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7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Total current assets</w:t>
            </w:r>
          </w:p>
        </w:tc>
        <w:tc>
          <w:tcPr>
            <w:tcW w:w="5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231,958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245,392</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73"/>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shd w:val="clear" w:color="auto" w:fill="CCEEFF"/>
              </w:rPr>
              <w:t>Property and equipment, net</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31,376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28,337</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30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344,525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344,027</w:t>
            </w:r>
          </w:p>
        </w:tc>
        <w:tc>
          <w:tcPr>
            <w:tcW w:w="0" w:type="dxa"/>
            <w:vAlign w:val="bottom"/>
          </w:tcPr>
          <w:p>
            <w:pPr>
              <w:spacing w:after="0"/>
              <w:rPr>
                <w:sz w:val="1"/>
                <w:szCs w:val="1"/>
                <w:color w:val="auto"/>
              </w:rPr>
            </w:pPr>
          </w:p>
        </w:tc>
      </w:tr>
      <w:tr>
        <w:trPr>
          <w:trHeight w:val="73"/>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shd w:val="clear" w:color="auto" w:fill="CCEEFF"/>
              </w:rPr>
              <w:t>Intangible assets, net</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112,071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116,673</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Other non-current assets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1,803</w:t>
            </w:r>
          </w:p>
        </w:tc>
        <w:tc>
          <w:tcPr>
            <w:tcW w:w="0" w:type="dxa"/>
            <w:vAlign w:val="bottom"/>
          </w:tcPr>
          <w:p>
            <w:pPr>
              <w:spacing w:after="0"/>
              <w:rPr>
                <w:sz w:val="1"/>
                <w:szCs w:val="1"/>
                <w:color w:val="auto"/>
              </w:rPr>
            </w:pPr>
          </w:p>
        </w:tc>
      </w:tr>
      <w:tr>
        <w:trPr>
          <w:trHeight w:val="73"/>
        </w:trPr>
        <w:tc>
          <w:tcPr>
            <w:tcW w:w="720" w:type="dxa"/>
            <w:vAlign w:val="bottom"/>
            <w:tcBorders>
              <w:bottom w:val="single" w:sz="8" w:color="CCEEFF"/>
            </w:tcBorders>
          </w:tcPr>
          <w:p>
            <w:pPr>
              <w:spacing w:after="0"/>
              <w:rPr>
                <w:sz w:val="6"/>
                <w:szCs w:val="6"/>
                <w:color w:val="auto"/>
              </w:rPr>
            </w:pPr>
          </w:p>
        </w:tc>
        <w:tc>
          <w:tcPr>
            <w:tcW w:w="2300" w:type="dxa"/>
            <w:vAlign w:val="bottom"/>
            <w:tcBorders>
              <w:bottom w:val="single" w:sz="8" w:color="CCEEFF"/>
            </w:tcBorders>
          </w:tcPr>
          <w:p>
            <w:pPr>
              <w:spacing w:after="0"/>
              <w:rPr>
                <w:sz w:val="6"/>
                <w:szCs w:val="6"/>
                <w:color w:val="auto"/>
              </w:rPr>
            </w:pPr>
          </w:p>
        </w:tc>
        <w:tc>
          <w:tcPr>
            <w:tcW w:w="55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7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Total assets</w:t>
            </w:r>
          </w:p>
        </w:tc>
        <w:tc>
          <w:tcPr>
            <w:tcW w:w="556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722,161</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736,496</w:t>
            </w:r>
          </w:p>
        </w:tc>
        <w:tc>
          <w:tcPr>
            <w:tcW w:w="0" w:type="dxa"/>
            <w:vAlign w:val="bottom"/>
          </w:tcPr>
          <w:p>
            <w:pPr>
              <w:spacing w:after="0"/>
              <w:rPr>
                <w:sz w:val="1"/>
                <w:szCs w:val="1"/>
                <w:color w:val="auto"/>
              </w:rPr>
            </w:pPr>
          </w:p>
        </w:tc>
      </w:tr>
      <w:tr>
        <w:trPr>
          <w:trHeight w:val="76"/>
        </w:trPr>
        <w:tc>
          <w:tcPr>
            <w:tcW w:w="720" w:type="dxa"/>
            <w:vAlign w:val="bottom"/>
            <w:tcBorders>
              <w:bottom w:val="single" w:sz="8" w:color="CCEEFF"/>
            </w:tcBorders>
            <w:shd w:val="clear" w:color="auto" w:fill="CCEEFF"/>
          </w:tcPr>
          <w:p>
            <w:pPr>
              <w:spacing w:after="0"/>
              <w:rPr>
                <w:sz w:val="6"/>
                <w:szCs w:val="6"/>
                <w:color w:val="auto"/>
              </w:rPr>
            </w:pPr>
          </w:p>
        </w:tc>
        <w:tc>
          <w:tcPr>
            <w:tcW w:w="2300" w:type="dxa"/>
            <w:vAlign w:val="bottom"/>
            <w:tcBorders>
              <w:bottom w:val="single" w:sz="8" w:color="CCEEFF"/>
            </w:tcBorders>
            <w:shd w:val="clear" w:color="auto" w:fill="CCEEFF"/>
          </w:tcPr>
          <w:p>
            <w:pPr>
              <w:spacing w:after="0"/>
              <w:rPr>
                <w:sz w:val="6"/>
                <w:szCs w:val="6"/>
                <w:color w:val="auto"/>
              </w:rPr>
            </w:pPr>
          </w:p>
        </w:tc>
        <w:tc>
          <w:tcPr>
            <w:tcW w:w="5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5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020" w:type="dxa"/>
            <w:vAlign w:val="bottom"/>
            <w:gridSpan w:val="2"/>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shd w:val="clear" w:color="auto" w:fill="CCEEFF"/>
              </w:rPr>
              <w:t>Current liabilities:</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5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19,283</w:t>
            </w:r>
          </w:p>
        </w:tc>
        <w:tc>
          <w:tcPr>
            <w:tcW w:w="10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26,723</w:t>
            </w:r>
          </w:p>
        </w:tc>
        <w:tc>
          <w:tcPr>
            <w:tcW w:w="0" w:type="dxa"/>
            <w:vAlign w:val="bottom"/>
          </w:tcPr>
          <w:p>
            <w:pPr>
              <w:spacing w:after="0"/>
              <w:rPr>
                <w:sz w:val="1"/>
                <w:szCs w:val="1"/>
                <w:color w:val="auto"/>
              </w:rPr>
            </w:pPr>
          </w:p>
        </w:tc>
      </w:tr>
      <w:tr>
        <w:trPr>
          <w:trHeight w:val="73"/>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shd w:val="clear" w:color="auto" w:fill="CCEEFF"/>
              </w:rPr>
              <w:t>Accrued expenses</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8,970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10,273</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5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Accrued compensation</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14,355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13,283</w:t>
            </w:r>
          </w:p>
        </w:tc>
        <w:tc>
          <w:tcPr>
            <w:tcW w:w="0" w:type="dxa"/>
            <w:vAlign w:val="bottom"/>
          </w:tcPr>
          <w:p>
            <w:pPr>
              <w:spacing w:after="0"/>
              <w:rPr>
                <w:sz w:val="1"/>
                <w:szCs w:val="1"/>
                <w:color w:val="auto"/>
              </w:rPr>
            </w:pPr>
          </w:p>
        </w:tc>
      </w:tr>
      <w:tr>
        <w:trPr>
          <w:trHeight w:val="73"/>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shd w:val="clear" w:color="auto" w:fill="CCEEFF"/>
              </w:rPr>
              <w:t>Deferred revenues and customer advances</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3,566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7,365</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5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73"/>
        </w:trPr>
        <w:tc>
          <w:tcPr>
            <w:tcW w:w="720" w:type="dxa"/>
            <w:vAlign w:val="bottom"/>
            <w:tcBorders>
              <w:bottom w:val="single" w:sz="8" w:color="CCEEFF"/>
            </w:tcBorders>
          </w:tcPr>
          <w:p>
            <w:pPr>
              <w:spacing w:after="0"/>
              <w:rPr>
                <w:sz w:val="6"/>
                <w:szCs w:val="6"/>
                <w:color w:val="auto"/>
              </w:rPr>
            </w:pPr>
          </w:p>
        </w:tc>
        <w:tc>
          <w:tcPr>
            <w:tcW w:w="2300" w:type="dxa"/>
            <w:vAlign w:val="bottom"/>
            <w:tcBorders>
              <w:bottom w:val="single" w:sz="8" w:color="CCEEFF"/>
            </w:tcBorders>
          </w:tcPr>
          <w:p>
            <w:pPr>
              <w:spacing w:after="0"/>
              <w:rPr>
                <w:sz w:val="6"/>
                <w:szCs w:val="6"/>
                <w:color w:val="auto"/>
              </w:rPr>
            </w:pPr>
          </w:p>
        </w:tc>
        <w:tc>
          <w:tcPr>
            <w:tcW w:w="55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7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Total current liabilities</w:t>
            </w:r>
          </w:p>
        </w:tc>
        <w:tc>
          <w:tcPr>
            <w:tcW w:w="5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56,174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67,644</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9,575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11,842</w:t>
            </w:r>
          </w:p>
        </w:tc>
        <w:tc>
          <w:tcPr>
            <w:tcW w:w="0" w:type="dxa"/>
            <w:vAlign w:val="bottom"/>
          </w:tcPr>
          <w:p>
            <w:pPr>
              <w:spacing w:after="0"/>
              <w:rPr>
                <w:sz w:val="1"/>
                <w:szCs w:val="1"/>
                <w:color w:val="auto"/>
              </w:rPr>
            </w:pPr>
          </w:p>
        </w:tc>
      </w:tr>
      <w:tr>
        <w:trPr>
          <w:trHeight w:val="73"/>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shd w:val="clear" w:color="auto" w:fill="CCEEFF"/>
              </w:rPr>
              <w:t>Income taxes payable</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Long-term debt</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180,246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182,275</w:t>
            </w:r>
          </w:p>
        </w:tc>
        <w:tc>
          <w:tcPr>
            <w:tcW w:w="0" w:type="dxa"/>
            <w:vAlign w:val="bottom"/>
          </w:tcPr>
          <w:p>
            <w:pPr>
              <w:spacing w:after="0"/>
              <w:rPr>
                <w:sz w:val="1"/>
                <w:szCs w:val="1"/>
                <w:color w:val="auto"/>
              </w:rPr>
            </w:pPr>
          </w:p>
        </w:tc>
      </w:tr>
      <w:tr>
        <w:trPr>
          <w:trHeight w:val="73"/>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shd w:val="clear" w:color="auto" w:fill="CCEEFF"/>
              </w:rPr>
              <w:t>Other non-current liabilities</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spacing w:after="0"/>
              <w:rPr>
                <w:sz w:val="15"/>
                <w:szCs w:val="15"/>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247,622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263,452</w:t>
            </w:r>
          </w:p>
        </w:tc>
        <w:tc>
          <w:tcPr>
            <w:tcW w:w="0" w:type="dxa"/>
            <w:vAlign w:val="bottom"/>
          </w:tcPr>
          <w:p>
            <w:pPr>
              <w:spacing w:after="0"/>
              <w:rPr>
                <w:sz w:val="1"/>
                <w:szCs w:val="1"/>
                <w:color w:val="auto"/>
              </w:rPr>
            </w:pPr>
          </w:p>
        </w:tc>
      </w:tr>
      <w:tr>
        <w:trPr>
          <w:trHeight w:val="73"/>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shd w:val="clear" w:color="auto" w:fill="CCEEFF"/>
              </w:rPr>
              <w:t>Commitments and contingencies (Note L)</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020" w:type="dxa"/>
            <w:vAlign w:val="bottom"/>
            <w:gridSpan w:val="2"/>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85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shd w:val="clear" w:color="auto" w:fill="CCEEFF"/>
              </w:rPr>
              <w:t>Preferred stock, $0.01 par value; 1,000,000 shares authorized; no shares issued or outstanding</w:t>
            </w:r>
          </w:p>
        </w:tc>
        <w:tc>
          <w:tcPr>
            <w:tcW w:w="1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8580" w:type="dxa"/>
            <w:vAlign w:val="bottom"/>
            <w:gridSpan w:val="3"/>
          </w:tcPr>
          <w:p>
            <w:pPr>
              <w:ind w:left="380"/>
              <w:spacing w:after="0" w:line="153" w:lineRule="exact"/>
              <w:rPr>
                <w:sz w:val="20"/>
                <w:szCs w:val="20"/>
                <w:color w:val="auto"/>
              </w:rPr>
            </w:pPr>
            <w:r>
              <w:rPr>
                <w:rFonts w:ascii="Times New Roman" w:cs="Times New Roman" w:eastAsia="Times New Roman" w:hAnsi="Times New Roman"/>
                <w:sz w:val="14"/>
                <w:szCs w:val="14"/>
                <w:color w:val="auto"/>
              </w:rPr>
              <w:t>Common stock, $0.01 par value; 85,000,000 shares authorized; 39,053,991 and 38,675,340 shares issued and outstanding at September 30,</w:t>
            </w:r>
          </w:p>
        </w:tc>
        <w:tc>
          <w:tcPr>
            <w:tcW w:w="160" w:type="dxa"/>
            <w:vAlign w:val="bottom"/>
          </w:tcPr>
          <w:p>
            <w:pPr>
              <w:spacing w:after="0"/>
              <w:rPr>
                <w:sz w:val="13"/>
                <w:szCs w:val="13"/>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93"/>
        </w:trPr>
        <w:tc>
          <w:tcPr>
            <w:tcW w:w="85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2016 and June 30, 2016, respectively</w:t>
            </w: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shd w:val="clear" w:color="auto" w:fill="CCEEFF"/>
              </w:rPr>
              <w:t>Additional paid-in capital</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355,164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357,500</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5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118,029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114,210</w:t>
            </w:r>
          </w:p>
        </w:tc>
        <w:tc>
          <w:tcPr>
            <w:tcW w:w="0" w:type="dxa"/>
            <w:vAlign w:val="bottom"/>
          </w:tcPr>
          <w:p>
            <w:pPr>
              <w:spacing w:after="0"/>
              <w:rPr>
                <w:sz w:val="1"/>
                <w:szCs w:val="1"/>
                <w:color w:val="auto"/>
              </w:rPr>
            </w:pPr>
          </w:p>
        </w:tc>
      </w:tr>
      <w:tr>
        <w:trPr>
          <w:trHeight w:val="73"/>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shd w:val="clear" w:color="auto" w:fill="CCEEFF"/>
              </w:rPr>
              <w:t>Accumulated other comprehensive income</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947</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tcPr>
          <w:p>
            <w:pPr>
              <w:spacing w:after="0"/>
              <w:rPr>
                <w:sz w:val="15"/>
                <w:szCs w:val="15"/>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474,539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473,044</w:t>
            </w:r>
          </w:p>
        </w:tc>
        <w:tc>
          <w:tcPr>
            <w:tcW w:w="0" w:type="dxa"/>
            <w:vAlign w:val="bottom"/>
          </w:tcPr>
          <w:p>
            <w:pPr>
              <w:spacing w:after="0"/>
              <w:rPr>
                <w:sz w:val="1"/>
                <w:szCs w:val="1"/>
                <w:color w:val="auto"/>
              </w:rPr>
            </w:pPr>
          </w:p>
        </w:tc>
      </w:tr>
      <w:tr>
        <w:trPr>
          <w:trHeight w:val="73"/>
        </w:trPr>
        <w:tc>
          <w:tcPr>
            <w:tcW w:w="720" w:type="dxa"/>
            <w:vAlign w:val="bottom"/>
            <w:tcBorders>
              <w:bottom w:val="single" w:sz="8" w:color="CCEEFF"/>
            </w:tcBorders>
          </w:tcPr>
          <w:p>
            <w:pPr>
              <w:spacing w:after="0"/>
              <w:rPr>
                <w:sz w:val="6"/>
                <w:szCs w:val="6"/>
                <w:color w:val="auto"/>
              </w:rPr>
            </w:pPr>
          </w:p>
        </w:tc>
        <w:tc>
          <w:tcPr>
            <w:tcW w:w="2300" w:type="dxa"/>
            <w:vAlign w:val="bottom"/>
            <w:tcBorders>
              <w:bottom w:val="single" w:sz="8" w:color="CCEEFF"/>
            </w:tcBorders>
          </w:tcPr>
          <w:p>
            <w:pPr>
              <w:spacing w:after="0"/>
              <w:rPr>
                <w:sz w:val="6"/>
                <w:szCs w:val="6"/>
                <w:color w:val="auto"/>
              </w:rPr>
            </w:pPr>
          </w:p>
        </w:tc>
        <w:tc>
          <w:tcPr>
            <w:tcW w:w="55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7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Total liabilities and shareholders’ equity</w:t>
            </w:r>
          </w:p>
        </w:tc>
        <w:tc>
          <w:tcPr>
            <w:tcW w:w="556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722,161</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736,496</w:t>
            </w:r>
          </w:p>
        </w:tc>
        <w:tc>
          <w:tcPr>
            <w:tcW w:w="0" w:type="dxa"/>
            <w:vAlign w:val="bottom"/>
          </w:tcPr>
          <w:p>
            <w:pPr>
              <w:spacing w:after="0"/>
              <w:rPr>
                <w:sz w:val="1"/>
                <w:szCs w:val="1"/>
                <w:color w:val="auto"/>
              </w:rPr>
            </w:pPr>
          </w:p>
        </w:tc>
      </w:tr>
      <w:tr>
        <w:trPr>
          <w:trHeight w:val="76"/>
        </w:trPr>
        <w:tc>
          <w:tcPr>
            <w:tcW w:w="720" w:type="dxa"/>
            <w:vAlign w:val="bottom"/>
            <w:tcBorders>
              <w:bottom w:val="single" w:sz="8" w:color="CCEEFF"/>
            </w:tcBorders>
            <w:shd w:val="clear" w:color="auto" w:fill="CCEEFF"/>
          </w:tcPr>
          <w:p>
            <w:pPr>
              <w:spacing w:after="0"/>
              <w:rPr>
                <w:sz w:val="6"/>
                <w:szCs w:val="6"/>
                <w:color w:val="auto"/>
              </w:rPr>
            </w:pPr>
          </w:p>
        </w:tc>
        <w:tc>
          <w:tcPr>
            <w:tcW w:w="2300" w:type="dxa"/>
            <w:vAlign w:val="bottom"/>
            <w:tcBorders>
              <w:bottom w:val="single" w:sz="8" w:color="CCEEFF"/>
            </w:tcBorders>
            <w:shd w:val="clear" w:color="auto" w:fill="CCEEFF"/>
          </w:tcPr>
          <w:p>
            <w:pPr>
              <w:spacing w:after="0"/>
              <w:rPr>
                <w:sz w:val="6"/>
                <w:szCs w:val="6"/>
                <w:color w:val="auto"/>
              </w:rPr>
            </w:pPr>
          </w:p>
        </w:tc>
        <w:tc>
          <w:tcPr>
            <w:tcW w:w="5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type w:val="continuous"/>
        </w:sectPr>
      </w:pPr>
    </w:p>
    <w:bookmarkStart w:id="3" w:name="page4"/>
    <w:bookmarkEnd w:id="3"/>
    <w:p>
      <w:pPr>
        <w:ind w:left="4580"/>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11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36"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87,649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58,409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48,205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30,107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39,444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28,302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12,126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8,866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Acquisition costs and other related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35,702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25,171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(benefit) provision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net earnings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67"/>
        </w:trPr>
        <w:tc>
          <w:tcPr>
            <w:tcW w:w="8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color w:val="auto"/>
                <w:shd w:val="clear" w:color="auto" w:fill="CCEEFF"/>
              </w:rPr>
              <w:t>Diluted net earnings per share</w:t>
            </w:r>
          </w:p>
        </w:tc>
        <w:tc>
          <w:tcPr>
            <w:tcW w:w="300" w:type="dxa"/>
            <w:vAlign w:val="bottom"/>
            <w:shd w:val="clear" w:color="auto" w:fill="CCEEFF"/>
          </w:tcPr>
          <w:p>
            <w:pPr>
              <w:jc w:val="right"/>
              <w:ind w:right="90"/>
              <w:spacing w:after="0" w:line="18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1"/>
              <w:spacing w:after="0" w:line="183"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50"/>
              <w:spacing w:after="0" w:line="18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line="183" w:lineRule="exact"/>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68"/>
        </w:trPr>
        <w:tc>
          <w:tcPr>
            <w:tcW w:w="880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Weighted-average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38,865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32,778</w:t>
            </w:r>
          </w:p>
        </w:tc>
        <w:tc>
          <w:tcPr>
            <w:tcW w:w="0" w:type="dxa"/>
            <w:vAlign w:val="bottom"/>
          </w:tcPr>
          <w:p>
            <w:pPr>
              <w:spacing w:after="0"/>
              <w:rPr>
                <w:sz w:val="1"/>
                <w:szCs w:val="1"/>
                <w:color w:val="auto"/>
              </w:rPr>
            </w:pPr>
          </w:p>
        </w:tc>
      </w:tr>
      <w:tr>
        <w:trPr>
          <w:trHeight w:val="67"/>
        </w:trPr>
        <w:tc>
          <w:tcPr>
            <w:tcW w:w="8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ind w:left="380"/>
              <w:spacing w:after="0" w:line="183" w:lineRule="exact"/>
              <w:rPr>
                <w:sz w:val="20"/>
                <w:szCs w:val="20"/>
                <w:color w:val="auto"/>
              </w:rPr>
            </w:pPr>
            <w:r>
              <w:rPr>
                <w:rFonts w:ascii="Times New Roman" w:cs="Times New Roman" w:eastAsia="Times New Roman" w:hAnsi="Times New Roman"/>
                <w:sz w:val="18"/>
                <w:szCs w:val="18"/>
                <w:color w:val="auto"/>
                <w:shd w:val="clear" w:color="auto" w:fill="CCEEFF"/>
              </w:rPr>
              <w:t>Diluted</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1"/>
              <w:spacing w:after="0" w:line="183" w:lineRule="exact"/>
              <w:rPr>
                <w:sz w:val="20"/>
                <w:szCs w:val="20"/>
                <w:color w:val="auto"/>
              </w:rPr>
            </w:pPr>
            <w:r>
              <w:rPr>
                <w:rFonts w:ascii="Times New Roman" w:cs="Times New Roman" w:eastAsia="Times New Roman" w:hAnsi="Times New Roman"/>
                <w:sz w:val="18"/>
                <w:szCs w:val="18"/>
                <w:color w:val="auto"/>
              </w:rPr>
              <w:t>39,865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1"/>
              <w:spacing w:after="0" w:line="183" w:lineRule="exact"/>
              <w:rPr>
                <w:sz w:val="20"/>
                <w:szCs w:val="20"/>
                <w:color w:val="auto"/>
              </w:rPr>
            </w:pPr>
            <w:r>
              <w:rPr>
                <w:rFonts w:ascii="Times New Roman" w:cs="Times New Roman" w:eastAsia="Times New Roman" w:hAnsi="Times New Roman"/>
                <w:sz w:val="18"/>
                <w:szCs w:val="18"/>
                <w:color w:val="auto"/>
              </w:rPr>
              <w:t>33,616</w:t>
            </w:r>
          </w:p>
        </w:tc>
        <w:tc>
          <w:tcPr>
            <w:tcW w:w="0" w:type="dxa"/>
            <w:vAlign w:val="bottom"/>
          </w:tcPr>
          <w:p>
            <w:pPr>
              <w:spacing w:after="0"/>
              <w:rPr>
                <w:sz w:val="1"/>
                <w:szCs w:val="1"/>
                <w:color w:val="auto"/>
              </w:rPr>
            </w:pPr>
          </w:p>
        </w:tc>
      </w:tr>
      <w:tr>
        <w:trPr>
          <w:trHeight w:val="68"/>
        </w:trPr>
        <w:tc>
          <w:tcPr>
            <w:tcW w:w="880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Foreign currency 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2,873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684" w:right="239" w:bottom="1440" w:gutter="0" w:footer="0" w:header="0"/>
        </w:sectPr>
      </w:pPr>
    </w:p>
    <w:bookmarkStart w:id="4" w:name="page5"/>
    <w:bookmarkEnd w:id="4"/>
    <w:p>
      <w:pPr>
        <w:ind w:left="4580"/>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6"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Benefit for deferred income taxes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shd w:val="clear" w:color="auto" w:fill="CCEEFF"/>
              </w:rPr>
              <w:t>Non-cash interest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non-cash items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Changes in operating assets and liabilities, net of effects of businesses acquired:</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unbilled receivables, and costs in excess of billings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6"/>
              </w:rPr>
              <w:t>10,111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shd w:val="clear" w:color="auto" w:fill="CCEEFF"/>
              </w:rPr>
              <w:t>Inventory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income taxes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shd w:val="clear" w:color="auto" w:fill="CCEEFF"/>
              </w:rPr>
              <w:t>Prepaid expenses and other 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shd w:val="clear" w:color="auto" w:fill="CCEEFF"/>
              </w:rPr>
              <w:t>Accounts payable and accrued expenses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9,017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revenues and customer advances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shd w:val="clear" w:color="auto" w:fill="CCEEFF"/>
              </w:rPr>
              <w:t>Income taxes payable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cash provided by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10,283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6,582</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Purchases of property and equipment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other investing activities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cash used in investing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Proceeds from employee stock plans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for retirement of common stock</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Payments of term debt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Effect of exchange rate changes on cash and cash equivalents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Cash and cash equivalents at beginning of period</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81,691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77,586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00" w:type="dxa"/>
            <w:vAlign w:val="bottom"/>
            <w:tcBorders>
              <w:top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6"/>
              </w:rPr>
              <w:t>77,314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79,073</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34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color w:val="auto"/>
                <w:shd w:val="clear" w:color="auto" w:fill="CCEEFF"/>
              </w:rPr>
              <w:t>Cash paid during the period for:</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83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w:t>
            </w: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340" w:type="dxa"/>
            <w:vAlign w:val="bottom"/>
            <w:shd w:val="clear" w:color="auto" w:fill="CCEEFF"/>
          </w:tcPr>
          <w:p>
            <w:pPr>
              <w:ind w:left="380"/>
              <w:spacing w:after="0" w:line="183" w:lineRule="exact"/>
              <w:rPr>
                <w:sz w:val="20"/>
                <w:szCs w:val="20"/>
                <w:color w:val="auto"/>
              </w:rPr>
            </w:pPr>
            <w:r>
              <w:rPr>
                <w:rFonts w:ascii="Times New Roman" w:cs="Times New Roman" w:eastAsia="Times New Roman" w:hAnsi="Times New Roman"/>
                <w:sz w:val="18"/>
                <w:szCs w:val="18"/>
                <w:color w:val="auto"/>
                <w:shd w:val="clear" w:color="auto" w:fill="CCEEFF"/>
              </w:rPr>
              <w:t>Income taxes</w:t>
            </w:r>
          </w:p>
        </w:tc>
        <w:tc>
          <w:tcPr>
            <w:tcW w:w="900" w:type="dxa"/>
            <w:vAlign w:val="bottom"/>
            <w:shd w:val="clear" w:color="auto" w:fill="CCEEFF"/>
          </w:tcPr>
          <w:p>
            <w:pPr>
              <w:jc w:val="right"/>
              <w:ind w:right="693"/>
              <w:spacing w:after="0" w:line="18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
              <w:spacing w:after="0" w:line="183" w:lineRule="exact"/>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90"/>
              <w:spacing w:after="0" w:line="18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line="183"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68"/>
        </w:trPr>
        <w:tc>
          <w:tcPr>
            <w:tcW w:w="834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spacing w:after="0"/>
              <w:rPr>
                <w:sz w:val="5"/>
                <w:szCs w:val="5"/>
                <w:color w:val="auto"/>
              </w:rPr>
            </w:pPr>
          </w:p>
        </w:tc>
        <w:tc>
          <w:tcPr>
            <w:tcW w:w="60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Supplemental disclosures—non-cash activities:</w:t>
            </w: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Issuance of restricted stock awards to employees</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15,002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7,114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ind w:left="4580"/>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11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Mercury Systems, Inc. (the “Company” or “Mercury”) is a leading commercial provider of secure processing subsystems designed and made in the U.S.A. Optimized for customer and mission success, its solutions power a wide variety of critical defense and intelligence programs. Headquartered in Chelmsford, Massachusetts, it is pioneering a next-generation defense electronics business model specifically designed to meet the industry's current and emerging technology and business needs. The Company delivers affordable innovative solutions, rapid time-to-value and service and support to its defense prime contractor customers. The Company's products and solutions have been deployed in more than 300 programs with over 25 different defense prime contractors. Key programs include Aegis, Patriot, Surface Electronic Warfare Improvement Program ("SEWIP"), Gorgon Stare, Predator, F-35, Reaper and Digital Electronic Warfare System ("DEWS"). The Company's organizational structure allows it to deliver capabilities that combine technology building blocks and deep domain expertise in the defense sector.</w:t>
      </w:r>
    </w:p>
    <w:p>
      <w:pPr>
        <w:spacing w:after="0" w:line="20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ASIS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RESENTATION</w:t>
      </w:r>
    </w:p>
    <w:p>
      <w:pPr>
        <w:spacing w:after="0" w:line="13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by the Company in accordance with accounting principles generally accepted in the United States of America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2016 which are contained in the Company’s Annual Report on Form 10-K filed with the Securities and Exchange Commission (“SEC”) on August 16, 2016. The results for the three months ended September 30, 2016 are not necessarily indicative of the results to be expected for the full fiscal year.</w:t>
      </w:r>
    </w:p>
    <w:p>
      <w:pPr>
        <w:spacing w:after="0" w:line="7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transactions and balances have been eliminated in consolidation.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4"/>
          <w:szCs w:val="14"/>
          <w:color w:val="auto"/>
        </w:rPr>
        <w:t>SE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STIMATES</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4"/>
          <w:szCs w:val="14"/>
          <w:color w:val="auto"/>
        </w:rPr>
        <w:t>ECLASSIFICATION</w:t>
      </w:r>
    </w:p>
    <w:p>
      <w:pPr>
        <w:spacing w:after="0" w:line="12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restated the income tax provision amount for the three months ended September 30, 2015 for the adoption of FASB Accounting Standards Update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The Company’s Consolidated Statements of Operations and Comprehensive Income and Consolidated Statements of Cash Flows have been updated to reflect this change.</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included costs related to the sustainment of its product portfolio as research and development expense, which was previously included as costs of revenue on the Consolidated Statements of Operations and Comprehensive Income. For comparative purposes, for the three months ended September 30, 2015, the Company has reclassified $773 from costs of revenues to research and development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USINESS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OMBINATIONS</w:t>
      </w:r>
    </w:p>
    <w:p>
      <w:pPr>
        <w:spacing w:after="0" w:line="129"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The Company utilizes the acquisition method of accounting under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the measurement date for all assets and liabilities assumed. The Company also utilizes FASB ASC 805 for the initial recognition and measurement, subsequent measurement and accounting, and disclosure of assets and liabilities arising from contingencies in business combinations.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EVENUE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ECOGNITION</w:t>
      </w:r>
    </w:p>
    <w:p>
      <w:pPr>
        <w:spacing w:after="0" w:line="1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Company relies upon FASB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to account for its revenue transactions. Revenue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reimbursable by the customer are included in revenue and cost of revenue.</w:t>
      </w:r>
    </w:p>
    <w:p>
      <w:pPr>
        <w:spacing w:after="0" w:line="7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7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Company uses FASB ASU No. 2009-13 (“FASB ASU 2009-13”), </w:t>
      </w:r>
      <w:r>
        <w:rPr>
          <w:rFonts w:ascii="Times New Roman" w:cs="Times New Roman" w:eastAsia="Times New Roman" w:hAnsi="Times New Roman"/>
          <w:sz w:val="18"/>
          <w:szCs w:val="18"/>
          <w:i w:val="1"/>
          <w:iCs w:val="1"/>
          <w:color w:val="auto"/>
        </w:rPr>
        <w:t>Multiple-Deliverable Revenue Arrangements</w:t>
      </w:r>
      <w:r>
        <w:rPr>
          <w:rFonts w:ascii="Times New Roman" w:cs="Times New Roman" w:eastAsia="Times New Roman" w:hAnsi="Times New Roman"/>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7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35% and 48% of total revenues in the three months ended September 30, 2016, and 2015, respectively.</w:t>
      </w:r>
    </w:p>
    <w:p>
      <w:pPr>
        <w:spacing w:after="0" w:line="6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 The objective of BESP is to determine the price at which the Company would transact if the product or service were sold by the Company on a standalone basis.</w:t>
      </w:r>
    </w:p>
    <w:p>
      <w:pPr>
        <w:spacing w:after="0" w:line="7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7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6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relative to delivered products. The Company considers a deliverable to have standalone value if the item is sold separately by the Company or another vendor or if the item could be resold by the customer.</w:t>
      </w:r>
    </w:p>
    <w:p>
      <w:pPr>
        <w:spacing w:after="0" w:line="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Company also engages in long-term contracts for development, production and services activities which it accounts for consistent with FASB ASC 605-35, </w:t>
      </w:r>
      <w:r>
        <w:rPr>
          <w:rFonts w:ascii="Times New Roman" w:cs="Times New Roman" w:eastAsia="Times New Roman" w:hAnsi="Times New Roman"/>
          <w:sz w:val="18"/>
          <w:szCs w:val="18"/>
          <w:i w:val="1"/>
          <w:iCs w:val="1"/>
          <w:color w:val="auto"/>
        </w:rPr>
        <w:t>Accounting for Performance of Construction-Type and Certain Production-Type Contracts</w:t>
      </w:r>
      <w:r>
        <w:rPr>
          <w:rFonts w:ascii="Times New Roman" w:cs="Times New Roman" w:eastAsia="Times New Roman" w:hAnsi="Times New Roman"/>
          <w:sz w:val="18"/>
          <w:szCs w:val="18"/>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The risk to the Company on a fixed-price contract is that if estimates to complete the contract change from one period to the next, profit levels will vary from period to period. For time and materials contracts, revenue reflects the number of direct labor hours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742" w:right="2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also considers whether contracts should be combined or segmented in accordance with the applicable criteria under GAAP. The Company combines closely related contracts when all the applicable criteria under GAAP are met. The combination of two or more contracts requires judgment in determining whether the intent of entering into the contracts was effectively to enter into a single project, which should be combined to reflect an overall profit rate. Similarly, the Company may separate a project, which may consist of a single contract or group of contracts, with varying rates of profitability, only if the applicable criteria under GAAP are met. Judgment also is involved in determining whether a single contract or group of contracts may be segmented based on how the arrangement was negotiated and the performance criteria. The decision to combine a group of contracts or segment a contract could change the amount of revenue and gross profit recorded in a given period.</w:t>
      </w:r>
    </w:p>
    <w:p>
      <w:pPr>
        <w:spacing w:after="0" w:line="8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Contract costs also may include estimated contract recoveries for matters such as contract changes and claims for unanticipated contract costs. The Company records revenue associated with these matters only when the amount of recovery can be estimated reliably and realization is probable.</w:t>
      </w:r>
    </w:p>
    <w:p>
      <w:pPr>
        <w:spacing w:after="0" w:line="5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defines service revenues as revenue from activities that are not associated with the design, development, production, or delivery of tangible assets, software or specific capabilities sold. Examples of the Company's service revenues include: analyst services and systems engineering support, consulting, maintenance and other support, testing and installation. The Company combines its product and service revenues into a single class as service revenues are less than 10 percent of total revenues.</w:t>
      </w:r>
    </w:p>
    <w:p>
      <w:pPr>
        <w:spacing w:after="0" w:line="7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ectPr>
          <w:pgSz w:w="11900" w:h="16838" w:orient="portrait"/>
          <w:cols w:equalWidth="0" w:num="1">
            <w:col w:w="11420"/>
          </w:cols>
          <w:pgMar w:left="240" w:top="688" w:right="239" w:bottom="1440" w:gutter="0" w:footer="0" w:header="0"/>
        </w:sectPr>
      </w:pP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EIGHTED</w:t>
      </w: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VERAGE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HARES</w:t>
      </w:r>
    </w:p>
    <w:p>
      <w:pPr>
        <w:spacing w:after="0" w:line="131" w:lineRule="exact"/>
        <w:rPr>
          <w:sz w:val="20"/>
          <w:szCs w:val="20"/>
          <w:color w:val="auto"/>
        </w:rPr>
      </w:pPr>
    </w:p>
    <w:p>
      <w:pPr>
        <w:jc w:val="right"/>
        <w:ind w:right="4380"/>
        <w:spacing w:after="0"/>
        <w:rPr>
          <w:sz w:val="20"/>
          <w:szCs w:val="20"/>
          <w:color w:val="auto"/>
        </w:rPr>
      </w:pPr>
      <w:r>
        <w:rPr>
          <w:rFonts w:ascii="Times New Roman" w:cs="Times New Roman" w:eastAsia="Times New Roman" w:hAnsi="Times New Roman"/>
          <w:sz w:val="18"/>
          <w:szCs w:val="18"/>
          <w:color w:val="auto"/>
        </w:rPr>
        <w:t>Weighted-average shares were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Basic weighted-average shares outstanding</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Effect of dilutive equity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Diluted weighted-average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13335</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5" w:lineRule="exact"/>
        <w:rPr>
          <w:sz w:val="20"/>
          <w:szCs w:val="20"/>
          <w:color w:val="auto"/>
        </w:rPr>
      </w:pPr>
    </w:p>
    <w:p>
      <w:pPr>
        <w:ind w:left="300"/>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61" w:lineRule="exact"/>
        <w:rPr>
          <w:sz w:val="20"/>
          <w:szCs w:val="20"/>
          <w:color w:val="auto"/>
        </w:rPr>
      </w:pPr>
    </w:p>
    <w:p>
      <w:pPr>
        <w:ind w:left="340"/>
        <w:spacing w:after="0"/>
        <w:tabs>
          <w:tab w:leader="none" w:pos="1460" w:val="left"/>
        </w:tabs>
        <w:rPr>
          <w:sz w:val="20"/>
          <w:szCs w:val="20"/>
          <w:color w:val="auto"/>
        </w:rPr>
      </w:pPr>
      <w:r>
        <w:rPr>
          <w:rFonts w:ascii="Times New Roman" w:cs="Times New Roman" w:eastAsia="Times New Roman" w:hAnsi="Times New Roman"/>
          <w:sz w:val="18"/>
          <w:szCs w:val="18"/>
          <w:color w:val="auto"/>
        </w:rPr>
        <w:t>38,865</w:t>
      </w:r>
      <w:r>
        <w:rPr>
          <w:sz w:val="20"/>
          <w:szCs w:val="20"/>
          <w:color w:val="auto"/>
        </w:rPr>
        <w:tab/>
      </w:r>
      <w:r>
        <w:rPr>
          <w:rFonts w:ascii="Times New Roman" w:cs="Times New Roman" w:eastAsia="Times New Roman" w:hAnsi="Times New Roman"/>
          <w:sz w:val="18"/>
          <w:szCs w:val="18"/>
          <w:color w:val="auto"/>
        </w:rPr>
        <w:t>32,778</w:t>
      </w:r>
    </w:p>
    <w:p>
      <w:pPr>
        <w:spacing w:after="0" w:line="63" w:lineRule="exact"/>
        <w:rPr>
          <w:sz w:val="20"/>
          <w:szCs w:val="20"/>
          <w:color w:val="auto"/>
        </w:rPr>
      </w:pPr>
    </w:p>
    <w:p>
      <w:pPr>
        <w:ind w:left="440"/>
        <w:spacing w:after="0"/>
        <w:tabs>
          <w:tab w:leader="none" w:pos="1680" w:val="left"/>
        </w:tabs>
        <w:rPr>
          <w:sz w:val="20"/>
          <w:szCs w:val="20"/>
          <w:color w:val="auto"/>
        </w:rPr>
      </w:pPr>
      <w:r>
        <w:rPr>
          <w:rFonts w:ascii="Times New Roman" w:cs="Times New Roman" w:eastAsia="Times New Roman" w:hAnsi="Times New Roman"/>
          <w:sz w:val="18"/>
          <w:szCs w:val="18"/>
          <w:color w:val="auto"/>
        </w:rPr>
        <w:t>1,000</w:t>
      </w:r>
      <w:r>
        <w:rPr>
          <w:sz w:val="20"/>
          <w:szCs w:val="20"/>
          <w:color w:val="auto"/>
        </w:rPr>
        <w:tab/>
      </w:r>
      <w:r>
        <w:rPr>
          <w:rFonts w:ascii="Times New Roman" w:cs="Times New Roman" w:eastAsia="Times New Roman" w:hAnsi="Times New Roman"/>
          <w:sz w:val="18"/>
          <w:szCs w:val="18"/>
          <w:color w:val="auto"/>
        </w:rPr>
        <w:t>838</w:t>
      </w:r>
    </w:p>
    <w:p>
      <w:pPr>
        <w:spacing w:after="0" w:line="77" w:lineRule="exact"/>
        <w:rPr>
          <w:sz w:val="20"/>
          <w:szCs w:val="20"/>
          <w:color w:val="auto"/>
        </w:rPr>
      </w:pPr>
    </w:p>
    <w:p>
      <w:pPr>
        <w:ind w:left="340"/>
        <w:spacing w:after="0"/>
        <w:tabs>
          <w:tab w:leader="none" w:pos="1460" w:val="left"/>
        </w:tabs>
        <w:rPr>
          <w:sz w:val="20"/>
          <w:szCs w:val="20"/>
          <w:color w:val="auto"/>
        </w:rPr>
      </w:pPr>
      <w:r>
        <w:rPr>
          <w:rFonts w:ascii="Times New Roman" w:cs="Times New Roman" w:eastAsia="Times New Roman" w:hAnsi="Times New Roman"/>
          <w:sz w:val="18"/>
          <w:szCs w:val="18"/>
          <w:color w:val="auto"/>
        </w:rPr>
        <w:t>39,865</w:t>
      </w:r>
      <w:r>
        <w:rPr>
          <w:sz w:val="20"/>
          <w:szCs w:val="20"/>
          <w:color w:val="auto"/>
        </w:rPr>
        <w:tab/>
      </w:r>
      <w:r>
        <w:rPr>
          <w:rFonts w:ascii="Times New Roman" w:cs="Times New Roman" w:eastAsia="Times New Roman" w:hAnsi="Times New Roman"/>
          <w:sz w:val="18"/>
          <w:szCs w:val="18"/>
          <w:color w:val="auto"/>
        </w:rPr>
        <w:t>33,616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51435</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8620" w:space="720"/>
            <w:col w:w="2080"/>
          </w:cols>
          <w:pgMar w:left="240" w:top="688" w:right="239" w:bottom="1440" w:gutter="0" w:footer="0" w:header="0"/>
          <w:type w:val="continuous"/>
        </w:sect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Equity instruments to purchase 22 and 356 shares of common stock were not included in the calculation of diluted net earnings per share for the three months ended September 30, 2016, and 2015, respectively, because the equity instruments were anti-dilutive.</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September 30, 2016 basic shares outstanding include the impact of 5,175 shares from the underwritten common stock public offering on April 4, 2016.</w:t>
      </w:r>
    </w:p>
    <w:p>
      <w:pPr>
        <w:spacing w:after="0" w:line="194" w:lineRule="exact"/>
        <w:rPr>
          <w:sz w:val="20"/>
          <w:szCs w:val="20"/>
          <w:color w:val="auto"/>
        </w:rPr>
      </w:pPr>
    </w:p>
    <w:p>
      <w:pPr>
        <w:ind w:left="840" w:hanging="832"/>
        <w:spacing w:after="0"/>
        <w:tabs>
          <w:tab w:leader="none" w:pos="8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ARVE-</w:t>
      </w: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UT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USINESS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QUISITION</w:t>
      </w:r>
    </w:p>
    <w:p>
      <w:pPr>
        <w:spacing w:after="0" w:line="17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March 23, 2016, the Company and Microsemi Corporation (“Microsemi”) entered into a Stock Purchase Agreement, pursuant to which, Microsemi agreed to sell all the membership interests in its custom microelectronics, RF and microwave solutions and embedded security operations (the "Carve-Out Business”) to the Company for $300,000 in cash on a cash-free, debt-free basis, subject to a working capital adjustment. On May 2, 2016, the transaction closed and the Company acquired the Carve-Out Business. Pursuant to the terms of the Stock Purchase Agreement, all outstanding Carve-Out Business employee stock awards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688" w:right="239" w:bottom="1440" w:gutter="0" w:footer="0" w:header="0"/>
          <w:type w:val="continuous"/>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that were unvested at the closing were replaced by Mercury. The replacement stock awards granted were determined based on a conversion ratio provided in the Stock Purchase Agreement. Mercury funded the acquisition with a combination of a new $200,000 bank term loan facility (see Note I) and cash on hand, which included net proceeds of approximately $92,788 raised from an underwritten common stock public offering.</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net purchase price and the preliminary fair values of the assets and liabilities of the Carve-Out Business: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4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at closing</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300,000</w:t>
            </w:r>
          </w:p>
        </w:tc>
      </w:tr>
      <w:tr>
        <w:trPr>
          <w:trHeight w:val="243"/>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Value allocated to replacement awards</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407</w:t>
            </w:r>
          </w:p>
        </w:tc>
      </w:tr>
      <w:tr>
        <w:trPr>
          <w:trHeight w:val="27"/>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purchase price</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300,407</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57"/>
        </w:trPr>
        <w:tc>
          <w:tcPr>
            <w:tcW w:w="9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fair value of tangible assets acquired and liabilities assumed</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and cost in excess of billings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17,023</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25,477</w:t>
            </w:r>
          </w:p>
        </w:tc>
      </w:tr>
      <w:tr>
        <w:trPr>
          <w:trHeight w:val="243"/>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13,996</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524</w:t>
            </w:r>
          </w:p>
        </w:tc>
      </w:tr>
      <w:tr>
        <w:trPr>
          <w:trHeight w:val="243"/>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(25,477)</w:t>
            </w:r>
          </w:p>
        </w:tc>
      </w:tr>
      <w:tr>
        <w:trPr>
          <w:trHeight w:val="237"/>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fair value of net tangible assets acquired</w:t>
            </w:r>
          </w:p>
        </w:tc>
        <w:tc>
          <w:tcPr>
            <w:tcW w:w="4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26,866</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fair value of identifiable intangible assets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102,800</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goodwill</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170,741</w:t>
            </w:r>
          </w:p>
        </w:tc>
      </w:tr>
      <w:tr>
        <w:trPr>
          <w:trHeight w:val="27"/>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fair value of assets acquired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300,407</w:t>
            </w:r>
          </w:p>
        </w:tc>
      </w:tr>
      <w:tr>
        <w:trPr>
          <w:trHeight w:val="257"/>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purchase price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300,407</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amounts above represent the preliminary fair value estimates as of September 30, 2016 and are subject to subsequent adjustment as the Company obtains additional information during the measurement period and finalizes its fair value estimates. The preliminary identifiable intangible asset estimates include customer relationships of $70,900, completed technology of $29,700 and backlog of $2,200. Any subsequent adjustments to these fair value estimates occurring during the measurement period will result in an adjustment to goodwill.</w:t>
      </w:r>
    </w:p>
    <w:p>
      <w:pPr>
        <w:spacing w:after="0" w:line="7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goodwill of $170,741 largely reflects the potential synergies and expansion of the Company's offerings across product lines and markets complementary to the Company's existing products and markets. The Carve-Out Business provides the Company with additional capability and expertise related to embedded security custom microelectronics, and microwave and radio frequency technology. The acquisition is directly aligned with the Company's strategy of expanding its capabilities, services and offerings along the sensor processing chain. The goodwill from this acquisition is reported under the Carve-Out Business reporting unit. As of September 30, 2016, the Company had $29,266 of goodwill deductible for tax purposes.</w:t>
      </w:r>
    </w:p>
    <w:p>
      <w:pPr>
        <w:spacing w:after="0" w:line="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revenues and net loss from the Carve-Out Business included in the Company's consolidated results for the three months ended September 30, 2016 were $24,311 and $(2,419),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16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supplemental statements of operations information on an unaudited pro forma basis as if the Carve-Out Business acquisition had occurred on July 1, 2015: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43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4320" w:type="dxa"/>
            <w:vAlign w:val="bottom"/>
            <w:tcBorders>
              <w:bottom w:val="single" w:sz="8" w:color="CCEEFF"/>
            </w:tcBorders>
          </w:tcPr>
          <w:p>
            <w:pPr>
              <w:spacing w:after="0"/>
              <w:rPr>
                <w:sz w:val="17"/>
                <w:szCs w:val="17"/>
                <w:color w:val="auto"/>
              </w:rPr>
            </w:pPr>
          </w:p>
        </w:tc>
        <w:tc>
          <w:tcPr>
            <w:tcW w:w="5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Pro forma net revenues</w:t>
            </w:r>
          </w:p>
        </w:tc>
        <w:tc>
          <w:tcPr>
            <w:tcW w:w="5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83,103</w:t>
            </w:r>
          </w:p>
        </w:tc>
      </w:tr>
      <w:tr>
        <w:trPr>
          <w:trHeight w:val="243"/>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net income</w:t>
            </w:r>
          </w:p>
        </w:tc>
        <w:tc>
          <w:tcPr>
            <w:tcW w:w="5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2,039</w:t>
            </w:r>
          </w:p>
        </w:tc>
      </w:tr>
      <w:tr>
        <w:trPr>
          <w:trHeight w:val="27"/>
        </w:trPr>
        <w:tc>
          <w:tcPr>
            <w:tcW w:w="43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Basic pro forma net earnings per share</w:t>
            </w:r>
          </w:p>
        </w:tc>
        <w:tc>
          <w:tcPr>
            <w:tcW w:w="5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0.05</w:t>
            </w:r>
          </w:p>
        </w:tc>
      </w:tr>
      <w:tr>
        <w:trPr>
          <w:trHeight w:val="243"/>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pro forma net earnings per share</w:t>
            </w:r>
          </w:p>
        </w:tc>
        <w:tc>
          <w:tcPr>
            <w:tcW w:w="5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0.05</w:t>
            </w:r>
          </w:p>
        </w:tc>
      </w:tr>
      <w:tr>
        <w:trPr>
          <w:trHeight w:val="486"/>
        </w:trPr>
        <w:tc>
          <w:tcPr>
            <w:tcW w:w="4320" w:type="dxa"/>
            <w:vAlign w:val="bottom"/>
          </w:tcPr>
          <w:p>
            <w:pPr>
              <w:spacing w:after="0"/>
              <w:rPr>
                <w:sz w:val="24"/>
                <w:szCs w:val="24"/>
                <w:color w:val="auto"/>
              </w:rPr>
            </w:pPr>
          </w:p>
        </w:tc>
        <w:tc>
          <w:tcPr>
            <w:tcW w:w="5400" w:type="dxa"/>
            <w:vAlign w:val="bottom"/>
          </w:tcPr>
          <w:p>
            <w:pPr>
              <w:jc w:val="right"/>
              <w:ind w:right="387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9" w:name="page10"/>
    <w:bookmarkEnd w:id="9"/>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unaudited pro forma results presented above are for illustrative purposes only for the applicable periods and do not purport to be indicative of the actual results which would have occurred had the transaction been completed as of the beginning of the period, nor are they indicative of results of operations which may occur in the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EWIS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NNOVATIVE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ECHNOLOGIES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CQUISITION</w:t>
      </w:r>
    </w:p>
    <w:p>
      <w:pPr>
        <w:spacing w:after="0" w:line="13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December 16, 2015, the Company entered into a share purchase agreement (the “Share Purchase Agreement”) with Lewis Innovative Technologies, Inc. (“LIT”) and the holders of the equity interests of LIT. Pursuant to the Share Purchase Agreement, the Company completed its purchase of all of the equity interests in LIT, and LIT became a wholly-owned subsidiary of the Company. Based in Decatur, Alabama, LIT provides advanced security technology and development services necessary for protecting systems critical to national security while meeting strict Department of Defense (“DoD”) program protection requirements.</w:t>
      </w:r>
    </w:p>
    <w:p>
      <w:pPr>
        <w:spacing w:after="0" w:line="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acquired LIT for a cash purchase price of $9,756. The Company funded the purchase with cash on hand. The purchase price was subject to a post-closing adjustment based on a determination of LIT's closing net working capital. In accordance with the Share Purchase Agreement, $1,000 of the purchase price was placed into escrow to support the post-closing working capital adjustment and the sellers' indemnification obligations. The escrow is available for indemnification claims through June 16, 2017. The Company acquired LIT free of debt.</w:t>
      </w:r>
    </w:p>
    <w:p>
      <w:pPr>
        <w:spacing w:after="0" w:line="7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preliminary fair value estimates of LIT's assets and liabilities have not changed since June 30, 2016. The fair value estimates are subject to subsequent adjustment as the Company obtains additional information until the measurement period ends on December 15, 2016.</w:t>
      </w:r>
    </w:p>
    <w:p>
      <w:pPr>
        <w:spacing w:after="0" w:line="18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on a recurring basis at September 30, 2016:</w:t>
      </w:r>
    </w:p>
    <w:p>
      <w:pPr>
        <w:spacing w:after="0" w:line="232"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24765</wp:posOffset>
            </wp:positionV>
            <wp:extent cx="3395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3"/>
                <w:szCs w:val="13"/>
                <w:color w:val="auto"/>
              </w:rPr>
            </w:pPr>
          </w:p>
        </w:tc>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30,104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30,104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30,104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30,104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carrying values of cash and cash equivalents, including money market funds, restricted cash, accounts receivable and payable, and accrued liabilities approximate fair value due to the short-term maturities of these assets and liabilities. The fair value of the Company’s certificates of deposit are determined through quoted prices for identical or similar instruments in markets that are not active or are directly or indirectly observable. The Company determined the face value of its long-term debt approximates fair value at September 30, 2016 due to the recent issuance and stability of interest rates during this period. The cost-method investment, which is presented within other non-current assets in the accompanying consolidated balance sheets, does not have a readily determinable fair value, as such the Company recorded the investment at cost and will continue to evaluate the asset for impairment on a quarterly basis.</w:t>
      </w:r>
    </w:p>
    <w:p>
      <w:pPr>
        <w:spacing w:after="0" w:line="212"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(first-in, first-out) or market value, and consists of materials, labor and overhead. On a quarterly basis, the Company uses consistent methodologies to evaluate inventory for net realizable value. Once an item is written down, the value becomes the new inventory cost basis. The Company reduces the value of inventory for excess and obsolete inventory, consisting of on-hand inventory in excess of estimated usage. The excess and obsolete inventory evaluation is based upon assumptions about future demand, history, product mix and possible alternative uses. Inventory was comprised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195"/>
        </w:trPr>
        <w:tc>
          <w:tcPr>
            <w:tcW w:w="89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31,205</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15,401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15,967</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11,112</w:t>
            </w:r>
          </w:p>
        </w:tc>
        <w:tc>
          <w:tcPr>
            <w:tcW w:w="0" w:type="dxa"/>
            <w:vAlign w:val="bottom"/>
          </w:tcPr>
          <w:p>
            <w:pPr>
              <w:spacing w:after="0"/>
              <w:rPr>
                <w:sz w:val="1"/>
                <w:szCs w:val="1"/>
                <w:color w:val="auto"/>
              </w:rPr>
            </w:pPr>
          </w:p>
        </w:tc>
      </w:tr>
      <w:tr>
        <w:trPr>
          <w:trHeight w:val="237"/>
        </w:trPr>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58,443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58,284</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no amounts in inventory relating to contracts having production cycles longer than one year.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688" w:right="239" w:bottom="1440" w:gutter="0" w:footer="0" w:header="0"/>
        </w:sectPr>
      </w:pPr>
    </w:p>
    <w:bookmarkStart w:id="10" w:name="page11"/>
    <w:bookmarkEnd w:id="10"/>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changes in the carrying amount of goodwill by reporting unit for the three months ended September 30, 2016: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MCE</w:t>
            </w:r>
          </w:p>
        </w:tc>
        <w:tc>
          <w:tcPr>
            <w:tcW w:w="260" w:type="dxa"/>
            <w:vAlign w:val="bottom"/>
          </w:tcPr>
          <w:p>
            <w:pPr>
              <w:spacing w:after="0"/>
              <w:rPr>
                <w:sz w:val="13"/>
                <w:szCs w:val="13"/>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MDS</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Carve-out</w:t>
            </w:r>
          </w:p>
        </w:tc>
        <w:tc>
          <w:tcPr>
            <w:tcW w:w="260" w:type="dxa"/>
            <w:vAlign w:val="bottom"/>
          </w:tcPr>
          <w:p>
            <w:pPr>
              <w:spacing w:after="0"/>
              <w:rPr>
                <w:sz w:val="13"/>
                <w:szCs w:val="13"/>
                <w:color w:val="auto"/>
              </w:rPr>
            </w:pPr>
          </w:p>
        </w:tc>
        <w:tc>
          <w:tcPr>
            <w:tcW w:w="8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30, 2016</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134,378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170,243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344,027</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Goodwill adjustment for the Carve-Out Business acquisition</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Balance at September 30, 2016</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134,378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39,406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170,741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344,525</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2016, the Company recorded a $498 adjustment to goodwill related to the acquisition of the Carve-out Business. The adjustment was the result of changes in fair value estimates derived from additional information obtained during the measurement period.</w:t>
      </w:r>
    </w:p>
    <w:p>
      <w:pPr>
        <w:spacing w:after="0" w:line="52"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In the three months ended September 30, 2016, there were no triggering events, as defined by FASB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which required an interim goodwill impairment test. The Company performs its annual goodwill impairment test in the fourth quarter of each fiscal year.</w:t>
      </w:r>
    </w:p>
    <w:p>
      <w:pPr>
        <w:spacing w:after="0" w:line="183"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detail of activity for the Company’s restructuring plans: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Severance &amp;</w:t>
            </w:r>
          </w:p>
        </w:tc>
        <w:tc>
          <w:tcPr>
            <w:tcW w:w="30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360" w:type="dxa"/>
            <w:vAlign w:val="bottom"/>
          </w:tcPr>
          <w:p>
            <w:pPr>
              <w:spacing w:after="0"/>
              <w:rPr>
                <w:sz w:val="13"/>
                <w:szCs w:val="13"/>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liability at June 30, 2016</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Cash paid</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liability at September 30, 2016</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2016, the Company incurred net restructuring and other charges of $297. In the event that the Company is unable to sublease the unoccupied portion of its headquarters complex in Chelmsford, Massachusetts, it will incur nominal, periodic restructuring charges through fiscal 2017.</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All of the restructuring and other charges are classified as operating expenses in the consolidated statements of operations and comprehensive income and any remaining severance obligations are expected to be paid within the next twelve months. The restructuring liability is classified as accrued expenses in the consolidated balance sheets.</w:t>
      </w:r>
    </w:p>
    <w:p>
      <w:pPr>
        <w:spacing w:after="0" w:line="19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recorded an income tax (benefit) provision of $(1,259) and of $368 on income from operations before income taxes of $2,560 and $3,224 for the three months ended September 30, 2016 and 2015, respectively. The effective tax rate for the three months ended September 30, 2016 differed from the federal statutory rate primarily due to federal research and development credits, domestic manufacturing deduction, excess tax benefits related to stock compensation, and state taxes. The effective tax rate for the three months ended September 30, 2015 differed from the federal statutory rate primarily due to domestic manufacturing deduction, excess tax benefits related to stock compensation, and state taxes.</w:t>
      </w:r>
    </w:p>
    <w:p>
      <w:pPr>
        <w:spacing w:after="0" w:line="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No material changes in the Company’s unrecognized tax positions occurred during the three months ended September 30, 2016. The Company is currently under audit by the Internal Revenue Service for fiscal year 2013. There have been no significant changes to the status of this examination during the three months ended September 30, 2016. It is reasonably possible that within the next 12 months the Company’s unrecognized tax benefits, exclusive of interest, may decrease by up to $757 at the conclusion of the audit. The Company expects that the decrease, if recognized, would not affect the effective tax rate.</w:t>
      </w:r>
    </w:p>
    <w:p>
      <w:pPr>
        <w:spacing w:after="0" w:line="207"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ERM</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OAN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EVOLVING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ACILITIES</w:t>
      </w:r>
    </w:p>
    <w:p>
      <w:pPr>
        <w:spacing w:after="0" w:line="13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May 2, 2016, the Company and certain of its subsidiaries, as guarantors, entered into a Credit Agreement (the “Credit Agreement”) with a syndicate of commercial banks and Bank of America, N.A acting as the administrative agent. The Credit Agreement provides for a $200,000 term loan facility ("Term Loan") and a $100,000 revolving credit facility ("Revolver"). As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819" w:right="23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of September 30, 2016, the Company’s outstanding balance on the Term Loan was $197,500, net of $7,254 of unamortized debt issuance costs. The stated interest rate of the Term Loan was 2.8% as of September 30, 2016.</w:t>
      </w:r>
    </w:p>
    <w:p>
      <w:pPr>
        <w:spacing w:after="0" w:line="5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covenants and conditions under the Credit Agreement. There were no borrowings against the Revolver; however, there were outstanding letters of credit of $1,938 under this Credit Agreement as of September 30, 2016.</w:t>
      </w:r>
    </w:p>
    <w:p>
      <w:pPr>
        <w:spacing w:after="0" w:line="18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LANS</w:t>
      </w:r>
    </w:p>
    <w:p>
      <w:pPr>
        <w:spacing w:after="0" w:line="13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number of shares authorized for issuance under the Company’s 2005 Stock Incentive Plan, as amended and restated (the “2005 Plan”), is 15,252 shares at September 30, 2016.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1,580 shares available for future grant under the 2005 Plan at September 30, 2016.</w:t>
      </w:r>
    </w:p>
    <w:p>
      <w:pPr>
        <w:spacing w:after="0" w:line="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part of the Company's ongoing annual equity grant program for employees, the Company grants performance-based restricted stock awards to certain executives pursuant to the 2005 Plan. Performance awards vest based on the requisite service period subject to the achievement of specific financial performance targets. Based on the performance targets, some of these awards require graded vesting which results in more rapid expense recognition compared to traditional time-based vesting over the same vesting period. The Company monitors the probability of achieving the performance targets on a quarterly basis and may adjust periodic stock compensation expense accordingly.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MPLOYEE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w:t>
      </w:r>
    </w:p>
    <w:p>
      <w:pPr>
        <w:spacing w:after="0" w:line="13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number of shares authorized for issuance under the Company’s 1997 Employee Stock Purchase Plan, as amended and restated (“ESPP”), is 1,800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no shares issued under the ESPP during the three months ended September 30, 2016 and 2015, respectively. Shares available for future purchase under the ESPP totaled 398 at September 30, 2016.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WARD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CTIVITY</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activity of the Company’s stock option plans since June 30, 2016:</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restart"/>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June 30, 2016</w:t>
            </w: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0" w:type="dxa"/>
            <w:vAlign w:val="bottom"/>
          </w:tcPr>
          <w:p>
            <w:pPr>
              <w:spacing w:after="0"/>
              <w:rPr>
                <w:sz w:val="1"/>
                <w:szCs w:val="1"/>
                <w:color w:val="auto"/>
              </w:rPr>
            </w:pPr>
          </w:p>
        </w:tc>
      </w:tr>
      <w:tr>
        <w:trPr>
          <w:trHeight w:val="243"/>
        </w:trPr>
        <w:tc>
          <w:tcPr>
            <w:tcW w:w="7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Cancelled</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September 30, 2016</w:t>
            </w:r>
          </w:p>
        </w:tc>
        <w:tc>
          <w:tcPr>
            <w:tcW w:w="12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13.35</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status of the Company’s non-vested restricted stock awards since June 30, 2016: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4180" w:type="dxa"/>
            <w:vAlign w:val="bottom"/>
            <w:tcBorders>
              <w:bottom w:val="single" w:sz="8" w:color="CCEEFF"/>
            </w:tcBorders>
          </w:tcPr>
          <w:p>
            <w:pPr>
              <w:spacing w:after="0"/>
              <w:rPr>
                <w:sz w:val="16"/>
                <w:szCs w:val="16"/>
                <w:color w:val="auto"/>
              </w:rPr>
            </w:pPr>
          </w:p>
        </w:tc>
        <w:tc>
          <w:tcPr>
            <w:tcW w:w="4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June 30, 2016</w:t>
            </w:r>
          </w:p>
        </w:tc>
        <w:tc>
          <w:tcPr>
            <w:tcW w:w="5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1,666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13.09</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56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5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5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September 30, 2016</w:t>
            </w:r>
          </w:p>
        </w:tc>
        <w:tc>
          <w:tcPr>
            <w:tcW w:w="56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1,648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17.97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12</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18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BASED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OMPENSATION</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XPENSE</w:t>
      </w:r>
    </w:p>
    <w:p>
      <w:pPr>
        <w:spacing w:after="0" w:line="13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recognized the full expense of its share-based payment plans in the consolidated statements of operations for the three months ended September 30, 2016 and 2015 in accordance with FASB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had $177 of capitalized stock-based compensation expense on the consolidated balance sheets as of September 30, 2016. In the prior year, the Company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net of estimated forfeitures. The following table presents share-based compensation expenses from continuing operations included in the Company’s consolidated statements of operations:</w:t>
      </w:r>
    </w:p>
    <w:p>
      <w:pPr>
        <w:spacing w:after="0" w:line="237"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p>
      <w:pPr>
        <w:spacing w:after="0" w:line="6"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13335</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2,128</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425</w:t>
            </w:r>
          </w:p>
        </w:tc>
      </w:tr>
      <w:tr>
        <w:trPr>
          <w:trHeight w:val="237"/>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 before tax</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3,632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2,702</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37"/>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 net of income taxes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1,661</w:t>
            </w:r>
          </w:p>
        </w:tc>
      </w:tr>
      <w:tr>
        <w:trPr>
          <w:trHeight w:val="27"/>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Segment, Geographic Information and Significant Customers</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evaluated regularly by the Company's chief operating decision maker (“CODM”) in deciding how to allocate resources and assess performance. The Company is comprised of one operating and reportable segment. The Company utilized the management approach for determining its operating segment in accordance with FASB ASC 280.</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geographic distribution of the Company’s revenues is summarized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THREE MONTHS ENDED SEPTEMBER 30, 2016</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83,048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87,649</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86,334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87,649</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THREE MONTHS ENDED SEPTEMBER 30, 2015</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57,362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58,409</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58,616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58,409</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Foreign revenue is based on the country in which the Company’s legal subsidiary is domiciled.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geographic distribution of the Company’s long-lived assets is summarized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2016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31,376</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30, 2016</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28,187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28,337</w:t>
            </w:r>
          </w:p>
        </w:tc>
      </w:tr>
      <w:tr>
        <w:trPr>
          <w:trHeight w:val="351"/>
        </w:trPr>
        <w:tc>
          <w:tcPr>
            <w:tcW w:w="60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Identifiable long-lived assets exclude goodwill and intangible assets.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9"/>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t>Customers comprising 10% or more of the Company’s revenues for the periods shown below are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8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64"/>
        </w:trPr>
        <w:tc>
          <w:tcPr>
            <w:tcW w:w="888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Lockheed Martin Corporation</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Raytheon Company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8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8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While the Company typically has customers from which it derives 10% or more of its revenue, the sales to each of these customers are spread across multiple programs and platforms. Programs comprising 10% or more of the Company’s revenues for the periods shown below are as follows:</w:t>
      </w:r>
    </w:p>
    <w:p>
      <w:pPr>
        <w:spacing w:after="0" w:line="318" w:lineRule="exact"/>
        <w:rPr>
          <w:sz w:val="20"/>
          <w:szCs w:val="20"/>
          <w:color w:val="auto"/>
        </w:rPr>
      </w:pPr>
    </w:p>
    <w:p>
      <w:pPr>
        <w:jc w:val="center"/>
        <w:ind w:left="8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9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13335</wp:posOffset>
            </wp:positionV>
            <wp:extent cx="1612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Aegis</w:t>
            </w: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Patriot</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9" w:lineRule="exact"/>
        <w:rPr>
          <w:sz w:val="20"/>
          <w:szCs w:val="20"/>
          <w:color w:val="auto"/>
        </w:rPr>
      </w:pPr>
    </w:p>
    <w:p>
      <w:pPr>
        <w:ind w:left="9720"/>
        <w:spacing w:after="0"/>
        <w:tabs>
          <w:tab w:leader="none" w:pos="110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51435</wp:posOffset>
            </wp:positionV>
            <wp:extent cx="16122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7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that the amount is less than 10% of the Company’s revenues for the respective period.</w:t>
      </w:r>
    </w:p>
    <w:p>
      <w:pPr>
        <w:spacing w:after="0" w:line="24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EGAL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LAIMS</w:t>
      </w:r>
    </w:p>
    <w:p>
      <w:pPr>
        <w:spacing w:after="0" w:line="131"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NDEMNIFICATION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BLIGATIONS</w:t>
      </w:r>
    </w:p>
    <w:p>
      <w:pPr>
        <w:spacing w:after="0" w:line="13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OMMITMENTS</w:t>
      </w:r>
    </w:p>
    <w:p>
      <w:pPr>
        <w:spacing w:after="0" w:line="13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2016, the Company has entered into non-cancelable purchase commitments for certain inventory components and services used in its normal operations. The purchase commitments covered by these agreements are for less than one year and aggregate to $39,344.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THER</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part of the Company's strategy for growth, the Company continues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may elect from time to time to purchase and subsequently retire shares of common stock in order to settle an individual employees’ tax liability associated with vesting of a restricted stock award or exercise of stock options. These transactions would be treated as a use of cash in financing activities in the Company's statement of cash flows.</w:t>
      </w:r>
    </w:p>
    <w:p>
      <w:pPr>
        <w:spacing w:after="0" w:line="199"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November 3, 2016, the Company signed a definitive agreement to acquire CES Creative Electronic Systems, S.A., a leading provider of embedded solutions for military and aerospace mission-critical computing applications. The purchase price is expected to be approximately $38,000, subject to net working capital and net debt adjustments, plus foreign currency, and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688" w:right="23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transaction related expenses, all of which are expected to be funded with cash on hand. The Company expects to close the transaction during the second fiscal quarter ending December 31, 2016.</w:t>
      </w:r>
    </w:p>
    <w:p>
      <w:pPr>
        <w:spacing w:after="0" w:line="5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from the date of the consolidated balance sheet through the date the consolidated financial statements were issued.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688" w:right="239" w:bottom="1440" w:gutter="0" w:footer="0" w:header="0"/>
        </w:sectPr>
      </w:pPr>
    </w:p>
    <w:bookmarkStart w:id="15" w:name="page16"/>
    <w:bookmarkEnd w:id="15"/>
    <w:p>
      <w:pPr>
        <w:ind w:right="1140"/>
        <w:spacing w:after="0" w:line="37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market acceptance of the Company's products, shortages in components, production delays or unanticipated expenses due to performance quality issues with outsourced components, inability to fully realize the expected benefits from acquisitions and restructurings, or delays in realizing such benefits, challenges in integrating acquired businesses and achieving anticipated synergies, increases in interest rates,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2016.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Mercury Systems, Inc. is a leading commercial provider of secure processing subsystems designed and made in U.S.A. Optimized for customer and mission success, our solutions power a wide variety of critical defense and intelligence programs. Headquartered in Chelmsford, Massachusetts, we are pioneering a next-generation defense electronics business model designed to meet the industry's current and emerging business needs. We deliver affordable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Predator, F-35, Reaper and Digital Electronic Warfare System ("DEWS"). Our organizational structure allows us to deliver capabilities that combine technology building blocks and deep domain expertise in the defense sector. We believe our total portfolio of services and solutions is unique in the industry for a commercial company. We operate across a broad spectrum of defense programs.</w:t>
      </w:r>
    </w:p>
    <w:p>
      <w:pPr>
        <w:spacing w:after="0" w:line="7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deliver capabilities that combine technology building blocks, deep domain expertise in the defense sector and critical solution areas, and specialized skills in serving the Department of Defense ("DoD") and the intelligence community. Our technologies and capabilities include embedded processing modules and subsystems, radio frequency ("RF") and microwave multi-function assemblies as well as subsystems, and RF and microwave components.</w:t>
      </w:r>
    </w:p>
    <w:p>
      <w:pPr>
        <w:spacing w:after="0" w:line="6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utilize leading edge, high performance computing technologies architected by leveraging open standards and open architectures to address highly data-intensive applications that include signal, sensor and image processing; all of this while addressing the packaging challenges, often referred to as “SWaP” (size, weight, and power) that are common in military applications. In addition, we design and build RF and microwave components and subsystems to meet the needs of the electronic warfare ("EW"), signal intelligence ("SIGINT") and other high bandwidth communications requirements and applications.</w:t>
      </w:r>
    </w:p>
    <w:p>
      <w:pPr>
        <w:spacing w:after="0" w:line="7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also provide significant capabilities relating to pre-integrated, open, affordable EW, electronic attack ("EA") and electronic counter measure ("ECM") subsystems, and SIGINT and electro-optical/infrared ("EO/IR") processing technologies, and radar environment test and simulation systems. We deploy these solutions on behalf of defense prime contractors and the DoD, leveraging commercially available technologies and solutions (or “building blocks”) from our business as well as other commercial suppliers. We leverage this technology to develop integrated sensor processing subsystems, often including classified application-specific software and intellectual property ("IP") for the C4ISR (command, control, communications, computers, intelligence, surveillance and reconnaissance), EW, and ECM markets. We bring significant domain expertise to customers, drawing on over 25 years of experience in EW, SIGINT, and radar environment test and simulation.</w:t>
      </w:r>
    </w:p>
    <w:p>
      <w:pPr>
        <w:spacing w:after="0" w:line="8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Since we are an OEM supplier to our commercial markets and conduct much of our business with our defense customers via commercial items, requests by customers are a primary driver of revenue fluctuations from quarter to quarter. Customers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76" w:right="2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w:t>
      </w:r>
    </w:p>
    <w:p>
      <w:pPr>
        <w:spacing w:after="0" w:line="7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September 30, 2016, we had 967 employees. Our consolidated revenues, net income, net earnings per share, adjusted earnings per share ("adjusted EPS"), and adjusted EBITDA for the three months ended September 30, 2016 were $87.6 million, $3.8 million, $0.10, $0.22, and $18.2 million, respectively. See the Non-GAAP Financial Measures section for a reconciliation to our most directly comparable GAAP financial measures.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2016 compared to the three months ended September 30, 2015</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set forth, for the three months periods indicated, financial data from the consolidated statements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0" w:type="dxa"/>
            <w:vAlign w:val="bottom"/>
          </w:tcPr>
          <w:p>
            <w:pPr>
              <w:spacing w:after="0"/>
              <w:rPr>
                <w:sz w:val="1"/>
                <w:szCs w:val="1"/>
                <w:color w:val="auto"/>
              </w:rPr>
            </w:pPr>
          </w:p>
        </w:tc>
      </w:tr>
      <w:tr>
        <w:trPr>
          <w:trHeight w:val="149"/>
        </w:trPr>
        <w:tc>
          <w:tcPr>
            <w:tcW w:w="5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Total Net</w:t>
            </w: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Total Net</w:t>
            </w:r>
          </w:p>
        </w:tc>
        <w:tc>
          <w:tcPr>
            <w:tcW w:w="0" w:type="dxa"/>
            <w:vAlign w:val="bottom"/>
          </w:tcPr>
          <w:p>
            <w:pPr>
              <w:spacing w:after="0"/>
              <w:rPr>
                <w:sz w:val="1"/>
                <w:szCs w:val="1"/>
                <w:color w:val="auto"/>
              </w:rPr>
            </w:pPr>
          </w:p>
        </w:tc>
      </w:tr>
      <w:tr>
        <w:trPr>
          <w:trHeight w:val="160"/>
        </w:trPr>
        <w:tc>
          <w:tcPr>
            <w:tcW w:w="5480" w:type="dxa"/>
            <w:vAlign w:val="bottom"/>
            <w:gridSpan w:val="3"/>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5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460" w:type="dxa"/>
            <w:vAlign w:val="bottom"/>
            <w:gridSpan w:val="3"/>
            <w:vMerge w:val="continue"/>
          </w:tcPr>
          <w:p>
            <w:pPr>
              <w:spacing w:after="0"/>
              <w:rPr>
                <w:sz w:val="13"/>
                <w:szCs w:val="13"/>
                <w:color w:val="auto"/>
              </w:rPr>
            </w:pP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87,649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58,409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5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48,205</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30,107</w:t>
            </w:r>
          </w:p>
        </w:tc>
        <w:tc>
          <w:tcPr>
            <w:tcW w:w="10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39,444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28,302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43"/>
        </w:trPr>
        <w:tc>
          <w:tcPr>
            <w:tcW w:w="5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17,544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12,126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12,838</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8,866</w:t>
            </w:r>
          </w:p>
        </w:tc>
        <w:tc>
          <w:tcPr>
            <w:tcW w:w="10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shd w:val="clear" w:color="auto" w:fill="CCEEFF"/>
              </w:rPr>
              <w:t>Acquisition costs and other related expenses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35,702</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25,171</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Income from operations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5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21"/>
                <w:szCs w:val="21"/>
                <w:color w:val="auto"/>
              </w:rPr>
            </w:pPr>
          </w:p>
        </w:tc>
        <w:tc>
          <w:tcPr>
            <w:tcW w:w="14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Income before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5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Tax (benefit) provision</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21"/>
                <w:szCs w:val="21"/>
                <w:color w:val="auto"/>
              </w:rPr>
            </w:pPr>
          </w:p>
        </w:tc>
        <w:tc>
          <w:tcPr>
            <w:tcW w:w="14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Net income</w:t>
            </w:r>
          </w:p>
        </w:tc>
        <w:tc>
          <w:tcPr>
            <w:tcW w:w="45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EVENUES</w:t>
      </w:r>
    </w:p>
    <w:p>
      <w:pPr>
        <w:spacing w:after="0" w:line="23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Total revenues increased $29.2 million, or 50%, to $87.6 million during the three months ended September 30, 2016 as compared to the same period in fiscal 2016. The increase in total revenues is primarily attributed to $24.3 million of revenue from the newly acquired custom microelectronics, RF and microwave solutions, and embedded security operations from Microsemi Corporation (the "Carve-Out Business"). The increase of $4.9 million organic revenue was due to higher revenues from the Aegis, LRDR, Digital Electronic Warfare System ("DEWS") and F-35 programs, partially offset by lower Patriot, P-8 and SEWIP program revenues. International revenues, which consist of foreign military sales through prime defense contractor customers and direct sales to non-U.S. based customers, increased $5.7 million to $14.1 million during the three months ended September 30, 2016, compared to $8.4 million in the same period in the prior fiscal year. International revenues represented 16% and 14% of total revenues during the three months ended September 30, 2016 and 2015,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ROSS</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ARGIN</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Gross margin was 45.0% for the three months ended September 30, 2016, a decrease of 350 basis points from the 48.5% gross margin achieved during the same period in fiscal 2016. The lower gross margin between years was driven by the amortization of $2.1 million in inventory step-up related to the acquisition of the Carve-Out Business and changes in product mix.</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688"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ELLING</w:t>
      </w:r>
      <w:r>
        <w:rPr>
          <w:rFonts w:ascii="Times New Roman" w:cs="Times New Roman" w:eastAsia="Times New Roman" w:hAnsi="Times New Roman"/>
          <w:sz w:val="18"/>
          <w:szCs w:val="18"/>
          <w:color w:val="auto"/>
        </w:rPr>
        <w:t>, G</w:t>
      </w:r>
      <w:r>
        <w:rPr>
          <w:rFonts w:ascii="Times New Roman" w:cs="Times New Roman" w:eastAsia="Times New Roman" w:hAnsi="Times New Roman"/>
          <w:sz w:val="14"/>
          <w:szCs w:val="14"/>
          <w:color w:val="auto"/>
        </w:rPr>
        <w:t>ENERAL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DMINISTRATIVE</w:t>
      </w:r>
    </w:p>
    <w:p>
      <w:pPr>
        <w:spacing w:after="0" w:line="13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$5.4 million, or 45%, to $17.5 million during the three months ended September 30, 2016, compared to $12.1 million in the same period in fiscal 2016. The increase was primarily due to higher compensation related costs driven by added headcount resulting from the acquisition of the Carve-Out Business in the fourth quarter of fiscal 2016 and higher stock based compensation related charges. Additionally, during the three months ended September 30, 2016, we incurred $0.3 million in non-cash rent expense associated with our new corporate headquarters in Andover, Massachusetts. Selling, general and administrative expenses as a percentage of revenues remained consistent for the three months ended September 30, 2016 and 2015.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ESEARCH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EVELOPMENT</w:t>
      </w:r>
    </w:p>
    <w:p>
      <w:pPr>
        <w:spacing w:after="0" w:line="13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approximately $4.0 million, or 45%, to $12.8 million during the three months ended September 30, 2016, compared to $8.9 million during the same period in fiscal 2016. The increase was primarily due to increased headcount resulting from the acquisition of the Carve-Out Business in the fourth quarter of fiscal 2016 driving higher compensation related costs, higher depreciation and increased prototype expenditures.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ESTRUCTURING AND</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THER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HARGES</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Restructuring and other charges were flat during the three months ended September 30, 2016 and 2015.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CQUISITION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OSTS AND</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THER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ELATED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XPENSES</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incurred $0.4 million of acquisition costs and other related expenses during the three months ended September 30, 2016, compared to $2.1 million during the same period in fiscal 2016. We expect to incur acquisition costs and other related expenses periodically in the future as we continue to seek acquisition opportunities to expand our capabilities within the sensor processing chain.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NTEREST</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XPENSE</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incurred $1.8 million of interest expense during the three months ended September 30, 2016 compared to less than $0.1 million in the same period in fiscal 2016. The increase was driven by $1.3 million cash interest expense related to our Term Loan and $0.5 million of non-cash interest expense related to the amortization of debt issuance costs on our Term Loan, which was entered into during the fourth quarter of fiscal 2016.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THER</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NCOME</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ET</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Other income, net increased $0.5 million during the three months ended September 30, 2016, as compared to the same period in fiscal 2016. The increase was primarily related to $0.4 million in foreign exchange gains driven by the strengthening of the Japanese Yen against the U.S. Dollar in the first quarter of fiscal 2017.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NCOME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AXES</w:t>
      </w:r>
    </w:p>
    <w:p>
      <w:pPr>
        <w:spacing w:after="0" w:line="13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recorded an income tax benefit of $1.3 million during the three months ended September 30, 2016 as compared to $0.4 million income tax provision for the same period in fiscal 2016. During the three months ended September 30, 2016, and 2015, we recognized a discrete tax benefit of $2.2 million and $0.9 million, respectively, related to excess tax benefits on stock compensation. Our effective tax rate for the three months ended September 30, 2016 differed from the federal statutory tax rate of 35% primarily due to federal research and development credits, domestic manufacturing deduction, excess tax benefits related to stock compensation, and state taxes. Our effective tax rate for the three months ended September 30, 2015 differed from the federal statutory tax rate of 35% primarily due to domestic manufacturing deduction, excess tax benefits related to stock compensation, and state taxes.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IQUIDITY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APITAL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p>
    <w:p>
      <w:pPr>
        <w:spacing w:after="0" w:line="13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comes from existing cash and cash generated from operations and our revolving credit facility. Our near-term fixed commitments for cash expenditures consist primarily of payments under operating leases, inventory purchase commitments with our contract manufacturers, and interest and principal payments under our term loan. Additionally, we currently expect approximately $13.0 million of capital expenditures related to the build-out of our new corporate headquarters, the addition of the acquired businesses, and the acceleration of our integration activities in the second quarter of fiscal 2017.</w:t>
      </w:r>
    </w:p>
    <w:p>
      <w:pPr>
        <w:spacing w:after="0" w:line="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Based on our current plans and business conditions, we believe that existing cash and cash equivalents, available revolving credit facility, cash generated from operations, and financing capabilities will be sufficient to satisfy our anticipated cash requirements for at least the next twelve months.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42"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August 15, 2014, we filed a shelf registration statement on Form S-3 with the SEC. The shelf registration statement, which has been declared effective by the SEC, registered up to $500.0 million of debt securities, preferred stock, common stock, warrants and units. We intend to use the proceeds from a financing using the shelf registration statement for general corporate purposes, which may include the following:</w:t>
      </w:r>
    </w:p>
    <w:p>
      <w:pPr>
        <w:spacing w:after="0" w:line="68" w:lineRule="exact"/>
        <w:rPr>
          <w:sz w:val="20"/>
          <w:szCs w:val="20"/>
          <w:color w:val="auto"/>
        </w:rPr>
      </w:pPr>
    </w:p>
    <w:p>
      <w:pPr>
        <w:ind w:left="980" w:hanging="567"/>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companies or businesses;</w:t>
      </w:r>
    </w:p>
    <w:p>
      <w:pPr>
        <w:spacing w:after="0" w:line="90" w:lineRule="exact"/>
        <w:rPr>
          <w:rFonts w:ascii="Times New Roman" w:cs="Times New Roman" w:eastAsia="Times New Roman" w:hAnsi="Times New Roman"/>
          <w:sz w:val="18"/>
          <w:szCs w:val="18"/>
          <w:color w:val="auto"/>
        </w:rPr>
      </w:pPr>
    </w:p>
    <w:p>
      <w:pPr>
        <w:ind w:left="980" w:hanging="567"/>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and refinancing of debt;</w:t>
      </w:r>
    </w:p>
    <w:p>
      <w:pPr>
        <w:spacing w:after="0" w:line="90" w:lineRule="exact"/>
        <w:rPr>
          <w:rFonts w:ascii="Times New Roman" w:cs="Times New Roman" w:eastAsia="Times New Roman" w:hAnsi="Times New Roman"/>
          <w:sz w:val="18"/>
          <w:szCs w:val="18"/>
          <w:color w:val="auto"/>
        </w:rPr>
      </w:pPr>
    </w:p>
    <w:p>
      <w:pPr>
        <w:ind w:left="980" w:hanging="567"/>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90" w:lineRule="exact"/>
        <w:rPr>
          <w:rFonts w:ascii="Times New Roman" w:cs="Times New Roman" w:eastAsia="Times New Roman" w:hAnsi="Times New Roman"/>
          <w:sz w:val="18"/>
          <w:szCs w:val="18"/>
          <w:color w:val="auto"/>
        </w:rPr>
      </w:pPr>
    </w:p>
    <w:p>
      <w:pPr>
        <w:ind w:left="980" w:hanging="567"/>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w:t>
      </w:r>
    </w:p>
    <w:p>
      <w:pPr>
        <w:spacing w:after="0" w:line="90" w:lineRule="exact"/>
        <w:rPr>
          <w:rFonts w:ascii="Times New Roman" w:cs="Times New Roman" w:eastAsia="Times New Roman" w:hAnsi="Times New Roman"/>
          <w:sz w:val="18"/>
          <w:szCs w:val="18"/>
          <w:color w:val="auto"/>
        </w:rPr>
      </w:pPr>
    </w:p>
    <w:p>
      <w:pPr>
        <w:ind w:left="980" w:hanging="567"/>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purposes as described in the prospectus supplement.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approximately $400.0 million of availability remaining under the shelf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and Revolving Credit Facilities</w:t>
      </w:r>
    </w:p>
    <w:p>
      <w:pPr>
        <w:spacing w:after="0" w:line="16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May 2, 2016, we entered into a $200.0 million senior secured term loan A and $100.0 million revolving credit facility (“Revolver”) with a syndicate of commercial banks, with Bank of America, N.A. acting as the administrative agent ("collectively, the "Credit Agreement"). Pursuant to the revolving credit facility we can, subject to compliance with the applicable financial covenants, borrow up to $100.0 million for working capital, acquisitions, and general corporate purposes of ours and our subsidiaries. As of September 30, 2016, there was $100.0 million of borrowing capacity available under the Revolver. As of September 30, 2016, there were no borrowings outstanding on the Revolver; however, there were outstanding letters of credit of $1.9 million. The Company was in compliance with all covenants and conditions under the Credit Agreement.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ASH</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LOWS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99"/>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As Of and For the Three</w:t>
            </w: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gridSpan w:val="4"/>
          </w:tcPr>
          <w:p>
            <w:pPr>
              <w:jc w:val="center"/>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Month Period Ended</w:t>
            </w:r>
          </w:p>
        </w:tc>
      </w:tr>
      <w:tr>
        <w:trPr>
          <w:trHeight w:val="195"/>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28"/>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10,283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6,582</w:t>
            </w: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77,314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79,073</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cash and cash equivalents decreased by $4.4 million from June 30, 2016 to September 30, 2016, primarily as a result of $10.3 million in cash generated from operating activities offset by $6.1 million in purchases of property and equipment. The increase in purchases of property and equipment in fiscal 2017 is due to the ongoing needs in our existing business including the build-out of our new corporate headquarters and through the addition of the Carve-Out Business. In addition, we used $6.1 million for the retirement of common stock and a debt principal payment of $2.5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2016, we generated $10.3 million in cash from operating activities, an increase of $3.7 million when compared to the same period in fiscal 2016. During the three months ended September 30, 2016, we generated $1.0 million in higher comparable net income, $22.9 million higher collections from accounts receivables, and $4.0 million higher depreciation and amortization expense as compared to the same period in fiscal 2016. The increases were partially offset by $16.4 million of cash used for accounts payable and accrued expenses, $4.9 million of cash used in prepaid expenses and other current assets, and $4.5 million decrease in deferred revenues and customer advances as compared to the same period in the prior year.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2016, we used $6.2 million in investing activities compared to $2.1 million during the same period in fiscal 2016. The increase was primarily driven by $4.2 million higher purchases of property and equipment in fiscal 2017 due to the ongoing needs in our existing business including the build-out of our new corporate headquarters and through the addition of the Carve-Out Business.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76"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2016, we used $8.5 million in financing activities compared to $3.1 million during the same period in fiscal 2016. The $5.5 million increase in cash used in financing activities was primarily due to $2.4 million more used for the retirement of common stock and a debt principal payment of $2.5 million during the three months ended September 30, 2016.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OMMITMENTS,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ONTRACTUAL</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ONTINGENCIES</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schedule of our commitments and contractual obligations outstanding at September 30, 2016: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80" w:type="dxa"/>
            <w:vAlign w:val="bottom"/>
          </w:tcPr>
          <w:p>
            <w:pPr>
              <w:spacing w:after="0"/>
              <w:rPr>
                <w:sz w:val="13"/>
                <w:szCs w:val="13"/>
                <w:color w:val="auto"/>
              </w:rPr>
            </w:pPr>
          </w:p>
        </w:tc>
        <w:tc>
          <w:tcPr>
            <w:tcW w:w="9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4-5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60"/>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1 Year</w:t>
            </w:r>
          </w:p>
        </w:tc>
        <w:tc>
          <w:tcPr>
            <w:tcW w:w="280" w:type="dxa"/>
            <w:vAlign w:val="bottom"/>
          </w:tcPr>
          <w:p>
            <w:pPr>
              <w:spacing w:after="0"/>
              <w:rPr>
                <w:sz w:val="13"/>
                <w:szCs w:val="13"/>
                <w:color w:val="auto"/>
              </w:rPr>
            </w:pPr>
          </w:p>
        </w:tc>
        <w:tc>
          <w:tcPr>
            <w:tcW w:w="10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3"/>
                <w:szCs w:val="13"/>
                <w:color w:val="auto"/>
              </w:rPr>
            </w:pPr>
          </w:p>
        </w:tc>
        <w:tc>
          <w:tcPr>
            <w:tcW w:w="10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3"/>
                <w:szCs w:val="13"/>
                <w:color w:val="auto"/>
              </w:rPr>
            </w:pPr>
          </w:p>
        </w:tc>
        <w:tc>
          <w:tcPr>
            <w:tcW w:w="1060" w:type="dxa"/>
            <w:vAlign w:val="bottom"/>
          </w:tcPr>
          <w:p>
            <w:pPr>
              <w:jc w:val="right"/>
              <w:ind w:right="316"/>
              <w:spacing w:after="0" w:line="160" w:lineRule="exact"/>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39,344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39,344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44,087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5,918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19,472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Debt principal payment obligations (1)</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197,500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27,500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280,931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55,262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37,725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168,472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19,472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firstLine="8"/>
        <w:spacing w:after="0" w:line="282" w:lineRule="auto"/>
        <w:tabs>
          <w:tab w:leader="none" w:pos="20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are due quarterly on the outstanding term loan. Future interest payments are not included in the schedule of commitments and contractual obligations due to the variable nature of the interest rate.</w:t>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Purchase obligations represent open non-cancelable purchase commitments for certain inventory components and services used in normal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commitments covered by these agreements are for less than one year and aggregated approximately $39.3 million at September 30, 2016.</w:t>
      </w:r>
    </w:p>
    <w:p>
      <w:pPr>
        <w:spacing w:after="0" w:line="112"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8"/>
          <w:szCs w:val="18"/>
          <w:color w:val="auto"/>
        </w:rPr>
        <w:t>We have a liability at September 30, 2016 of $1.6 million for uncertain tax positions that have been taken or are expected to be taken in various income tax returns. It is reasonably possible that within the next 12 months this liability, exclusive of interest, may decrease by up to $0.8 million upon the conclusion of the Internal Revenue Service audit of fiscal year 2013. We do not know the ultimate resolution on these uncertain tax positions and as such, do not know the ultimate timing of payments related to this liability. Accordingly, these amounts are not included in the above table.</w:t>
      </w:r>
    </w:p>
    <w:p>
      <w:pPr>
        <w:spacing w:after="0" w:line="6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7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As part of our strategy for growth, we continue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may elect from time to time to purchase and subsequently retire shares of common stock in order to settle individual employees’ tax liability associated with vesting of a restricted stock award or exercise of stock options. These transactions would be treated as a use of cash in financing activities in our statement of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FF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BALANCE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HEET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RRANGEMENTS</w:t>
      </w:r>
    </w:p>
    <w:p>
      <w:pPr>
        <w:spacing w:after="0" w:line="13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EASURES</w:t>
      </w:r>
    </w:p>
    <w:p>
      <w:pPr>
        <w:spacing w:after="0" w:line="13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In our periodic communications, we discuss certain important measures that are not calculated according to U.S. generally accepted accounting principles (“GAAP”), adjusted EBITDA, adjusted income, adjusted earnings per share ("adjusted EPS") and free cash flow.</w:t>
      </w:r>
    </w:p>
    <w:p>
      <w:pPr>
        <w:spacing w:after="0" w:line="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Adjusted EBITDA is defined as income before interest income and expense, income taxes, depreciation, amortization of intangible assets, restructuring and other charges, impairment of long-lived assets, acquisition and financing costs, fair value adjustments from purchase accounting, litigation and settlement income and expense, and stock-based compensation expense. We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40" w:right="2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and equity compensation for executive officers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8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reconciles our net income, the most directly comparable GAAP financial measure, to our adjusted EBITDA:</w:t>
      </w:r>
    </w:p>
    <w:p>
      <w:pPr>
        <w:spacing w:after="0" w:line="273"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r>
      <w:tr>
        <w:trPr>
          <w:trHeight w:val="22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2,856</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368</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1,713</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Acquisition and financing costs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2,298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adjustments from purchase accounting</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Litigation and settlement (income) expense, net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2,702</w:t>
            </w:r>
          </w:p>
        </w:tc>
      </w:tr>
      <w:tr>
        <w:trPr>
          <w:trHeight w:val="237"/>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18,221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11,841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Adjusted income and adjusted EPS exclude the impact of certain items and, therefore, have not been calculated in accordance with GAAP. We believe that exclusion of these items assists in providing a more complete understanding of our underlying results and trends and allows for comparability with our peer company index and industry. We use these measures along with the corresponding GAAP financial measures to manage our business and to evaluate our performance compared to prior periods and the marketplace. We define adjusted income as income before amortization of intangible assets, restructuring and other charges, impairment of long-lived assets, acquisition and financing costs, fair value adjustments from purchase accounting, litigation and settlement income and expense, stock-based compensation expense, and the tax impact of those items. Adjusted EPS expresses adjusted income on a per share basis using weighted average diluted shares outstanding.</w:t>
      </w:r>
    </w:p>
    <w:p>
      <w:pPr>
        <w:spacing w:after="0" w:line="8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Adjusted income and adjusted EPS are non-GAAP financial measures and should not be considered in isolation or as a substitute for financial information provided in accordance with GAAP. These non-GAAP financial measures may not be computed in the same manner as similarly titled measures used by other companies. We expect to continue to incur expenses similar to the adjusted income and adjusted EPS financial adjustments described above, and investors should not infer from our presentation of these non-GAAP financial measures that these costs are unusual, infrequent or non-recurring.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688" w:right="239" w:bottom="1440" w:gutter="0" w:footer="0" w:header="0"/>
        </w:sectPr>
      </w:pPr>
    </w:p>
    <w:bookmarkStart w:id="21" w:name="page22"/>
    <w:bookmarkEnd w:id="21"/>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income and diluted earnings per share, the most directly comparable GAAP measures, to adjusted income and adjusted EPS: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28"/>
        </w:trPr>
        <w:tc>
          <w:tcPr>
            <w:tcW w:w="6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76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4"/>
        </w:trPr>
        <w:tc>
          <w:tcPr>
            <w:tcW w:w="6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and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0.10</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r>
      <w:tr>
        <w:trPr>
          <w:trHeight w:val="243"/>
        </w:trPr>
        <w:tc>
          <w:tcPr>
            <w:tcW w:w="20" w:type="dxa"/>
            <w:vAlign w:val="bottom"/>
          </w:tcPr>
          <w:p>
            <w:pPr>
              <w:spacing w:after="0"/>
              <w:rPr>
                <w:sz w:val="21"/>
                <w:szCs w:val="21"/>
                <w:color w:val="auto"/>
              </w:rPr>
            </w:pP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and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Fair value adjustments from purchase accounting (1)</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 and settlement (income) expenses, net</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9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to income taxes (2)</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r>
      <w:tr>
        <w:trPr>
          <w:trHeight w:val="297"/>
        </w:trPr>
        <w:tc>
          <w:tcPr>
            <w:tcW w:w="6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Adjusted income and adjusted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0.19</w:t>
            </w:r>
          </w:p>
        </w:tc>
      </w:tr>
      <w:tr>
        <w:trPr>
          <w:trHeight w:val="311"/>
        </w:trPr>
        <w:tc>
          <w:tcPr>
            <w:tcW w:w="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4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6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39,865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33,616</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20" w:hanging="212"/>
        <w:spacing w:after="0"/>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2017 fair value adjustments from purchase accounting relates to Carve-Out Business inventory step up amortization.</w:t>
      </w:r>
    </w:p>
    <w:p>
      <w:pPr>
        <w:spacing w:after="0" w:line="41" w:lineRule="exact"/>
        <w:rPr>
          <w:rFonts w:ascii="Times New Roman" w:cs="Times New Roman" w:eastAsia="Times New Roman" w:hAnsi="Times New Roman"/>
          <w:sz w:val="14"/>
          <w:szCs w:val="14"/>
          <w:color w:val="auto"/>
        </w:rPr>
      </w:pPr>
    </w:p>
    <w:p>
      <w:pPr>
        <w:ind w:right="100" w:firstLine="8"/>
        <w:spacing w:after="0" w:line="282" w:lineRule="auto"/>
        <w:tabs>
          <w:tab w:leader="none" w:pos="20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 to income taxes is calculated by taking the tax provision as determined for GAAP purposes and subtracting a recalculated tax provision that excludes the effect of all items added back in determining adjusted EBITDA.</w:t>
      </w:r>
    </w:p>
    <w:p>
      <w:pPr>
        <w:spacing w:after="0" w:line="5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7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reconciles cash provided by operating activities, the most directly comparable GAAP financial measure, to free cash flow:</w:t>
      </w:r>
    </w:p>
    <w:p>
      <w:pPr>
        <w:spacing w:after="0" w:line="273"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r>
      <w:tr>
        <w:trPr>
          <w:trHeight w:val="22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10,283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6,582</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Free cash flow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4,233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4,715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ECENTLY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SSUED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RONOUNCEMENTS</w:t>
      </w:r>
    </w:p>
    <w:p>
      <w:pPr>
        <w:spacing w:after="0" w:line="13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us on July 1, 2018 and can be early adopted for the fiscal year beginning July 1, 2017. The standard permits the use of either the retrospective or cumulative effect transition method. We are evaluating the effect that ASU 2014-09 will have on our consolidated financial statements and related disclosures. We have not yet selected a transition method nor have we determined the effect of the standard on our ongoing financial reporting.</w:t>
      </w:r>
    </w:p>
    <w:p>
      <w:pPr>
        <w:spacing w:after="0" w:line="75"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In August 2014, the FASB issued ASU No.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xml:space="preserve"> an amendment of the FASB Accounting Standards Codification. The ASU has added additional disclosure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88" w:right="2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requirements to the codification. It requires management to assess, at each interim and annual reporting period, whether substantial doubt exists about the company’s ability to continue as a going concern. Substantial doubt exists if it is probable (the “probable” threshold under U.S. GAAP has generally been interpreted to be between 75 and 80 percent) that the company will be unable to meet its obligations as they become due within one year after the date the financial statements are issued or available to be issued (assessment date). The ASU is effective for annual reporting periods ending after December 15, 2016, and interim periods thereafter, with early adoption permitted. We do not expect a going concern uncertainty in the foreseeable future, and therefore this guidance is not expected to have a material impact to our consolidated financial statements.</w:t>
      </w:r>
    </w:p>
    <w:p>
      <w:pPr>
        <w:spacing w:after="0" w:line="7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July 2015, the FASB issued ASU No. 2015-11,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an amendment of the FASB Accounting Standards Codification. This ASU changes the measurement principle for inventory from the lower of cost or market to lower of cost and net realizable value for entities that do not measure inventory using the last-in, first-out or retail inventory method. The ASU also eliminates the requirement for these entities to consider replacement cost or net realizable value less an approximately normal profit margin when measuring inventory. The ASU is effective for public business entities for fiscal years beginning after December 15, 2016, and interim periods within those years. The ASU requires prospective adoption and permits early adoption. We are evaluating the effect that ASU 2015-11 will have on our consolidated financial statements.</w:t>
      </w:r>
    </w:p>
    <w:p>
      <w:pPr>
        <w:spacing w:after="0" w:line="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an amendment of the FASB Accounting Standards Codification. This ASU requires lessees to recognize a right-of-use asset and lease liability for most lease arrangements. This ASU is effective for public business entities for annual and interim periods in fiscal years beginning after December 15, 2018. The standard mandates a modified retrospective transition method for all entities and early adoption is permitted. We are evaluating the effect that ASU 2016-02 will have on our consolidated financial statements and related disclosures.</w:t>
      </w:r>
    </w:p>
    <w:p>
      <w:pPr>
        <w:spacing w:after="0" w:line="7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an amendment of the FASB Accounting Standards Codification. This ASU will reduce diversity in practice for classifying cash payments and receipts in the statement of cash flows for a number of common transactions. It will also clarify when identifiable cash flows should be separated versus classified based on their predominant source or use. This ASU is effective for public business entities for fiscal years 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We are evaluating the effect that ASU 2016-15 will have on our consolidated financial statements and related disclosures.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ECENTLY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DOPTED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RONOUNCEMENTS</w:t>
      </w:r>
    </w:p>
    <w:p>
      <w:pPr>
        <w:spacing w:after="0" w:line="13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 xml:space="preserve">Effective July 1, 2016, we adopted FASB ASU No. 2015-01, </w:t>
      </w:r>
      <w:r>
        <w:rPr>
          <w:rFonts w:ascii="Times New Roman" w:cs="Times New Roman" w:eastAsia="Times New Roman" w:hAnsi="Times New Roman"/>
          <w:sz w:val="18"/>
          <w:szCs w:val="18"/>
          <w:i w:val="1"/>
          <w:iCs w:val="1"/>
          <w:color w:val="auto"/>
        </w:rPr>
        <w:t>Simplifying Income Statement Presentation by Eliminating the Concept of 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Items, </w:t>
      </w:r>
      <w:r>
        <w:rPr>
          <w:rFonts w:ascii="Times New Roman" w:cs="Times New Roman" w:eastAsia="Times New Roman" w:hAnsi="Times New Roman"/>
          <w:sz w:val="18"/>
          <w:szCs w:val="18"/>
          <w:color w:val="auto"/>
        </w:rPr>
        <w:t>an amendment of the FASB Accounting Standards Codification. This ASU eliminates the separate presentation of extraordinary items, net of tax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related earnings per share, but does not affect the requirement to disclose material items that are unusual in nature or infrequently occurring. The ASU aligns U.S. GAAP more closely with International Financial Reporting Standards. We will continue to evaluate whether items are unusual in nature or infrequent in their occurrence for disclosure purposes and when estimating the annual effective tax rate for interim reporting purposes. Such adoption did not have any impact to our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88" w:right="239" w:bottom="1440" w:gutter="0" w:footer="0" w:header="0"/>
        </w:sectPr>
      </w:pPr>
    </w:p>
    <w:bookmarkStart w:id="23" w:name="page24"/>
    <w:bookmarkEnd w:id="2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material changes in our exposure to market risk from June 30, 2016 to September 30, 2016.</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September 30, 2016.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 Over Financial Reporting</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13c-15(f) and 15d-15(f) under the Exchange Act) that occurred during the quarter ended September 30, 2016 that has materially affected, or is reasonably likely to materially affect, our internal control over financial reporting. However, management is in the process of integrating the recently acquired Carve-Out Business into our overall internal control over financial reporting environment.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819"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2016. There have been no material changes from the factors disclosed in our 2016 Annual Report on Form 10-K filed on August 16, 2016, although we may disclose changes to such factors or disclose additional factors from time to time in our future filings with the Securities and Exchange Commission.</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Exhibits are filed or furnished, as applicable, herewith:</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Certification of the Company’s Chief Executive Officer pursuant to Section 302 of the Sarbanes-Oxley Act of 2002</w:t>
            </w:r>
          </w:p>
        </w:tc>
      </w:tr>
      <w:tr>
        <w:trPr>
          <w:trHeight w:val="59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Certification of the Company’s Chief Financial Officer pursuant to Section 302 of the Sarbanes-Oxley Act of 2002</w:t>
            </w:r>
          </w:p>
        </w:tc>
      </w:tr>
      <w:tr>
        <w:trPr>
          <w:trHeight w:val="57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Certification of the Company’s Chief Executive Officer and Chief Financial Officer pursuant to Section 906 of the Sarbanes-</w:t>
            </w:r>
          </w:p>
        </w:tc>
      </w:tr>
      <w:tr>
        <w:trPr>
          <w:trHeight w:val="234"/>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57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 the Form 10-Q for the quarter ended September 30, 2016</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formatted in XBRL (eXtensible Business Reporting Language): (i) the Consolidated Balance Sheets; (ii) the Consolidated</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Statements of Operations; (iii) the Consolidated Statements of Cash Flows; and (iv) notes to the Consolidated Financial</w:t>
            </w:r>
          </w:p>
        </w:tc>
      </w:tr>
      <w:tr>
        <w:trPr>
          <w:trHeight w:val="234"/>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Statements</w:t>
            </w:r>
          </w:p>
        </w:tc>
      </w:tr>
    </w:tbl>
    <w:p>
      <w:pPr>
        <w:spacing w:after="0" w:line="117" w:lineRule="exact"/>
        <w:rPr>
          <w:sz w:val="20"/>
          <w:szCs w:val="20"/>
          <w:color w:val="auto"/>
        </w:rPr>
      </w:pPr>
    </w:p>
    <w:p>
      <w:pPr>
        <w:jc w:val="both"/>
        <w:ind w:left="660" w:hanging="607"/>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76" w:right="239" w:bottom="1440" w:gutter="0" w:footer="0" w:header="0"/>
        </w:sectPr>
      </w:pPr>
    </w:p>
    <w:bookmarkStart w:id="25" w:name="page26"/>
    <w:bookmarkEnd w:id="25"/>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171"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Chelmsford, Massachusetts, on November 3, 2016.</w:t>
      </w:r>
    </w:p>
    <w:p>
      <w:pPr>
        <w:spacing w:after="0" w:line="2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MERCURY SYSTEMS, INC.</w:t>
      </w:r>
    </w:p>
    <w:p>
      <w:pPr>
        <w:spacing w:after="0" w:line="387" w:lineRule="exact"/>
        <w:rPr>
          <w:sz w:val="20"/>
          <w:szCs w:val="20"/>
          <w:color w:val="auto"/>
        </w:rPr>
      </w:pPr>
    </w:p>
    <w:p>
      <w:pPr>
        <w:ind w:left="4620"/>
        <w:spacing w:after="0"/>
        <w:tabs>
          <w:tab w:leader="none" w:pos="7660" w:val="left"/>
          <w:tab w:leader="none" w:pos="8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G</w:t>
      </w:r>
      <w:r>
        <w:rPr>
          <w:rFonts w:ascii="Times New Roman" w:cs="Times New Roman" w:eastAsia="Times New Roman" w:hAnsi="Times New Roman"/>
          <w:sz w:val="14"/>
          <w:szCs w:val="14"/>
          <w:color w:val="auto"/>
        </w:rPr>
        <w:t>ERALD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34290</wp:posOffset>
            </wp:positionV>
            <wp:extent cx="3507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4"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Gerald M. Haines II</w:t>
      </w:r>
    </w:p>
    <w:p>
      <w:pPr>
        <w:spacing w:after="0" w:line="109"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Executive Vice President,</w:t>
      </w:r>
    </w:p>
    <w:p>
      <w:pPr>
        <w:spacing w:after="0" w:line="109"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20"/>
          </w:cols>
          <w:pgMar w:left="240" w:top="576" w:right="9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Aslett, certify that:</w:t>
      </w:r>
    </w:p>
    <w:p>
      <w:pPr>
        <w:spacing w:after="0" w:line="171" w:lineRule="exact"/>
        <w:rPr>
          <w:sz w:val="20"/>
          <w:szCs w:val="20"/>
          <w:color w:val="auto"/>
        </w:rPr>
      </w:pPr>
    </w:p>
    <w:p>
      <w:pPr>
        <w:ind w:left="1620" w:hanging="964"/>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Mercury Systems, Inc.;</w:t>
      </w:r>
    </w:p>
    <w:p>
      <w:pPr>
        <w:spacing w:after="0" w:line="171" w:lineRule="exact"/>
        <w:rPr>
          <w:rFonts w:ascii="Times New Roman" w:cs="Times New Roman" w:eastAsia="Times New Roman" w:hAnsi="Times New Roman"/>
          <w:sz w:val="18"/>
          <w:szCs w:val="18"/>
          <w:color w:val="auto"/>
        </w:rPr>
      </w:pPr>
    </w:p>
    <w:p>
      <w:pPr>
        <w:ind w:left="1620" w:right="20" w:hanging="964"/>
        <w:spacing w:after="0" w:line="266"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620" w:right="80" w:hanging="964"/>
        <w:spacing w:after="0" w:line="313" w:lineRule="auto"/>
        <w:tabs>
          <w:tab w:leader="none" w:pos="1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7"/>
          <w:szCs w:val="17"/>
          <w:color w:val="auto"/>
        </w:rPr>
      </w:pPr>
    </w:p>
    <w:p>
      <w:pPr>
        <w:ind w:left="1620" w:right="100" w:hanging="964"/>
        <w:spacing w:after="0" w:line="266"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2760" w:right="220" w:hanging="1131"/>
        <w:spacing w:after="0" w:line="261" w:lineRule="auto"/>
        <w:tabs>
          <w:tab w:leader="none" w:pos="2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8"/>
          <w:szCs w:val="18"/>
          <w:color w:val="auto"/>
        </w:rPr>
      </w:pPr>
    </w:p>
    <w:p>
      <w:pPr>
        <w:ind w:left="2760" w:right="120" w:hanging="1131"/>
        <w:spacing w:after="0" w:line="266" w:lineRule="auto"/>
        <w:tabs>
          <w:tab w:leader="none" w:pos="2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2760" w:hanging="1131"/>
        <w:spacing w:after="0" w:line="266" w:lineRule="auto"/>
        <w:tabs>
          <w:tab w:leader="none" w:pos="2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2760" w:right="120" w:hanging="1131"/>
        <w:spacing w:after="0" w:line="261" w:lineRule="auto"/>
        <w:tabs>
          <w:tab w:leader="none" w:pos="2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1620" w:right="220" w:hanging="964"/>
        <w:spacing w:after="0" w:line="266"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2760" w:hanging="1131"/>
        <w:spacing w:after="0" w:line="266" w:lineRule="auto"/>
        <w:tabs>
          <w:tab w:leader="none" w:pos="2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8"/>
          <w:szCs w:val="18"/>
          <w:color w:val="auto"/>
        </w:rPr>
      </w:pPr>
    </w:p>
    <w:p>
      <w:pPr>
        <w:ind w:left="2760" w:right="300" w:hanging="1131"/>
        <w:spacing w:after="0" w:line="282" w:lineRule="auto"/>
        <w:tabs>
          <w:tab w:leader="none" w:pos="2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2016</w:t>
      </w:r>
    </w:p>
    <w:p>
      <w:pPr>
        <w:spacing w:after="0" w:line="171" w:lineRule="exact"/>
        <w:rPr>
          <w:sz w:val="20"/>
          <w:szCs w:val="20"/>
          <w:color w:val="auto"/>
        </w:rPr>
      </w:pPr>
    </w:p>
    <w:p>
      <w:pPr>
        <w:ind w:left="2060"/>
        <w:spacing w:after="0"/>
        <w:tabs>
          <w:tab w:leader="none" w:pos="24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791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Mark Aslett</w:t>
      </w:r>
    </w:p>
    <w:p>
      <w:pPr>
        <w:spacing w:after="0" w:line="42"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6"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420"/>
          </w:cols>
          <w:pgMar w:left="240" w:top="576"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Gerald M. Haines II, certify that:</w:t>
      </w:r>
    </w:p>
    <w:p>
      <w:pPr>
        <w:spacing w:after="0" w:line="171" w:lineRule="exact"/>
        <w:rPr>
          <w:sz w:val="20"/>
          <w:szCs w:val="20"/>
          <w:color w:val="auto"/>
        </w:rPr>
      </w:pPr>
    </w:p>
    <w:p>
      <w:pPr>
        <w:ind w:left="1620" w:hanging="964"/>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Mercury Systems, Inc.;</w:t>
      </w:r>
    </w:p>
    <w:p>
      <w:pPr>
        <w:spacing w:after="0" w:line="171" w:lineRule="exact"/>
        <w:rPr>
          <w:rFonts w:ascii="Times New Roman" w:cs="Times New Roman" w:eastAsia="Times New Roman" w:hAnsi="Times New Roman"/>
          <w:sz w:val="18"/>
          <w:szCs w:val="18"/>
          <w:color w:val="auto"/>
        </w:rPr>
      </w:pPr>
    </w:p>
    <w:p>
      <w:pPr>
        <w:ind w:left="1620" w:right="20" w:hanging="964"/>
        <w:spacing w:after="0" w:line="266"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620" w:right="80" w:hanging="964"/>
        <w:spacing w:after="0" w:line="313" w:lineRule="auto"/>
        <w:tabs>
          <w:tab w:leader="none" w:pos="1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7"/>
          <w:szCs w:val="17"/>
          <w:color w:val="auto"/>
        </w:rPr>
      </w:pPr>
    </w:p>
    <w:p>
      <w:pPr>
        <w:ind w:left="1620" w:right="100" w:hanging="964"/>
        <w:spacing w:after="0" w:line="266"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2760" w:right="220" w:hanging="1131"/>
        <w:spacing w:after="0" w:line="261" w:lineRule="auto"/>
        <w:tabs>
          <w:tab w:leader="none" w:pos="2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8"/>
          <w:szCs w:val="18"/>
          <w:color w:val="auto"/>
        </w:rPr>
      </w:pPr>
    </w:p>
    <w:p>
      <w:pPr>
        <w:ind w:left="2760" w:right="120" w:hanging="1131"/>
        <w:spacing w:after="0" w:line="266" w:lineRule="auto"/>
        <w:tabs>
          <w:tab w:leader="none" w:pos="2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2760" w:hanging="1131"/>
        <w:spacing w:after="0" w:line="266" w:lineRule="auto"/>
        <w:tabs>
          <w:tab w:leader="none" w:pos="2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2760" w:right="120" w:hanging="1131"/>
        <w:spacing w:after="0" w:line="261" w:lineRule="auto"/>
        <w:tabs>
          <w:tab w:leader="none" w:pos="2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1620" w:right="220" w:hanging="964"/>
        <w:spacing w:after="0" w:line="266"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2760" w:hanging="1131"/>
        <w:spacing w:after="0" w:line="266" w:lineRule="auto"/>
        <w:tabs>
          <w:tab w:leader="none" w:pos="2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8"/>
          <w:szCs w:val="18"/>
          <w:color w:val="auto"/>
        </w:rPr>
      </w:pPr>
    </w:p>
    <w:p>
      <w:pPr>
        <w:ind w:left="2760" w:right="300" w:hanging="1131"/>
        <w:spacing w:after="0" w:line="282" w:lineRule="auto"/>
        <w:tabs>
          <w:tab w:leader="none" w:pos="2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2016</w:t>
      </w:r>
    </w:p>
    <w:p>
      <w:pPr>
        <w:spacing w:after="0" w:line="171" w:lineRule="exact"/>
        <w:rPr>
          <w:sz w:val="20"/>
          <w:szCs w:val="20"/>
          <w:color w:val="auto"/>
        </w:rPr>
      </w:pPr>
    </w:p>
    <w:p>
      <w:pPr>
        <w:ind w:left="1780"/>
        <w:spacing w:after="0"/>
        <w:tabs>
          <w:tab w:leader="none" w:pos="2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G</w:t>
      </w:r>
      <w:r>
        <w:rPr>
          <w:rFonts w:ascii="Times New Roman" w:cs="Times New Roman" w:eastAsia="Times New Roman" w:hAnsi="Times New Roman"/>
          <w:sz w:val="14"/>
          <w:szCs w:val="14"/>
          <w:color w:val="auto"/>
        </w:rPr>
        <w:t>ERALD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79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spacing w:after="0" w:line="42"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420"/>
          </w:cols>
          <w:pgMar w:left="240" w:top="576"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72"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Mercury Systems, Inc. (the “Company”) on Form 10-Q for the period ended September 30, 2016 as filed with the Securities and Exchange Commission (the “Report”), we, Mark Aslett, President and Chief Executive Officer of the Company, and Gerald M. Haines II, Executive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2016</w:t>
      </w:r>
    </w:p>
    <w:p>
      <w:pPr>
        <w:spacing w:after="0" w:line="360" w:lineRule="exact"/>
        <w:rPr>
          <w:sz w:val="20"/>
          <w:szCs w:val="20"/>
          <w:color w:val="auto"/>
        </w:rPr>
      </w:pPr>
    </w:p>
    <w:p>
      <w:pPr>
        <w:ind w:left="2060"/>
        <w:spacing w:after="0"/>
        <w:tabs>
          <w:tab w:leader="none" w:pos="24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791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Mark Aslett</w:t>
      </w:r>
    </w:p>
    <w:p>
      <w:pPr>
        <w:spacing w:after="0" w:line="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372" w:lineRule="exact"/>
        <w:rPr>
          <w:sz w:val="20"/>
          <w:szCs w:val="20"/>
          <w:color w:val="auto"/>
        </w:rPr>
      </w:pPr>
    </w:p>
    <w:p>
      <w:pPr>
        <w:ind w:left="1780"/>
        <w:spacing w:after="0"/>
        <w:tabs>
          <w:tab w:leader="none" w:pos="2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G</w:t>
      </w:r>
      <w:r>
        <w:rPr>
          <w:rFonts w:ascii="Times New Roman" w:cs="Times New Roman" w:eastAsia="Times New Roman" w:hAnsi="Times New Roman"/>
          <w:sz w:val="14"/>
          <w:szCs w:val="14"/>
          <w:color w:val="auto"/>
        </w:rPr>
        <w:t>ERALD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791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upperLetter"/>
      <w:start w:val="1"/>
    </w:lvl>
  </w:abstractNum>
  <w:abstractNum w:abstractNumId="3">
    <w:nsid w:val="3352255A"/>
    <w:multiLevelType w:val="hybridMultilevel"/>
    <w:lvl w:ilvl="0">
      <w:lvlJc w:val="left"/>
      <w:lvlText w:val="%1."/>
      <w:numFmt w:val="upperLetter"/>
      <w:start w:val="2"/>
    </w:lvl>
  </w:abstractNum>
  <w:abstractNum w:abstractNumId="4">
    <w:nsid w:val="109CF92E"/>
    <w:multiLevelType w:val="hybridMultilevel"/>
    <w:lvl w:ilvl="0">
      <w:lvlJc w:val="left"/>
      <w:lvlText w:val="%1."/>
      <w:numFmt w:val="upperLetter"/>
      <w:start w:val="3"/>
    </w:lvl>
  </w:abstractNum>
  <w:abstractNum w:abstractNumId="5">
    <w:nsid w:val="DED7263"/>
    <w:multiLevelType w:val="hybridMultilevel"/>
    <w:lvl w:ilvl="0">
      <w:lvlJc w:val="left"/>
      <w:lvlText w:val="%1."/>
      <w:numFmt w:val="upperLetter"/>
      <w:start w:val="4"/>
    </w:lvl>
  </w:abstractNum>
  <w:abstractNum w:abstractNumId="6">
    <w:nsid w:val="7FDCC233"/>
    <w:multiLevelType w:val="hybridMultilevel"/>
    <w:lvl w:ilvl="0">
      <w:lvlJc w:val="left"/>
      <w:lvlText w:val="%1."/>
      <w:numFmt w:val="upperLetter"/>
      <w:start w:val="5"/>
    </w:lvl>
  </w:abstractNum>
  <w:abstractNum w:abstractNumId="7">
    <w:nsid w:val="1BEFD79F"/>
    <w:multiLevelType w:val="hybridMultilevel"/>
    <w:lvl w:ilvl="0">
      <w:lvlJc w:val="left"/>
      <w:lvlText w:val="%1."/>
      <w:numFmt w:val="upperLetter"/>
      <w:start w:val="6"/>
    </w:lvl>
  </w:abstractNum>
  <w:abstractNum w:abstractNumId="8">
    <w:nsid w:val="41A7C4C9"/>
    <w:multiLevelType w:val="hybridMultilevel"/>
    <w:lvl w:ilvl="0">
      <w:lvlJc w:val="left"/>
      <w:lvlText w:val="%1."/>
      <w:numFmt w:val="upperLetter"/>
      <w:start w:val="7"/>
    </w:lvl>
  </w:abstractNum>
  <w:abstractNum w:abstractNumId="9">
    <w:nsid w:val="6B68079A"/>
    <w:multiLevelType w:val="hybridMultilevel"/>
    <w:lvl w:ilvl="0">
      <w:lvlJc w:val="left"/>
      <w:lvlText w:val="%1."/>
      <w:numFmt w:val="upperLetter"/>
      <w:start w:val="8"/>
    </w:lvl>
  </w:abstractNum>
  <w:abstractNum w:abstractNumId="10">
    <w:nsid w:val="4E6AFB66"/>
    <w:multiLevelType w:val="hybridMultilevel"/>
    <w:lvl w:ilvl="0">
      <w:lvlJc w:val="left"/>
      <w:lvlText w:val="%1."/>
      <w:numFmt w:val="upperLetter"/>
      <w:start w:val="9"/>
    </w:lvl>
  </w:abstractNum>
  <w:abstractNum w:abstractNumId="11">
    <w:nsid w:val="25E45D32"/>
    <w:multiLevelType w:val="hybridMultilevel"/>
    <w:lvl w:ilvl="0">
      <w:lvlJc w:val="left"/>
      <w:lvlText w:val="%1."/>
      <w:numFmt w:val="upperLetter"/>
      <w:start w:val="10"/>
    </w:lvl>
  </w:abstractNum>
  <w:abstractNum w:abstractNumId="12">
    <w:nsid w:val="519B500D"/>
    <w:multiLevelType w:val="hybridMultilevel"/>
    <w:lvl w:ilvl="0">
      <w:lvlJc w:val="left"/>
      <w:lvlText w:val="%1."/>
      <w:numFmt w:val="upperLetter"/>
      <w:start w:val="1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upperLetter"/>
      <w:start w:val="12"/>
    </w:lvl>
  </w:abstractNum>
  <w:abstractNum w:abstractNumId="15">
    <w:nsid w:val="7C83E458"/>
    <w:multiLevelType w:val="hybridMultilevel"/>
    <w:lvl w:ilvl="0">
      <w:lvlJc w:val="left"/>
      <w:lvlText w:val="%1."/>
      <w:numFmt w:val="upperLetter"/>
      <w:start w:val="13"/>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2019-12-29T08:51:59Z</dcterms:created>
  <dcterms:modified xsi:type="dcterms:W3CDTF">2019-12-29T08:51:59Z</dcterms:modified>
</cp:coreProperties>
</file>