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 FOR THE QUARTERLY PERIOD ENDED MARCH 31, 2012</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spacing w:after="0" w:line="14" w:lineRule="exact"/>
        <w:rPr>
          <w:sz w:val="24"/>
          <w:szCs w:val="24"/>
          <w:color w:val="auto"/>
        </w:rPr>
      </w:pPr>
    </w:p>
    <w:p>
      <w:pPr>
        <w:ind w:left="460"/>
        <w:spacing w:after="0"/>
        <w:tabs>
          <w:tab w:leader="none" w:pos="5620" w:val="left"/>
        </w:tabs>
        <w:rPr>
          <w:sz w:val="20"/>
          <w:szCs w:val="20"/>
          <w:color w:val="auto"/>
        </w:rPr>
      </w:pPr>
      <w:r>
        <w:rPr>
          <w:rFonts w:ascii="Arial" w:cs="Arial" w:eastAsia="Arial" w:hAnsi="Arial"/>
          <w:sz w:val="22"/>
          <w:szCs w:val="22"/>
          <w:b w:val="1"/>
          <w:bCs w:val="1"/>
          <w:color w:val="auto"/>
        </w:rPr>
        <w:t>1934 FOR THE TRANSITION PERIOD FROM</w:t>
      </w:r>
      <w:r>
        <w:rPr>
          <w:sz w:val="20"/>
          <w:szCs w:val="20"/>
          <w:color w:val="auto"/>
        </w:rPr>
        <w:tab/>
      </w:r>
      <w:r>
        <w:rPr>
          <w:rFonts w:ascii="Arial" w:cs="Arial" w:eastAsia="Arial" w:hAnsi="Arial"/>
          <w:sz w:val="21"/>
          <w:szCs w:val="21"/>
          <w:b w:val="1"/>
          <w:bCs w:val="1"/>
          <w:color w:val="auto"/>
        </w:rPr>
        <w:t>TO</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0-23599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MERCURY COMPUTER SYSTEMS,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00" w:type="dxa"/>
        <w:tblCellMar>
          <w:top w:w="0" w:type="dxa"/>
          <w:left w:w="0" w:type="dxa"/>
          <w:bottom w:w="0" w:type="dxa"/>
          <w:right w:w="0" w:type="dxa"/>
        </w:tblCellMar>
      </w:tblPr>
      <w:tr>
        <w:trPr>
          <w:trHeight w:val="218"/>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5"/>
              </w:rPr>
              <w:t>MASSACHUSETTS</w:t>
            </w:r>
          </w:p>
        </w:tc>
        <w:tc>
          <w:tcPr>
            <w:tcW w:w="5200" w:type="dxa"/>
            <w:vAlign w:val="bottom"/>
          </w:tcPr>
          <w:p>
            <w:pPr>
              <w:jc w:val="right"/>
              <w:ind w:right="24"/>
              <w:spacing w:after="0"/>
              <w:rPr>
                <w:sz w:val="20"/>
                <w:szCs w:val="20"/>
                <w:color w:val="auto"/>
              </w:rPr>
            </w:pPr>
            <w:r>
              <w:rPr>
                <w:rFonts w:ascii="Arial" w:cs="Arial" w:eastAsia="Arial" w:hAnsi="Arial"/>
                <w:sz w:val="18"/>
                <w:szCs w:val="18"/>
                <w:b w:val="1"/>
                <w:bCs w:val="1"/>
                <w:color w:val="auto"/>
              </w:rPr>
              <w:t>04-2741391</w:t>
            </w:r>
          </w:p>
        </w:tc>
      </w:tr>
      <w:tr>
        <w:trPr>
          <w:trHeight w:val="149"/>
        </w:trPr>
        <w:tc>
          <w:tcPr>
            <w:tcW w:w="23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00" w:type="dxa"/>
            <w:vAlign w:val="bottom"/>
          </w:tcPr>
          <w:p>
            <w:pPr>
              <w:jc w:val="center"/>
              <w:ind w:left="40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36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incorporation or organization)</w:t>
            </w:r>
          </w:p>
        </w:tc>
        <w:tc>
          <w:tcPr>
            <w:tcW w:w="5200" w:type="dxa"/>
            <w:vAlign w:val="bottom"/>
          </w:tcPr>
          <w:p>
            <w:pPr>
              <w:jc w:val="center"/>
              <w:ind w:left="408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7"/>
              </w:rPr>
              <w:t>201 RIVERNECK ROAD</w:t>
            </w:r>
          </w:p>
        </w:tc>
        <w:tc>
          <w:tcPr>
            <w:tcW w:w="5200" w:type="dxa"/>
            <w:vAlign w:val="bottom"/>
          </w:tcPr>
          <w:p>
            <w:pPr>
              <w:spacing w:after="0"/>
              <w:rPr>
                <w:sz w:val="24"/>
                <w:szCs w:val="24"/>
                <w:color w:val="auto"/>
              </w:rPr>
            </w:pPr>
          </w:p>
        </w:tc>
      </w:tr>
      <w:tr>
        <w:trPr>
          <w:trHeight w:val="231"/>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8"/>
              </w:rPr>
              <w:t>CHELMSFORD, MA</w:t>
            </w:r>
          </w:p>
        </w:tc>
        <w:tc>
          <w:tcPr>
            <w:tcW w:w="5200" w:type="dxa"/>
            <w:vAlign w:val="bottom"/>
          </w:tcPr>
          <w:p>
            <w:pPr>
              <w:jc w:val="right"/>
              <w:ind w:right="224"/>
              <w:spacing w:after="0"/>
              <w:rPr>
                <w:sz w:val="20"/>
                <w:szCs w:val="20"/>
                <w:color w:val="auto"/>
              </w:rPr>
            </w:pPr>
            <w:r>
              <w:rPr>
                <w:rFonts w:ascii="Arial" w:cs="Arial" w:eastAsia="Arial" w:hAnsi="Arial"/>
                <w:sz w:val="18"/>
                <w:szCs w:val="18"/>
                <w:b w:val="1"/>
                <w:bCs w:val="1"/>
                <w:color w:val="auto"/>
              </w:rPr>
              <w:t>01824</w:t>
            </w:r>
          </w:p>
        </w:tc>
      </w:tr>
      <w:tr>
        <w:trPr>
          <w:trHeight w:val="174"/>
        </w:trPr>
        <w:tc>
          <w:tcPr>
            <w:tcW w:w="2360" w:type="dxa"/>
            <w:vAlign w:val="bottom"/>
          </w:tcPr>
          <w:p>
            <w:pPr>
              <w:jc w:val="center"/>
              <w:ind w:right="6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200" w:type="dxa"/>
            <w:vAlign w:val="bottom"/>
          </w:tcPr>
          <w:p>
            <w:pPr>
              <w:jc w:val="center"/>
              <w:ind w:left="4084"/>
              <w:spacing w:after="0"/>
              <w:rPr>
                <w:sz w:val="20"/>
                <w:szCs w:val="20"/>
                <w:color w:val="auto"/>
              </w:rPr>
            </w:pPr>
            <w:r>
              <w:rPr>
                <w:rFonts w:ascii="Arial" w:cs="Arial" w:eastAsia="Arial" w:hAnsi="Arial"/>
                <w:sz w:val="14"/>
                <w:szCs w:val="14"/>
                <w:b w:val="1"/>
                <w:bCs w:val="1"/>
                <w:color w:val="auto"/>
                <w:w w:val="92"/>
              </w:rPr>
              <w:t>(Zip Code)</w:t>
            </w:r>
          </w:p>
        </w:tc>
      </w:tr>
      <w:tr>
        <w:trPr>
          <w:trHeight w:val="352"/>
        </w:trPr>
        <w:tc>
          <w:tcPr>
            <w:tcW w:w="2360" w:type="dxa"/>
            <w:vAlign w:val="bottom"/>
          </w:tcPr>
          <w:p>
            <w:pPr>
              <w:spacing w:after="0"/>
              <w:rPr>
                <w:sz w:val="24"/>
                <w:szCs w:val="24"/>
                <w:color w:val="auto"/>
              </w:rPr>
            </w:pPr>
          </w:p>
        </w:tc>
        <w:tc>
          <w:tcPr>
            <w:tcW w:w="5200" w:type="dxa"/>
            <w:vAlign w:val="bottom"/>
          </w:tcPr>
          <w:p>
            <w:pPr>
              <w:jc w:val="right"/>
              <w:ind w:right="2964"/>
              <w:spacing w:after="0"/>
              <w:rPr>
                <w:sz w:val="20"/>
                <w:szCs w:val="20"/>
                <w:color w:val="auto"/>
              </w:rPr>
            </w:pPr>
            <w:r>
              <w:rPr>
                <w:rFonts w:ascii="Arial" w:cs="Arial" w:eastAsia="Arial" w:hAnsi="Arial"/>
                <w:sz w:val="18"/>
                <w:szCs w:val="18"/>
                <w:b w:val="1"/>
                <w:bCs w:val="1"/>
                <w:color w:val="auto"/>
              </w:rPr>
              <w:t>978-256-1300</w:t>
            </w:r>
          </w:p>
        </w:tc>
      </w:tr>
      <w:tr>
        <w:trPr>
          <w:trHeight w:val="174"/>
        </w:trPr>
        <w:tc>
          <w:tcPr>
            <w:tcW w:w="2360" w:type="dxa"/>
            <w:vAlign w:val="bottom"/>
          </w:tcPr>
          <w:p>
            <w:pPr>
              <w:spacing w:after="0"/>
              <w:rPr>
                <w:sz w:val="15"/>
                <w:szCs w:val="15"/>
                <w:color w:val="auto"/>
              </w:rPr>
            </w:pPr>
          </w:p>
        </w:tc>
        <w:tc>
          <w:tcPr>
            <w:tcW w:w="5200" w:type="dxa"/>
            <w:vAlign w:val="bottom"/>
          </w:tcPr>
          <w:p>
            <w:pPr>
              <w:jc w:val="center"/>
              <w:ind w:right="182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2420" w:type="dxa"/>
            <w:vAlign w:val="bottom"/>
          </w:tcPr>
          <w:p>
            <w:pPr>
              <w:ind w:left="1200"/>
              <w:spacing w:after="0"/>
              <w:rPr>
                <w:sz w:val="20"/>
                <w:szCs w:val="20"/>
                <w:color w:val="auto"/>
              </w:rPr>
            </w:pPr>
            <w:r>
              <w:rPr>
                <w:rFonts w:ascii="Arial" w:cs="Arial" w:eastAsia="Arial" w:hAnsi="Arial"/>
                <w:sz w:val="18"/>
                <w:szCs w:val="18"/>
                <w:color w:val="auto"/>
                <w:w w:val="92"/>
              </w:rPr>
              <w:t>Accelerated filer</w:t>
            </w:r>
          </w:p>
        </w:tc>
        <w:tc>
          <w:tcPr>
            <w:tcW w:w="1160" w:type="dxa"/>
            <w:vAlign w:val="bottom"/>
          </w:tcPr>
          <w:p>
            <w:pPr>
              <w:spacing w:after="0"/>
              <w:rPr>
                <w:sz w:val="23"/>
                <w:szCs w:val="23"/>
                <w:color w:val="auto"/>
              </w:rPr>
            </w:pPr>
          </w:p>
        </w:tc>
        <w:tc>
          <w:tcPr>
            <w:tcW w:w="6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52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gridSpan w:val="2"/>
          </w:tcPr>
          <w:p>
            <w:pPr>
              <w:ind w:left="120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r>
      <w:tr>
        <w:trPr>
          <w:trHeight w:val="378"/>
        </w:trPr>
        <w:tc>
          <w:tcPr>
            <w:tcW w:w="9580" w:type="dxa"/>
            <w:vAlign w:val="bottom"/>
            <w:gridSpan w:val="3"/>
          </w:tcPr>
          <w:p>
            <w:pPr>
              <w:ind w:left="460"/>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by Rule 12b-2 of the Exchange Act).  Yes </w:t>
            </w: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No</w:t>
            </w:r>
          </w:p>
        </w:tc>
        <w:tc>
          <w:tcPr>
            <w:tcW w:w="11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Pr>
          <w:p>
            <w:pPr>
              <w:spacing w:after="0"/>
              <w:rPr>
                <w:sz w:val="24"/>
                <w:szCs w:val="24"/>
                <w:color w:val="auto"/>
              </w:rPr>
            </w:pPr>
          </w:p>
        </w:tc>
      </w:tr>
      <w:tr>
        <w:trPr>
          <w:trHeight w:val="358"/>
        </w:trPr>
        <w:tc>
          <w:tcPr>
            <w:tcW w:w="7160" w:type="dxa"/>
            <w:vAlign w:val="bottom"/>
            <w:gridSpan w:val="2"/>
          </w:tcPr>
          <w:p>
            <w:pPr>
              <w:ind w:left="460"/>
              <w:spacing w:after="0"/>
              <w:rPr>
                <w:sz w:val="20"/>
                <w:szCs w:val="20"/>
                <w:color w:val="auto"/>
              </w:rPr>
            </w:pPr>
            <w:r>
              <w:rPr>
                <w:rFonts w:ascii="Arial" w:cs="Arial" w:eastAsia="Arial" w:hAnsi="Arial"/>
                <w:sz w:val="18"/>
                <w:szCs w:val="18"/>
                <w:color w:val="auto"/>
              </w:rPr>
              <w:t>Shares of Common Stock outstanding as of April 30, 2012: 30,959,208 shares</w:t>
            </w:r>
          </w:p>
        </w:tc>
        <w:tc>
          <w:tcPr>
            <w:tcW w:w="2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5"/>
        </w:trPr>
        <w:tc>
          <w:tcPr>
            <w:tcW w:w="1940" w:type="dxa"/>
            <w:vAlign w:val="bottom"/>
            <w:tcBorders>
              <w:bottom w:val="single" w:sz="8" w:color="auto"/>
            </w:tcBorders>
          </w:tcPr>
          <w:p>
            <w:pPr>
              <w:spacing w:after="0"/>
              <w:rPr>
                <w:sz w:val="17"/>
                <w:szCs w:val="17"/>
                <w:color w:val="auto"/>
              </w:rPr>
            </w:pPr>
          </w:p>
        </w:tc>
        <w:tc>
          <w:tcPr>
            <w:tcW w:w="52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21"/>
        </w:trPr>
        <w:tc>
          <w:tcPr>
            <w:tcW w:w="194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MERCURY COMPUTER SYSTEMS,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820" w:type="dxa"/>
            <w:vAlign w:val="bottom"/>
            <w:gridSpan w:val="8"/>
            <w:vMerge w:val="restart"/>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900" w:type="dxa"/>
            <w:vAlign w:val="bottom"/>
            <w:gridSpan w:val="8"/>
            <w:vMerge w:val="restart"/>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61"/>
        </w:trPr>
        <w:tc>
          <w:tcPr>
            <w:tcW w:w="2820" w:type="dxa"/>
            <w:vAlign w:val="bottom"/>
            <w:tcBorders>
              <w:bottom w:val="single" w:sz="8" w:color="0000EE"/>
            </w:tcBorders>
            <w:gridSpan w:val="8"/>
            <w:vMerge w:val="continue"/>
          </w:tcPr>
          <w:p>
            <w:pPr>
              <w:spacing w:after="0"/>
              <w:rPr>
                <w:sz w:val="13"/>
                <w:szCs w:val="13"/>
                <w:color w:val="auto"/>
              </w:rPr>
            </w:pPr>
          </w:p>
        </w:tc>
        <w:tc>
          <w:tcPr>
            <w:tcW w:w="7900" w:type="dxa"/>
            <w:vAlign w:val="bottom"/>
            <w:gridSpan w:val="8"/>
            <w:vMerge w:val="continue"/>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23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7360" w:type="dxa"/>
            <w:vAlign w:val="bottom"/>
            <w:gridSpan w:val="7"/>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97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2012 and June 30, 2011</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716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Statements of Operations for the three and nine months ended March 31, 2012 and 2011</w:t>
              </w:r>
            </w:hyperlink>
          </w:p>
        </w:tc>
        <w:tc>
          <w:tcPr>
            <w:tcW w:w="25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652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Cash Flows for the nine months ended March 31, 2012 and 2011</w:t>
              </w:r>
            </w:hyperlink>
          </w:p>
        </w:tc>
        <w:tc>
          <w:tcPr>
            <w:tcW w:w="320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972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Management’s Discussion and Analysis of Financial Condition and Results of Operations</w:t>
              </w:r>
            </w:hyperlink>
          </w:p>
        </w:tc>
        <w:tc>
          <w:tcPr>
            <w:tcW w:w="342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Quantitative and Qualitative Disclosures about Market Risk</w:t>
              </w:r>
            </w:hyperlink>
          </w:p>
        </w:tc>
        <w:tc>
          <w:tcPr>
            <w:tcW w:w="552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720" w:type="dxa"/>
            <w:vAlign w:val="bottom"/>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PART II. OTHER INFORMATION</w:t>
              </w:r>
            </w:hyperlink>
          </w:p>
        </w:tc>
        <w:tc>
          <w:tcPr>
            <w:tcW w:w="8200" w:type="dxa"/>
            <w:vAlign w:val="bottom"/>
            <w:gridSpan w:val="10"/>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Legal Proceedings</w:t>
              </w:r>
            </w:hyperlink>
          </w:p>
        </w:tc>
        <w:tc>
          <w:tcPr>
            <w:tcW w:w="8420" w:type="dxa"/>
            <w:vAlign w:val="bottom"/>
            <w:gridSpan w:val="11"/>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Risk Factors</w:t>
              </w:r>
            </w:hyperlink>
          </w:p>
        </w:tc>
        <w:tc>
          <w:tcPr>
            <w:tcW w:w="8840" w:type="dxa"/>
            <w:vAlign w:val="bottom"/>
            <w:gridSpan w:val="1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580" w:type="dxa"/>
            <w:vAlign w:val="bottom"/>
            <w:tcBorders>
              <w:bottom w:val="single" w:sz="8" w:color="0000EE"/>
            </w:tcBorders>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Exhibits</w:t>
              </w:r>
            </w:hyperlink>
          </w:p>
        </w:tc>
        <w:tc>
          <w:tcPr>
            <w:tcW w:w="9140" w:type="dxa"/>
            <w:vAlign w:val="bottom"/>
            <w:gridSpan w:val="1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74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34">
              <w:r>
                <w:rPr>
                  <w:rFonts w:ascii="Arial" w:cs="Arial" w:eastAsia="Arial" w:hAnsi="Arial"/>
                  <w:sz w:val="18"/>
                  <w:szCs w:val="18"/>
                  <w:color w:val="0000EE"/>
                  <w:w w:val="83"/>
                </w:rPr>
                <w:t>Signatures</w:t>
              </w:r>
            </w:hyperlink>
          </w:p>
        </w:tc>
        <w:tc>
          <w:tcPr>
            <w:tcW w:w="8980" w:type="dxa"/>
            <w:vAlign w:val="bottom"/>
            <w:gridSpan w:val="1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83"/>
        </w:trPr>
        <w:tc>
          <w:tcPr>
            <w:tcW w:w="1000" w:type="dxa"/>
            <w:vAlign w:val="bottom"/>
          </w:tcPr>
          <w:p>
            <w:pPr>
              <w:spacing w:after="0"/>
              <w:rPr>
                <w:sz w:val="24"/>
                <w:szCs w:val="24"/>
                <w:color w:val="auto"/>
              </w:rPr>
            </w:pPr>
          </w:p>
        </w:tc>
        <w:tc>
          <w:tcPr>
            <w:tcW w:w="4880" w:type="dxa"/>
            <w:vAlign w:val="bottom"/>
            <w:gridSpan w:val="11"/>
          </w:tcPr>
          <w:p>
            <w:pPr>
              <w:ind w:left="4680"/>
              <w:spacing w:after="0"/>
              <w:rPr>
                <w:sz w:val="20"/>
                <w:szCs w:val="20"/>
                <w:color w:val="auto"/>
              </w:rPr>
            </w:pPr>
            <w:r>
              <w:rPr>
                <w:rFonts w:ascii="Arial" w:cs="Arial" w:eastAsia="Arial" w:hAnsi="Arial"/>
                <w:sz w:val="18"/>
                <w:szCs w:val="18"/>
                <w:color w:val="auto"/>
              </w:rPr>
              <w:t>2</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80" w:type="dxa"/>
            <w:vAlign w:val="bottom"/>
          </w:tcPr>
          <w:p>
            <w:pPr>
              <w:jc w:val="center"/>
              <w:ind w:left="113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880" w:type="dxa"/>
            <w:vAlign w:val="bottom"/>
          </w:tcPr>
          <w:p>
            <w:pPr>
              <w:ind w:left="48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80" w:type="dxa"/>
            <w:vAlign w:val="bottom"/>
          </w:tcPr>
          <w:p>
            <w:pPr>
              <w:jc w:val="center"/>
              <w:ind w:left="1132"/>
              <w:spacing w:after="0"/>
              <w:rPr>
                <w:sz w:val="20"/>
                <w:szCs w:val="20"/>
                <w:color w:val="auto"/>
              </w:rPr>
            </w:pPr>
            <w:r>
              <w:rPr>
                <w:rFonts w:ascii="Arial" w:cs="Arial" w:eastAsia="Arial" w:hAnsi="Arial"/>
                <w:sz w:val="18"/>
                <w:szCs w:val="18"/>
                <w:b w:val="1"/>
                <w:bCs w:val="1"/>
                <w:color w:val="auto"/>
                <w:w w:val="98"/>
              </w:rPr>
              <w:t>MERCURY COMPUTER SYSTEMS, INC.</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80" w:type="dxa"/>
            <w:vAlign w:val="bottom"/>
          </w:tcPr>
          <w:p>
            <w:pPr>
              <w:jc w:val="center"/>
              <w:ind w:left="115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80" w:type="dxa"/>
            <w:vAlign w:val="bottom"/>
          </w:tcPr>
          <w:p>
            <w:pPr>
              <w:jc w:val="center"/>
              <w:ind w:left="1152"/>
              <w:spacing w:after="0"/>
              <w:rPr>
                <w:sz w:val="20"/>
                <w:szCs w:val="20"/>
                <w:color w:val="auto"/>
              </w:rPr>
            </w:pPr>
            <w:r>
              <w:rPr>
                <w:rFonts w:ascii="Arial" w:cs="Arial" w:eastAsia="Arial" w:hAnsi="Arial"/>
                <w:sz w:val="18"/>
                <w:szCs w:val="18"/>
                <w:color w:val="auto"/>
                <w:w w:val="85"/>
              </w:rPr>
              <w:t>(In thousands, except per share and share data)</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80" w:type="dxa"/>
            <w:vAlign w:val="bottom"/>
          </w:tcPr>
          <w:p>
            <w:pPr>
              <w:jc w:val="center"/>
              <w:ind w:left="1132"/>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40" w:type="dxa"/>
            <w:vAlign w:val="bottom"/>
          </w:tcPr>
          <w:p>
            <w:pPr>
              <w:spacing w:after="0"/>
              <w:rPr>
                <w:sz w:val="7"/>
                <w:szCs w:val="7"/>
                <w:color w:val="auto"/>
              </w:rPr>
            </w:pPr>
          </w:p>
        </w:tc>
        <w:tc>
          <w:tcPr>
            <w:tcW w:w="8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114,845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 of allowance for doubtful accounts of $45 and $17 at March 31, 2012 and June 30, 2011,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38,190</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Unbilled receivables and cost in excess of billings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11,672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21,802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8,132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Prepaid income taxes</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1,668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8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201,203</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240,184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3,281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15,351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132,325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Acquired intangible assets, net</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26,231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379,346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355,562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12,272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12,149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Deferred revenues and customer advances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37,495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Deferred gain on sale-leaseback</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4,689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9,400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1,912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8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54,250</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H)</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$.01 par value; 1,000,000 shares authorized; no shares issued or outstanding</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w w:val="91"/>
              </w:rPr>
              <w:t>Common stock, $.01 par value; 85,000,000 shares authorized; 29,586,674 and 29,143,738 shares issued and outstanding at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March 31, 2012 and June 30, 2011, respectively</w:t>
            </w: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220,463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103,056</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80" w:type="dxa"/>
            <w:vAlign w:val="bottom"/>
          </w:tcPr>
          <w:p>
            <w:pPr>
              <w:ind w:left="2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325,096</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301,436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379,346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355,562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2012</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66,989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59,855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184,070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Cost of revenues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31,926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26,973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78,178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72,294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35,063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32,882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105,892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15,217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11,452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10,683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1,143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27,957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25,883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76,420</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20" w:type="dxa"/>
            <w:vAlign w:val="bottom"/>
            <w:gridSpan w:val="2"/>
            <w:vMerge w:val="continue"/>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7,106</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6,999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18,762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Interest expense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20" w:type="dxa"/>
            <w:vAlign w:val="bottom"/>
            <w:gridSpan w:val="2"/>
            <w:vMerge w:val="continue"/>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7,625</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2,380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20" w:type="dxa"/>
            <w:vAlign w:val="bottom"/>
            <w:gridSpan w:val="2"/>
            <w:vMerge w:val="continue"/>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5,245</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14,243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gridSpan w:val="2"/>
            <w:vMerge w:val="continue"/>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5,245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5,378</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16,943</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(loss) per share: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0.58</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 net of income taxes</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0.58</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Diluted net earnings (loss) per share: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0.56</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 net of income taxes</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0.56</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Basic</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29,562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26,272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30,168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27,324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24,911</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2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16,943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8,381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Provision for deferred income taxes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1,354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Other non-cash items</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 net of effects of businesses acquired: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Accounts receivable, unbilled receivables, and cost in excess of billings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6,404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Prepaid income taxes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Deferred revenues and customer advances</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(2,594)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(5,542)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22,845</w:t>
            </w:r>
          </w:p>
        </w:tc>
        <w:tc>
          <w:tcPr>
            <w:tcW w:w="0" w:type="dxa"/>
            <w:vAlign w:val="bottom"/>
          </w:tcPr>
          <w:p>
            <w:pPr>
              <w:spacing w:after="0"/>
              <w:rPr>
                <w:sz w:val="1"/>
                <w:szCs w:val="1"/>
                <w:color w:val="auto"/>
              </w:rPr>
            </w:pPr>
          </w:p>
        </w:tc>
      </w:tr>
      <w:tr>
        <w:trPr>
          <w:trHeight w:val="330"/>
        </w:trPr>
        <w:tc>
          <w:tcPr>
            <w:tcW w:w="95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businesses, net of cash acquired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(70,370)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(29,508)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Sales and maturities of marketable securities</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Payments for acquired intangible assets</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restricted cash</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5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95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(77,139)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(19,194)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Proceeds from follow-on public stock offering, net</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plans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offering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Payments of capital lease obligations</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5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(48,030)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100,180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162,875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56,241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114,845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156,421</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5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6,621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disclosures—non-cash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Issuance of restricted stock awards to employees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8,306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Capital lease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17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96"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Mercury Computer Systems, Inc. (the “Company” or “Mercury”) designs, manufactures and markets commercially-developed, high-performance embedded, real-time digital signal and image processing sub-systems and software for specialized defense and commercial computing markets. The Company’s solutions play a critical role in a wide range of applications, transforming sensor data to information for analysis and action. In military reconnaissance and surveillance platforms, the Company’s sub-systems process real-time radar, video, sonar and signals intelligence data. The Company provides microwave products for enhanced communications capabilities in military and commercial applications. Additionally, Mercury Federal Systems (“MFS”), the Company’s wholly owned subsidiary, focuses on the defense contracting market with contracts which support the defense, intelligence, and homeland security markets.</w:t>
      </w:r>
    </w:p>
    <w:p>
      <w:pPr>
        <w:spacing w:after="0" w:line="10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Company’s products and solutions address mission-critical requirements within the defense industry for C4ISR (command, control, communications, computers, intelligence, surveillance and reconnaissance) and electronic warfare, or EW, systems and services, and target several markets including maritime defense, airborne reconnaissance, ballistic missile defense, ground mobile and force protection systems and tactical communications and network systems. The Company’s products or solutions have been deployed in over 300 different programs with over 25 different prime defense contractors.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 AND</w:t>
      </w:r>
      <w:r>
        <w:rPr>
          <w:rFonts w:ascii="Arial" w:cs="Arial" w:eastAsia="Arial" w:hAnsi="Arial"/>
          <w:sz w:val="18"/>
          <w:szCs w:val="18"/>
          <w:color w:val="auto"/>
        </w:rPr>
        <w:t xml:space="preserve"> P</w:t>
      </w:r>
      <w:r>
        <w:rPr>
          <w:rFonts w:ascii="Arial" w:cs="Arial" w:eastAsia="Arial" w:hAnsi="Arial"/>
          <w:sz w:val="14"/>
          <w:szCs w:val="14"/>
          <w:color w:val="auto"/>
        </w:rPr>
        <w:t>RINCIPLES OF</w:t>
      </w:r>
      <w:r>
        <w:rPr>
          <w:rFonts w:ascii="Arial" w:cs="Arial" w:eastAsia="Arial" w:hAnsi="Arial"/>
          <w:sz w:val="18"/>
          <w:szCs w:val="18"/>
          <w:color w:val="auto"/>
        </w:rPr>
        <w:t xml:space="preserve"> C</w:t>
      </w:r>
      <w:r>
        <w:rPr>
          <w:rFonts w:ascii="Arial" w:cs="Arial" w:eastAsia="Arial" w:hAnsi="Arial"/>
          <w:sz w:val="14"/>
          <w:szCs w:val="14"/>
          <w:color w:val="auto"/>
        </w:rPr>
        <w:t>ONSOLIDATION</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accompanying consolidated financial statements have been prepared by the Company in accordance with accounting principles generally accepted in the United States of America (“U.S.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2011 which are contained in the Company’s Annual Report on Form 10-K filed with the Securities and Exchange Commission (“SEC”) on August 18, 2011. The results for the three and nine months ended March 31, 2012 are not necessarily indicative of the results to be expected for the full fiscal year.</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w:t>
      </w:r>
      <w:r>
        <w:rPr>
          <w:rFonts w:ascii="Arial" w:cs="Arial" w:eastAsia="Arial" w:hAnsi="Arial"/>
          <w:sz w:val="18"/>
          <w:szCs w:val="18"/>
          <w:color w:val="auto"/>
        </w:rPr>
        <w:t xml:space="preserve"> R</w:t>
      </w:r>
      <w:r>
        <w:rPr>
          <w:rFonts w:ascii="Arial" w:cs="Arial" w:eastAsia="Arial" w:hAnsi="Arial"/>
          <w:sz w:val="14"/>
          <w:szCs w:val="14"/>
          <w:color w:val="auto"/>
        </w:rPr>
        <w:t>ECOGNITION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was 36% of total revenues in both the three and nine months ended March 31, 2012. Total revenue recognized under multiple-deliverable revenue arrangements in the three and nine months ended March 31, 2011 was 42% and 48% of total revenues, respectively. Of the Company’s multiple-deliverable revenue arrangements, 50% typically ship complete within the same quarter.</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Each deliverable within the Company’s multiple-deliverable revenue arrangements is accounted for as a separate unit of accounting under the guidance of Financial Accounting Standards Board (“FASB”) Accounting Standards Update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 considers a deliverable to have standalone value if the item is sold separately by the Company or another vendor or could be resold by the customer. Further, the Company’s revenue arrangements generally do not include a general right of return relative to delivered products.</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allocates arrangement consideration to each deliverable in an arrangement based on its relative selling price. The Company determines the selling price of its deliverables based on the following hierarchy: (1) vendor-specific objective evidence (“VSOE”) if available; (2) third-party evidence (“TPE”) if VSOE is not available; and (3) best estimated selling price (“BESP”) if neither VSOE nor TPE is available. The Company is not able to establish TPE due to the nature of the markets in which the Company competes, and, as such, the Company determines selling price using VSOE or BESP.</w:t>
      </w:r>
    </w:p>
    <w:p>
      <w:pPr>
        <w:spacing w:after="0" w:line="11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VSOE is generally limited to the price charged when the same or similar product is sold separately or, if applicable, the stated substantive renewal rate in the agreement. If a product or service is seldom sold separately, it is unlikely that the Company can determine VSOE for the product or service. The Company defines VSOE as a median price of recent standalone transactions that are priced within a narrow range, as defined by the Company.</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Company’s determination of BESP involves a weighting of several factors based on the specific facts and circumstances of the arrangement. Specifically, the Company considers the cost to produce the deliverable, the anticipated margin on that deliverable, the selling price and profit margin for similar parts, the Company’s ongoing pricing strategy and policies (as evident in the price list as established and updated on a regular basis), the value of any enhancements that have been built into the deliverable and the characteristics of the varying markets in which the deliverable is sold. The Company will determine BESP for deliverables in future agreements based on the specific facts and circumstances of each arrangement.</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are analyzed on a more frequent basis if a significant change in the Company’s business necessitates a more timely analysis or if the Company experiences significant fluctuations in the selling prices of its products.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EIGHTED</w:t>
      </w:r>
      <w:r>
        <w:rPr>
          <w:rFonts w:ascii="Arial" w:cs="Arial" w:eastAsia="Arial" w:hAnsi="Arial"/>
          <w:sz w:val="18"/>
          <w:szCs w:val="18"/>
          <w:color w:val="auto"/>
        </w:rPr>
        <w:t>-A</w:t>
      </w:r>
      <w:r>
        <w:rPr>
          <w:rFonts w:ascii="Arial" w:cs="Arial" w:eastAsia="Arial" w:hAnsi="Arial"/>
          <w:sz w:val="14"/>
          <w:szCs w:val="14"/>
          <w:color w:val="auto"/>
        </w:rPr>
        <w:t>VERAGE</w:t>
      </w:r>
      <w:r>
        <w:rPr>
          <w:rFonts w:ascii="Arial" w:cs="Arial" w:eastAsia="Arial" w:hAnsi="Arial"/>
          <w:sz w:val="18"/>
          <w:szCs w:val="18"/>
          <w:color w:val="auto"/>
        </w:rPr>
        <w:t xml:space="preserve"> S</w:t>
      </w:r>
      <w:r>
        <w:rPr>
          <w:rFonts w:ascii="Arial" w:cs="Arial" w:eastAsia="Arial" w:hAnsi="Arial"/>
          <w:sz w:val="14"/>
          <w:szCs w:val="14"/>
          <w:color w:val="auto"/>
        </w:rPr>
        <w:t>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Weighted-average shares were calculated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88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Three Months Ended</w:t>
            </w:r>
          </w:p>
        </w:tc>
        <w:tc>
          <w:tcPr>
            <w:tcW w:w="900" w:type="dxa"/>
            <w:vAlign w:val="bottom"/>
            <w:gridSpan w:val="2"/>
          </w:tcPr>
          <w:p>
            <w:pPr>
              <w:jc w:val="center"/>
              <w:ind w:left="404"/>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880" w:type="dxa"/>
            <w:vAlign w:val="bottom"/>
            <w:gridSpan w:val="4"/>
          </w:tcPr>
          <w:p>
            <w:pPr>
              <w:ind w:left="440"/>
              <w:spacing w:after="0"/>
              <w:rPr>
                <w:sz w:val="20"/>
                <w:szCs w:val="20"/>
                <w:color w:val="auto"/>
              </w:rPr>
            </w:pPr>
            <w:r>
              <w:rPr>
                <w:rFonts w:ascii="Arial" w:cs="Arial" w:eastAsia="Arial" w:hAnsi="Arial"/>
                <w:sz w:val="14"/>
                <w:szCs w:val="14"/>
                <w:b w:val="1"/>
                <w:bCs w:val="1"/>
                <w:color w:val="auto"/>
              </w:rPr>
              <w:t>March 31,</w:t>
            </w: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weighted-average shares outstanding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29,562</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26,272</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29,432</w:t>
            </w:r>
          </w:p>
        </w:tc>
        <w:tc>
          <w:tcPr>
            <w:tcW w:w="3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Effect of dilutive equity instruments</w:t>
            </w:r>
          </w:p>
        </w:tc>
        <w:tc>
          <w:tcPr>
            <w:tcW w:w="540" w:type="dxa"/>
            <w:vAlign w:val="bottom"/>
          </w:tcPr>
          <w:p>
            <w:pPr>
              <w:jc w:val="right"/>
              <w:spacing w:after="0"/>
              <w:rPr>
                <w:sz w:val="20"/>
                <w:szCs w:val="20"/>
                <w:color w:val="auto"/>
              </w:rPr>
            </w:pPr>
            <w:r>
              <w:rPr>
                <w:rFonts w:ascii="Arial" w:cs="Arial" w:eastAsia="Arial" w:hAnsi="Arial"/>
                <w:sz w:val="18"/>
                <w:szCs w:val="18"/>
                <w:color w:val="auto"/>
              </w:rPr>
              <w:t>606</w:t>
            </w:r>
          </w:p>
        </w:tc>
        <w:tc>
          <w:tcPr>
            <w:tcW w:w="4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1,052</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625</w:t>
            </w:r>
          </w:p>
        </w:tc>
        <w:tc>
          <w:tcPr>
            <w:tcW w:w="48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weighted-average shares outstanding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30,168</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27,324</w:t>
            </w:r>
          </w:p>
        </w:tc>
        <w:tc>
          <w:tcPr>
            <w:tcW w:w="9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30,057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Equity instruments to purchase 1,267 and 925 shares of common stock were not included in the calculation of diluted net earnings per share for the three and nine months ended March 31, 2012, respectively, because the equity instruments were anti-dilutive. Equity instruments to purchase 650 and 950 shares of common stock were not included in the calculation of diluted net earnings per share for the three and nine months ended March 31, 2011, respectively, because the equity instruments were anti-dilutive.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Acquisitions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KOR and PDI A</w:t>
      </w:r>
      <w:r>
        <w:rPr>
          <w:rFonts w:ascii="Arial" w:cs="Arial" w:eastAsia="Arial" w:hAnsi="Arial"/>
          <w:sz w:val="14"/>
          <w:szCs w:val="14"/>
          <w:color w:val="auto"/>
        </w:rPr>
        <w:t>CQUISITION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December 22, 2011, the Company and King Merger Inc., a newly formed, wholly-owned subsidiary of the Company (the “Merger Sub”), entered into an Agreement and Plan of Merger (the “Merger Agreement”) with KOR Electronics (“KOR”), and Shareholder Representative Services LLC, as the securityholders’ representative. On December 30, 2011, the transaction closed with the Merger Sub being merged with and into KOR with KOR continuing as the surviving company and wholly-owned subsidiary of the Company (the “Merger”). By operation of the Merger, the Company acquired both KOR and its wholly-owned subsidiary, Paragon Dynamics, Inc. (“PDI”). Based in Cypress, California, KOR designs and develops digital radio frequency memory (“DRFM”) units for a variety of modern EW applications, as well as radar environment simulation and test systems for defense applications. Based in Aurora, Colorado, PDI provides sophisticated analytic exploitation services and customized multi-intelligence data fusion solutions for the U.S. intelligence community. For segment reporting, KOR is included in the Advanced Computing Solutions (“ACS”) business segment and PDI is included in the MFS business segment.</w:t>
      </w:r>
    </w:p>
    <w:p>
      <w:pPr>
        <w:spacing w:after="0" w:line="11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 acquired KOR and PDI for a purchase price of $70,000 paid in cash. The Company funded the purchase price with cash on hand. The Company acquired KOR and PDI free of bank debt. The purchase price was subject to post-closing adjustment based on a determination of KOR’s closing net working capital.</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the Merger Agreement, $10,650 of the purchase price was placed into escrow to support the post-closing working capital adjustment and the sellers’ indemnification obligations. The escrow is available for indemnification claims through December 30, 2013. No amounts have been released from escrow as of March 31, 2012.</w:t>
      </w:r>
    </w:p>
    <w:p>
      <w:pPr>
        <w:sectPr>
          <w:pgSz w:w="11900" w:h="16838" w:orient="portrait"/>
          <w:cols w:equalWidth="0" w:num="1">
            <w:col w:w="11400"/>
          </w:cols>
          <w:pgMar w:left="240" w:top="459" w:right="259" w:bottom="1440" w:gutter="0" w:footer="0" w:header="0"/>
        </w:sectPr>
      </w:pP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net purchase price for the acquisition of KOR:</w:t>
      </w:r>
    </w:p>
    <w:p>
      <w:pPr>
        <w:spacing w:after="0" w:line="200" w:lineRule="exact"/>
        <w:rPr>
          <w:sz w:val="20"/>
          <w:szCs w:val="20"/>
          <w:color w:val="auto"/>
        </w:rPr>
      </w:pPr>
    </w:p>
    <w:p>
      <w:pPr>
        <w:spacing w:after="0" w:line="33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8"/>
          <w:szCs w:val="18"/>
          <w:color w:val="auto"/>
        </w:rPr>
        <w:t>Cash paid at closing</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Working capital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5"/>
          <w:szCs w:val="15"/>
          <w:color w:val="auto"/>
        </w:rPr>
        <w:t>Less cash, cash equivalents and restricted cash acquired</w:t>
      </w:r>
    </w:p>
    <w:p>
      <w:pPr>
        <w:spacing w:after="0" w:line="6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Net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9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jc w:val="center"/>
        <w:ind w:right="1912"/>
        <w:spacing w:after="0"/>
        <w:rPr>
          <w:sz w:val="20"/>
          <w:szCs w:val="20"/>
          <w:color w:val="auto"/>
        </w:rPr>
      </w:pPr>
      <w:r>
        <w:rPr>
          <w:rFonts w:ascii="Arial" w:cs="Arial" w:eastAsia="Arial" w:hAnsi="Arial"/>
          <w:sz w:val="11"/>
          <w:szCs w:val="11"/>
          <w:b w:val="1"/>
          <w:bCs w:val="1"/>
          <w:color w:val="auto"/>
        </w:rPr>
        <w:t>Net Purchase</w:t>
      </w:r>
    </w:p>
    <w:p>
      <w:pPr>
        <w:spacing w:after="0" w:line="35" w:lineRule="exact"/>
        <w:rPr>
          <w:sz w:val="20"/>
          <w:szCs w:val="20"/>
          <w:color w:val="auto"/>
        </w:rPr>
      </w:pPr>
    </w:p>
    <w:p>
      <w:pPr>
        <w:jc w:val="center"/>
        <w:ind w:right="1912"/>
        <w:spacing w:after="0"/>
        <w:rPr>
          <w:sz w:val="20"/>
          <w:szCs w:val="20"/>
          <w:color w:val="auto"/>
        </w:rPr>
      </w:pPr>
      <w:r>
        <w:rPr>
          <w:rFonts w:ascii="Arial" w:cs="Arial" w:eastAsia="Arial" w:hAnsi="Arial"/>
          <w:sz w:val="14"/>
          <w:szCs w:val="14"/>
          <w:b w:val="1"/>
          <w:bCs w:val="1"/>
          <w:color w:val="auto"/>
        </w:rPr>
        <w:t>Price</w:t>
      </w:r>
    </w:p>
    <w:p>
      <w:pPr>
        <w:spacing w:after="0" w:line="195" w:lineRule="exact"/>
        <w:rPr>
          <w:sz w:val="20"/>
          <w:szCs w:val="20"/>
          <w:color w:val="auto"/>
        </w:rPr>
      </w:pPr>
    </w:p>
    <w:p>
      <w:pPr>
        <w:ind w:left="288" w:hanging="288"/>
        <w:spacing w:after="0"/>
        <w:tabs>
          <w:tab w:leader="none" w:pos="288" w:val="left"/>
        </w:tabs>
        <w:numPr>
          <w:ilvl w:val="0"/>
          <w:numId w:val="3"/>
        </w:numPr>
        <w:rPr>
          <w:rFonts w:ascii="Arial" w:cs="Arial" w:eastAsia="Arial" w:hAnsi="Arial"/>
          <w:sz w:val="16"/>
          <w:szCs w:val="16"/>
          <w:color w:val="auto"/>
        </w:rPr>
      </w:pPr>
      <w:r>
        <w:rPr>
          <w:rFonts w:ascii="Arial" w:cs="Arial" w:eastAsia="Arial" w:hAnsi="Arial"/>
          <w:sz w:val="16"/>
          <w:szCs w:val="16"/>
          <w:color w:val="auto"/>
        </w:rPr>
        <w:t>71,019</w:t>
      </w:r>
    </w:p>
    <w:p>
      <w:pPr>
        <w:spacing w:after="0" w:line="38" w:lineRule="exact"/>
        <w:rPr>
          <w:rFonts w:ascii="Arial" w:cs="Arial" w:eastAsia="Arial" w:hAnsi="Arial"/>
          <w:sz w:val="16"/>
          <w:szCs w:val="16"/>
          <w:color w:val="auto"/>
        </w:rPr>
      </w:pPr>
    </w:p>
    <w:p>
      <w:pPr>
        <w:ind w:left="508"/>
        <w:spacing w:after="0"/>
        <w:rPr>
          <w:rFonts w:ascii="Arial" w:cs="Arial" w:eastAsia="Arial" w:hAnsi="Arial"/>
          <w:sz w:val="16"/>
          <w:szCs w:val="16"/>
          <w:color w:val="auto"/>
        </w:rPr>
      </w:pPr>
      <w:r>
        <w:rPr>
          <w:rFonts w:ascii="Arial" w:cs="Arial" w:eastAsia="Arial" w:hAnsi="Arial"/>
          <w:sz w:val="18"/>
          <w:szCs w:val="18"/>
          <w:color w:val="auto"/>
        </w:rPr>
        <w:t>370</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889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10" w:lineRule="exact"/>
        <w:rPr>
          <w:sz w:val="20"/>
          <w:szCs w:val="20"/>
          <w:color w:val="auto"/>
        </w:rPr>
      </w:pPr>
    </w:p>
    <w:p>
      <w:pPr>
        <w:ind w:left="288" w:hanging="288"/>
        <w:spacing w:after="0"/>
        <w:tabs>
          <w:tab w:leader="none" w:pos="288" w:val="left"/>
        </w:tabs>
        <w:numPr>
          <w:ilvl w:val="0"/>
          <w:numId w:val="4"/>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70,370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4889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2">
            <w:col w:w="7992" w:space="720"/>
            <w:col w:w="2688"/>
          </w:cols>
          <w:pgMar w:left="240" w:top="459" w:right="2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preliminary allocation of the net purchase price for KOR:</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3"/>
              </w:rPr>
              <w:t>Net Purchase Price</w:t>
            </w: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Allocation</w:t>
            </w:r>
          </w:p>
        </w:tc>
      </w:tr>
      <w:tr>
        <w:trPr>
          <w:trHeight w:val="196"/>
        </w:trPr>
        <w:tc>
          <w:tcPr>
            <w:tcW w:w="20" w:type="dxa"/>
            <w:vAlign w:val="bottom"/>
          </w:tcPr>
          <w:p>
            <w:pPr>
              <w:spacing w:after="0"/>
              <w:rPr>
                <w:sz w:val="17"/>
                <w:szCs w:val="17"/>
                <w:color w:val="auto"/>
              </w:rPr>
            </w:pPr>
          </w:p>
        </w:tc>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Estimated fair value of tangible assets acquired and liabilities assumed</w:t>
            </w: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Cash, cash equivalents and restricted cash</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and cost in excess of billings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Other current and non-current assets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(4,474)</w:t>
            </w:r>
          </w:p>
        </w:tc>
      </w:tr>
      <w:tr>
        <w:trPr>
          <w:trHeight w:val="223"/>
        </w:trPr>
        <w:tc>
          <w:tcPr>
            <w:tcW w:w="20" w:type="dxa"/>
            <w:vAlign w:val="bottom"/>
          </w:tcPr>
          <w:p>
            <w:pPr>
              <w:spacing w:after="0"/>
              <w:rPr>
                <w:sz w:val="19"/>
                <w:szCs w:val="19"/>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(4,600)</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net tangible assets acquired</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Estimated fair value of identifiable intangible assets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12,130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goodwill</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52,767</w:t>
            </w:r>
          </w:p>
        </w:tc>
        <w:tc>
          <w:tcPr>
            <w:tcW w:w="120" w:type="dxa"/>
            <w:vAlign w:val="bottom"/>
            <w:shd w:val="clear" w:color="auto" w:fill="CCEEFF"/>
          </w:tcPr>
          <w:p>
            <w:pPr>
              <w:spacing w:after="0"/>
              <w:rPr>
                <w:sz w:val="18"/>
                <w:szCs w:val="18"/>
                <w:color w:val="auto"/>
              </w:rPr>
            </w:pPr>
          </w:p>
        </w:tc>
      </w:tr>
      <w:tr>
        <w:trPr>
          <w:trHeight w:val="222"/>
        </w:trPr>
        <w:tc>
          <w:tcPr>
            <w:tcW w:w="6540" w:type="dxa"/>
            <w:vAlign w:val="bottom"/>
            <w:gridSpan w:val="2"/>
          </w:tcPr>
          <w:p>
            <w:pPr>
              <w:spacing w:after="0"/>
              <w:rPr>
                <w:sz w:val="20"/>
                <w:szCs w:val="20"/>
                <w:color w:val="auto"/>
              </w:rPr>
            </w:pPr>
            <w:r>
              <w:rPr>
                <w:rFonts w:ascii="Arial" w:cs="Arial" w:eastAsia="Arial" w:hAnsi="Arial"/>
                <w:sz w:val="18"/>
                <w:szCs w:val="18"/>
                <w:color w:val="auto"/>
              </w:rPr>
              <w:t>Estimated fair value of assets acquired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71,389</w:t>
            </w: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cash, cash equivalents and restricted cash acquired</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(1,019)</w:t>
            </w:r>
          </w:p>
        </w:tc>
      </w:tr>
      <w:tr>
        <w:trPr>
          <w:trHeight w:val="222"/>
        </w:trPr>
        <w:tc>
          <w:tcPr>
            <w:tcW w:w="6540" w:type="dxa"/>
            <w:vAlign w:val="bottom"/>
            <w:gridSpan w:val="2"/>
          </w:tcPr>
          <w:p>
            <w:pPr>
              <w:spacing w:after="0"/>
              <w:rPr>
                <w:sz w:val="20"/>
                <w:szCs w:val="20"/>
                <w:color w:val="auto"/>
              </w:rPr>
            </w:pPr>
            <w:r>
              <w:rPr>
                <w:rFonts w:ascii="Arial" w:cs="Arial" w:eastAsia="Arial" w:hAnsi="Arial"/>
                <w:sz w:val="18"/>
                <w:szCs w:val="18"/>
                <w:color w:val="auto"/>
              </w:rPr>
              <w:t>Net purchase price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70,370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amounts above represent the preliminary fair value estimates as of March 31, 2012 and are subject to subsequent adjustment as the Company obtains additional information during the measurement period and finalizes its fair value estimates. Any subsequent adjustments to these fair value estimates occurring during the measurement period will result in an adjustment to goodwill or income, as applicable. As of March 31, 2012, there have been no material adjustments to the initial fair value estimates.</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goodwill of $52,767 arising from the KOR acquisition largely reflects the potential synergies and expansion of the Company’s service offerings across product segments complementary to the Company’s existing products. The KOR acquisition provides the Company with additional know-how and expertise related to radio frequency simulation and jamming technology and expansion into technical services for the U.S. intelligence community.</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revenue and operating income of KOR included in the Company’s consolidated statements of operations for both the three and nine months ended March 31, 2012 was $10,453 and $1,512,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Financial Information</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tables summarize the supplemental statements of operations information on an unaudited pro forma basis as if the KOR acquisition had occurred on July 1, 2010:</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4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4"/>
                <w:szCs w:val="14"/>
                <w:b w:val="1"/>
                <w:bCs w:val="1"/>
                <w:color w:val="auto"/>
                <w:w w:val="86"/>
              </w:rPr>
              <w:t>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72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r>
      <w:tr>
        <w:trPr>
          <w:trHeight w:val="210"/>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revenues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204,619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194,946</w:t>
            </w:r>
          </w:p>
        </w:tc>
        <w:tc>
          <w:tcPr>
            <w:tcW w:w="12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Pro forma net income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17,473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17,243</w:t>
            </w:r>
          </w:p>
        </w:tc>
        <w:tc>
          <w:tcPr>
            <w:tcW w:w="12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Basic pro forma net earnings per share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CCEEFF"/>
          </w:tcPr>
          <w:p>
            <w:pPr>
              <w:spacing w:after="0"/>
              <w:rPr>
                <w:sz w:val="18"/>
                <w:szCs w:val="18"/>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Diluted pro forma net earnings per share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pro forma results presented above are for illustrative purposes only for the applicable periods and do not purport to be indicative of the actual results which would have occurred had the transaction been completed as of the beginning of the period, nor are they indicative of results of operations which may occur in the future.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February 16, 2011, the Company completed a follow-on public stock offering of 5,578 shares of the Company’s common stock. As a result, an additional 5,578 and 999 weighted average shares outstanding were included in the calculation of basic and diluted net earnings per shares for the nine months ended March 31, 2012 and 2011,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Goodwill and Acquired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changes in the carrying amount of goodwill for the nine months ended March 31, 2012:</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Amounts</w:t>
            </w: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2011</w:t>
            </w:r>
          </w:p>
        </w:tc>
        <w:tc>
          <w:tcPr>
            <w:tcW w:w="1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79,558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Goodwill allocated to KOR</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33,449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allocated to PDI</w:t>
            </w:r>
          </w:p>
        </w:tc>
        <w:tc>
          <w:tcPr>
            <w:tcW w:w="1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19,318</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20" w:type="dxa"/>
            <w:vAlign w:val="bottom"/>
          </w:tcPr>
          <w:p>
            <w:pPr>
              <w:ind w:left="840"/>
              <w:spacing w:after="0"/>
              <w:rPr>
                <w:sz w:val="20"/>
                <w:szCs w:val="20"/>
                <w:color w:val="auto"/>
              </w:rPr>
            </w:pPr>
            <w:r>
              <w:rPr>
                <w:rFonts w:ascii="Arial" w:cs="Arial" w:eastAsia="Arial" w:hAnsi="Arial"/>
                <w:sz w:val="18"/>
                <w:szCs w:val="18"/>
                <w:color w:val="auto"/>
              </w:rPr>
              <w:t>Total Goodwill arising from the KOR acquisition</w:t>
            </w:r>
          </w:p>
        </w:tc>
        <w:tc>
          <w:tcPr>
            <w:tcW w:w="1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132,325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 the nine months ended March 31, 2012, there were no triggering events, as defined by FASB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(“FASB ASC 350”), which required an interim goodwill impairment test. The Company performs its annual goodwill impairment test in the fourth quarter of each fiscal year.</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determines its reporting units in accordance with FASB ASC 350, by assessing whether discrete financial information is available and if management regularly reviews the operating results of that component. Following this assessment, the Company determined that its reporting units are the same as its operating segments, ACS and MFS. As of June 30, 2011, ACS was the only reporting unit that had a goodwill balance, and as such, the annual impairment analysis was performed for this reporting unit only. As of March 31, 2012, both ACS and MFS had goodwill balances, as such; the annual impairment analysis will be performed for each reporting unit in the fourth quarter of fiscal year 2012.</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Acquired intangible assets consisted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Gross</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6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60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6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Useful</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March 31, 2012</w:t>
            </w:r>
          </w:p>
        </w:tc>
        <w:tc>
          <w:tcPr>
            <w:tcW w:w="19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$26,770</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(8,668)</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$18,102</w:t>
            </w:r>
          </w:p>
        </w:tc>
        <w:tc>
          <w:tcPr>
            <w:tcW w:w="6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6.9 years</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 and patents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(2,206)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5.4 years</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Completed technologies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5,570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(738)</w:t>
            </w:r>
          </w:p>
        </w:tc>
        <w:tc>
          <w:tcPr>
            <w:tcW w:w="580" w:type="dxa"/>
            <w:vAlign w:val="bottom"/>
          </w:tcPr>
          <w:p>
            <w:pPr>
              <w:jc w:val="right"/>
              <w:spacing w:after="0"/>
              <w:rPr>
                <w:sz w:val="20"/>
                <w:szCs w:val="20"/>
                <w:color w:val="auto"/>
              </w:rPr>
            </w:pPr>
            <w:r>
              <w:rPr>
                <w:rFonts w:ascii="Arial" w:cs="Arial" w:eastAsia="Arial" w:hAnsi="Arial"/>
                <w:sz w:val="18"/>
                <w:szCs w:val="18"/>
                <w:color w:val="auto"/>
              </w:rPr>
              <w:t>4,832</w:t>
            </w:r>
          </w:p>
        </w:tc>
        <w:tc>
          <w:tcPr>
            <w:tcW w:w="6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5.3 years</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6.0 years</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Backlog</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(488)</w:t>
            </w:r>
          </w:p>
        </w:tc>
        <w:tc>
          <w:tcPr>
            <w:tcW w:w="580" w:type="dxa"/>
            <w:vAlign w:val="bottom"/>
          </w:tcPr>
          <w:p>
            <w:pPr>
              <w:jc w:val="right"/>
              <w:spacing w:after="0"/>
              <w:rPr>
                <w:sz w:val="20"/>
                <w:szCs w:val="20"/>
                <w:color w:val="auto"/>
              </w:rPr>
            </w:pPr>
            <w:r>
              <w:rPr>
                <w:rFonts w:ascii="Arial" w:cs="Arial" w:eastAsia="Arial" w:hAnsi="Arial"/>
                <w:sz w:val="18"/>
                <w:szCs w:val="18"/>
                <w:color w:val="auto"/>
              </w:rPr>
              <w:t>312</w:t>
            </w:r>
          </w:p>
        </w:tc>
        <w:tc>
          <w:tcPr>
            <w:tcW w:w="6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2.0 years</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5.0 years</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tcPr>
          <w:p>
            <w:pPr>
              <w:spacing w:after="0"/>
              <w:rPr>
                <w:sz w:val="19"/>
                <w:szCs w:val="19"/>
                <w:color w:val="auto"/>
              </w:rPr>
            </w:pPr>
          </w:p>
        </w:tc>
        <w:tc>
          <w:tcPr>
            <w:tcW w:w="2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38,725</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(12,494)</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26,231</w:t>
            </w: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June 30, 2011</w:t>
            </w:r>
          </w:p>
        </w:tc>
        <w:tc>
          <w:tcPr>
            <w:tcW w:w="1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$18,300</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(7,530)</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$10,770</w:t>
            </w:r>
          </w:p>
        </w:tc>
        <w:tc>
          <w:tcPr>
            <w:tcW w:w="6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6.7 years</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 trademarks and patents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(1,622)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5.5 years</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Completed technologies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2,900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(227)</w:t>
            </w:r>
          </w:p>
        </w:tc>
        <w:tc>
          <w:tcPr>
            <w:tcW w:w="580" w:type="dxa"/>
            <w:vAlign w:val="bottom"/>
          </w:tcPr>
          <w:p>
            <w:pPr>
              <w:jc w:val="right"/>
              <w:spacing w:after="0"/>
              <w:rPr>
                <w:sz w:val="20"/>
                <w:szCs w:val="20"/>
                <w:color w:val="auto"/>
              </w:rPr>
            </w:pPr>
            <w:r>
              <w:rPr>
                <w:rFonts w:ascii="Arial" w:cs="Arial" w:eastAsia="Arial" w:hAnsi="Arial"/>
                <w:sz w:val="18"/>
                <w:szCs w:val="18"/>
                <w:color w:val="auto"/>
              </w:rPr>
              <w:t>2,673</w:t>
            </w:r>
          </w:p>
        </w:tc>
        <w:tc>
          <w:tcPr>
            <w:tcW w:w="6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6.0 years</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 years</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Non-compete agreements</w:t>
            </w:r>
          </w:p>
        </w:tc>
        <w:tc>
          <w:tcPr>
            <w:tcW w:w="1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(276)</w:t>
            </w:r>
          </w:p>
        </w:tc>
        <w:tc>
          <w:tcPr>
            <w:tcW w:w="580" w:type="dxa"/>
            <w:vAlign w:val="bottom"/>
          </w:tcPr>
          <w:p>
            <w:pPr>
              <w:jc w:val="right"/>
              <w:spacing w:after="0"/>
              <w:rPr>
                <w:sz w:val="20"/>
                <w:szCs w:val="20"/>
                <w:color w:val="auto"/>
              </w:rPr>
            </w:pPr>
            <w:r>
              <w:rPr>
                <w:rFonts w:ascii="Arial" w:cs="Arial" w:eastAsia="Arial" w:hAnsi="Arial"/>
                <w:sz w:val="18"/>
                <w:szCs w:val="18"/>
                <w:color w:val="auto"/>
              </w:rPr>
              <w:t>224</w:t>
            </w:r>
          </w:p>
        </w:tc>
        <w:tc>
          <w:tcPr>
            <w:tcW w:w="6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5.0 years</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26,545</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(9,843)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16,702</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980" w:type="dxa"/>
            <w:vAlign w:val="bottom"/>
            <w:vMerge w:val="restart"/>
          </w:tcPr>
          <w:p>
            <w:pPr>
              <w:jc w:val="right"/>
              <w:ind w:right="752"/>
              <w:spacing w:after="0"/>
              <w:rPr>
                <w:sz w:val="20"/>
                <w:szCs w:val="20"/>
                <w:color w:val="auto"/>
              </w:rPr>
            </w:pPr>
            <w:r>
              <w:rPr>
                <w:rFonts w:ascii="Arial" w:cs="Arial" w:eastAsia="Arial" w:hAnsi="Arial"/>
                <w:sz w:val="18"/>
                <w:szCs w:val="18"/>
                <w:color w:val="auto"/>
              </w:rPr>
              <w:t>10</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future amortization expense for acquired intangible assets remaining at March 31, 2012 is as follows: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120" w:type="dxa"/>
            <w:vAlign w:val="bottom"/>
            <w:gridSpan w:val="4"/>
          </w:tcPr>
          <w:p>
            <w:pPr>
              <w:jc w:val="center"/>
              <w:ind w:left="2122"/>
              <w:spacing w:after="0"/>
              <w:rPr>
                <w:sz w:val="20"/>
                <w:szCs w:val="20"/>
                <w:color w:val="auto"/>
              </w:rPr>
            </w:pPr>
            <w:r>
              <w:rPr>
                <w:rFonts w:ascii="Arial" w:cs="Arial" w:eastAsia="Arial" w:hAnsi="Arial"/>
                <w:sz w:val="14"/>
                <w:szCs w:val="14"/>
                <w:b w:val="1"/>
                <w:bCs w:val="1"/>
                <w:color w:val="auto"/>
                <w:w w:val="88"/>
              </w:rPr>
              <w:t>Year Ending</w:t>
            </w: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2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2013</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4,826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2015</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4,670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Thereafter</w:t>
            </w:r>
          </w:p>
        </w:tc>
        <w:tc>
          <w:tcPr>
            <w:tcW w:w="2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future amortization expense</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the acquired intangible assets arising as a result of the KOR acquisition. These assets are included in the Company’s gross and net carrying amounts as of March 31, 2012.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Preliminary estimated fair value of acquired intangible assets at March 31, 2012 for the KOR acquisition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Gross</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6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6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6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Useful</w:t>
            </w:r>
          </w:p>
        </w:tc>
        <w:tc>
          <w:tcPr>
            <w:tcW w:w="0" w:type="dxa"/>
            <w:vAlign w:val="bottom"/>
          </w:tcPr>
          <w:p>
            <w:pPr>
              <w:spacing w:after="0"/>
              <w:rPr>
                <w:sz w:val="1"/>
                <w:szCs w:val="1"/>
                <w:color w:val="auto"/>
              </w:rPr>
            </w:pPr>
          </w:p>
        </w:tc>
      </w:tr>
      <w:tr>
        <w:trPr>
          <w:trHeight w:val="16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8,470</w:t>
            </w: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6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0"/>
              </w:rPr>
              <w:t>7.2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Completed technologies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2,670</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2,522</w:t>
            </w:r>
          </w:p>
        </w:tc>
        <w:tc>
          <w:tcPr>
            <w:tcW w:w="68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4.5 years</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6.0 years</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8"/>
                <w:szCs w:val="18"/>
                <w:color w:val="auto"/>
                <w:w w:val="94"/>
              </w:rPr>
              <w:t>6.5 years</w:t>
            </w:r>
          </w:p>
        </w:tc>
        <w:tc>
          <w:tcPr>
            <w:tcW w:w="0" w:type="dxa"/>
            <w:vAlign w:val="bottom"/>
          </w:tcPr>
          <w:p>
            <w:pPr>
              <w:spacing w:after="0" w:line="20" w:lineRule="exact"/>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12,130</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(492)</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11,638</w:t>
            </w:r>
          </w:p>
        </w:tc>
        <w:tc>
          <w:tcPr>
            <w:tcW w:w="68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Fair Value of Financial Instruments</w:t>
      </w:r>
    </w:p>
    <w:p>
      <w:pPr>
        <w:spacing w:after="0" w:line="96"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 xml:space="preserve">The Company measures at fair value certain financial assets and liabilities, including cash equivalents, restricted cash and contingent consideration. FASB ASC 820, </w:t>
      </w:r>
      <w:r>
        <w:rPr>
          <w:rFonts w:ascii="Arial" w:cs="Arial" w:eastAsia="Arial" w:hAnsi="Arial"/>
          <w:sz w:val="16"/>
          <w:szCs w:val="16"/>
          <w:i w:val="1"/>
          <w:iCs w:val="1"/>
          <w:color w:val="auto"/>
        </w:rPr>
        <w:t>Fair Value Measurement and Disclosures</w:t>
      </w:r>
      <w:r>
        <w:rPr>
          <w:rFonts w:ascii="Arial" w:cs="Arial" w:eastAsia="Arial" w:hAnsi="Arial"/>
          <w:sz w:val="16"/>
          <w:szCs w:val="16"/>
          <w:color w:val="auto"/>
        </w:rPr>
        <w:t>,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fair-value hierarchy:</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1—Quoted prices for identical instruments in active markets;</w:t>
      </w:r>
    </w:p>
    <w:p>
      <w:pPr>
        <w:spacing w:after="0" w:line="90" w:lineRule="exact"/>
        <w:rPr>
          <w:sz w:val="20"/>
          <w:szCs w:val="20"/>
          <w:color w:val="auto"/>
        </w:rPr>
      </w:pPr>
    </w:p>
    <w:p>
      <w:pPr>
        <w:ind w:left="920" w:right="220"/>
        <w:spacing w:after="0" w:line="332" w:lineRule="auto"/>
        <w:rPr>
          <w:sz w:val="20"/>
          <w:szCs w:val="20"/>
          <w:color w:val="auto"/>
        </w:rPr>
      </w:pPr>
      <w:r>
        <w:rPr>
          <w:rFonts w:ascii="Arial" w:cs="Arial" w:eastAsia="Arial" w:hAnsi="Arial"/>
          <w:sz w:val="16"/>
          <w:szCs w:val="16"/>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4" w:lineRule="exact"/>
        <w:rPr>
          <w:sz w:val="20"/>
          <w:szCs w:val="20"/>
          <w:color w:val="auto"/>
        </w:rPr>
      </w:pPr>
    </w:p>
    <w:p>
      <w:pPr>
        <w:jc w:val="center"/>
        <w:ind w:left="660" w:right="500"/>
        <w:spacing w:after="0" w:line="440" w:lineRule="auto"/>
        <w:rPr>
          <w:sz w:val="20"/>
          <w:szCs w:val="20"/>
          <w:color w:val="auto"/>
        </w:rPr>
      </w:pPr>
      <w:r>
        <w:rPr>
          <w:rFonts w:ascii="Arial" w:cs="Arial" w:eastAsia="Arial" w:hAnsi="Arial"/>
          <w:sz w:val="18"/>
          <w:szCs w:val="18"/>
          <w:color w:val="auto"/>
        </w:rPr>
        <w:t>Level 3—Valuations derived from valuation techniques in which one or more significant inputs or significant value drivers are unobservable. 11</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Company’s financial assets and liabilities measured at fair value on a recurring basis at March 31, 2012:</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116"/>
              <w:spacing w:after="0"/>
              <w:rPr>
                <w:sz w:val="20"/>
                <w:szCs w:val="20"/>
                <w:color w:val="auto"/>
              </w:rPr>
            </w:pPr>
            <w:r>
              <w:rPr>
                <w:rFonts w:ascii="Arial" w:cs="Arial" w:eastAsia="Arial" w:hAnsi="Arial"/>
                <w:sz w:val="14"/>
                <w:szCs w:val="14"/>
                <w:b w:val="1"/>
                <w:bCs w:val="1"/>
                <w:color w:val="auto"/>
              </w:rPr>
              <w:t>Fair Value Measurements</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March 31,</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6"/>
              <w:spacing w:after="0"/>
              <w:rPr>
                <w:sz w:val="20"/>
                <w:szCs w:val="20"/>
                <w:color w:val="auto"/>
              </w:rPr>
            </w:pPr>
            <w:r>
              <w:rPr>
                <w:rFonts w:ascii="Arial" w:cs="Arial" w:eastAsia="Arial" w:hAnsi="Arial"/>
                <w:sz w:val="14"/>
                <w:szCs w:val="14"/>
                <w:b w:val="1"/>
                <w:bCs w:val="1"/>
                <w:color w:val="auto"/>
                <w:w w:val="92"/>
              </w:rPr>
              <w:t>Level 1</w:t>
            </w:r>
          </w:p>
        </w:tc>
        <w:tc>
          <w:tcPr>
            <w:tcW w:w="5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2</w:t>
            </w:r>
          </w:p>
        </w:tc>
        <w:tc>
          <w:tcPr>
            <w:tcW w:w="400" w:type="dxa"/>
            <w:vAlign w:val="bottom"/>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U.S. Treasury bills and money market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99,048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99,048</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5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ind w:left="86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102,329</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102,329</w:t>
            </w:r>
          </w:p>
        </w:tc>
        <w:tc>
          <w:tcPr>
            <w:tcW w:w="5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Contingent consideration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4,923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carrying values of cash and cash equivalents, unbilled receivables, accounts receivable and payable, and accrued liabilities approximate fair value due to the short-term maturities of these assets and liabilities.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determines the fair value of the contingent consideration related to the LNX acquisition based on the probability of LNX attaining specific financial targets using an appropriate discount rate to present value the liability. The following table provides a rollforward of the fair value of the contingent consideration, whose fair values were determined by Level 3 inputs:</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60" w:type="dxa"/>
            <w:vAlign w:val="bottom"/>
            <w:gridSpan w:val="4"/>
          </w:tcPr>
          <w:p>
            <w:pPr>
              <w:ind w:left="136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2011</w:t>
            </w:r>
          </w:p>
        </w:tc>
        <w:tc>
          <w:tcPr>
            <w:tcW w:w="1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Recognition of accretion expense in operating expenses</w:t>
            </w:r>
          </w:p>
        </w:tc>
        <w:tc>
          <w:tcPr>
            <w:tcW w:w="1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4,923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Inventory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Inventory is stated at the lower of cost (first-in, first-out) or market value, and consists of materials, labor and overhead. On a quarterly basis, the Company uses consistent methodologies to evaluate inventory for net realizable value. The Company reduces the value of inventory for excess and obsolete inventory, consisting of on-hand and non-cancelable on-order inventory in excess of estimated usage. The excess and obsolete inventory evaluation is based upon assumptions about future demand, product mix and possible alternative uses. Inventory was comprised of the following:</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89"/>
              </w:rPr>
              <w:t>March 31,</w:t>
            </w:r>
          </w:p>
        </w:tc>
        <w:tc>
          <w:tcPr>
            <w:tcW w:w="68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w:t>
            </w:r>
          </w:p>
        </w:tc>
      </w:tr>
      <w:tr>
        <w:trPr>
          <w:trHeight w:val="161"/>
        </w:trPr>
        <w:tc>
          <w:tcPr>
            <w:tcW w:w="67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2012</w:t>
            </w: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7,484</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7,554</w:t>
            </w: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00" w:type="dxa"/>
            <w:vAlign w:val="bottom"/>
            <w:shd w:val="clear" w:color="auto" w:fill="CCEEFF"/>
          </w:tcPr>
          <w:p>
            <w:pPr>
              <w:spacing w:after="0"/>
              <w:rPr>
                <w:sz w:val="18"/>
                <w:szCs w:val="18"/>
                <w:color w:val="auto"/>
              </w:rPr>
            </w:pPr>
          </w:p>
        </w:tc>
      </w:tr>
      <w:tr>
        <w:trPr>
          <w:trHeight w:val="222"/>
        </w:trPr>
        <w:tc>
          <w:tcPr>
            <w:tcW w:w="672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21,802</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18,540</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amounts in inventory relating to contracts having production cycles longer than one year.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has a loan and security agreement (the “Loan Agreement”) with Silicon Valley Bank that provides a $35,000 revolving line of credit (the “Revolver”), with interest payable monthly and the principal due at the February 11, 2014 maturity of the Revolver. The Loan Agreement provides for conventional affirmative and negative covenants, including a minimum quick ratio of 1.0 and a $15,000 minimum trailing four quarter cash flow covenant through and including June 30, 2012 (with $17,500 of minimum cash flow required thereafter). The minimum cash flow covenant is calculated as the Company’s trailing-four quarter adjusted EBITDA as defined in the Loan Agreement. In addition, the Loan Agreement contains certain customary representations and warranties and limits the Company’s and its subsidiaries’ ability to incur liens, dispose of assets, carry out certain mergers and acquisitions, make investments and capital expenditures and defines events of default and limitations on the ability of the Company and its subsidiaries to incur additional debt. The interest rates include various rate options that are available to the Company. The rates are calculated using a combination of conventional base rate measures plus a margin over those rates. The base rates consist of LIBOR rates and prime rates. The actual rates will depend on the level of these underlying rates plus a margin based on the Company’s leverage at the time of borrowing. Borrowings are secured by a first-priority security interest in all of the Company’s domestic assets, including intellectual property, but limited to 65% of the voting stock of foreign subsidiaries. The Company’s MFS, LNX, KOR and PDI subsidiaries are guarantors and have granted a security interest in their assets in favor of Silicon Valley Bank. The Company has had no borrowings under the Loan Agreement since inception and was in compliance with all covenants as of March 31, 2012.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U.S. Department of Justice (“DOJ”) is conducting an investigation into the conduct of certain former employees of PDI in the 2008-2009 time frame and has asserted that such conduct may have constituted a violation of the Procurement Integrity Act and that civil penalties would apply to any such violations. PDI and its parent company, KOR, have been cooperating in the investigation. While the parties have engaged in discussions and correspondence regarding this matter, no resolution has been reached and no litigation has commenced. Since its acquisition of PDI and KOR, the Company has been in the process of developing a more complete assessment of the DOJ investigation. The Company is entitled to indemnity with respect to this matter pursuant to the terms of the Merger Agreement, and based on this indemnity and the associated escrow arrangement, the matter is not expected to have a material impact on the Company’s cash flows, results of operations, or financial condition.</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foregoing, the Company is subject to litigation, claims, investigations and audits arising from time to time in the ordinary course of its business. Although legal proceedings are inherently unpredictable, the Company believes that it has valid defenses with respect to those matters currently pending against it and intends to defend itself vigorously. The outcome of these matters, individually and in the aggregate, is not expected to have a material impact on the Company’s cash flows, results of operations, or financial position.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In connection with the divestitures of the Company’s former VI, VSG, Biotech and ES/PS businesses, which occurred in January 2009, June 2009, September 2008, and May 2008, respectively, the Company provided indemnification to the buyers of the respective businesses. The Company’s indemnification obligations generally cover the buyers for damages resulting from breaches of representations, warranties and covenants contained in the applicable purchase and sale agreement and generally cover pre-closing tax liabilities of the divested businesses. The Company’s indemnification obligations related to divested businesses are generally subject to caps and expire at various defined future dates.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September 2006, the Company entered into a supply agreement with a third-party vendor to purchase certain inventory parts that went “end of life.” This supply agreement, as subsequently amended, commits the vendor to acquiring and storing $6,500 of inventory until August 31, 2012 and allows the Company to place orders for the inventory four times a year. Upon the earlier of January 31, 2007 or completion of the wafer fabrication process, the Company was required to and paid $1,900 of the $6,500. As of March 31, 2012, the Company placed a purchase order for $2,736 for the remaining inventory under the agreement.</w:t>
      </w:r>
    </w:p>
    <w:p>
      <w:pPr>
        <w:spacing w:after="0" w:line="11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As of March 31, 2012, the Company has entered into non-cancelable purchase commitments for certain inventory components and services used in its normal operations. The purchase commitments covered by these agreements are for less than one year and aggregate to $17,825.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9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The number of shares authorized for issuance under the Company’s 2005 Stock Incentive Plan, as amended and restated (the “2005 Plan”), is 6,092 shares, which will be increased by any future cancellations, forfeitures or terminations (other than by exercise) under the Company’s 1997 Stock Option Plan (the “1997 Plan”). On October 21, 2011, the Company’s shareholders approved a 1,000 share increase in the number of shares authorized for issuance under the 2005 plan to 6,092.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2,646 shares available for future grant under the 2005 Plan at March 31, 2012.</w:t>
      </w:r>
    </w:p>
    <w:p>
      <w:pPr>
        <w:spacing w:after="0" w:line="10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number of shares authorized for issuance under the 1997 Plan was 8,650 shares, of which 100 shares could be issued pursuant to restricted stock grants. The 1997 Plan provided for the grant of non-qualified and incentive stock options and restricted stock to employees and non-employees. All stock options were granted with an exercise price of not less than 100% of the fair value of the Company’s common stock at the date of grant. The options typically vest over periods of zero to four years and have a maximum term of 10 years. Following shareholder approval of the 2005 Plan on November 14, 2005, the Company’s Board of Directors directed that no further grants of stock options or other awards would be made under the 1997 Plan, and the 1997 Plan subsequently expired in June 2007. The foregoing does not affect any outstanding awards under the 1997 Plan, which remain in full force and effect in accordance with their terms.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 PLAN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number of shares authorized for issuance under the Company’s 1997 Employee Stock Purchase Plan, as amended and restated (“ESPP”), is 1,400 shares. On October 21, 2011, the Company’s shareholders approved a 300 share increase in the number of shares authorized for issuance under the ESPP to 1,400. Under the ESPP, rights are granted to purchase shares of common stock at 85% of the lesser of the market value of such shares at either the beginning or the end of each nine-month offering period. The ESPP permits employees to purchase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common stock through payroll deductions, which may not exceed 10% of an employee’s compensation as defined in the ESPP. There were 58 and 54 shares issued under the ESPP during the nine months ended March 31, 2012 and 2011, respectively. Shares available for future purchase under the ESPP totaled 406 at March 31,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of the Company’s stock option plans since June 30, 2010:</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Options Outstanding</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100" w:type="dxa"/>
            <w:vAlign w:val="bottom"/>
          </w:tcPr>
          <w:p>
            <w:pPr>
              <w:spacing w:after="0"/>
              <w:rPr>
                <w:sz w:val="11"/>
                <w:szCs w:val="11"/>
                <w:color w:val="auto"/>
              </w:rPr>
            </w:pPr>
          </w:p>
        </w:tc>
      </w:tr>
      <w:tr>
        <w:trPr>
          <w:trHeight w:val="149"/>
        </w:trPr>
        <w:tc>
          <w:tcPr>
            <w:tcW w:w="4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Remaining</w:t>
            </w:r>
          </w:p>
        </w:tc>
      </w:tr>
      <w:tr>
        <w:trPr>
          <w:trHeight w:val="149"/>
        </w:trPr>
        <w:tc>
          <w:tcPr>
            <w:tcW w:w="470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8"/>
              </w:rPr>
              <w:t>Number of</w:t>
            </w:r>
          </w:p>
        </w:tc>
        <w:tc>
          <w:tcPr>
            <w:tcW w:w="460" w:type="dxa"/>
            <w:vAlign w:val="bottom"/>
          </w:tcPr>
          <w:p>
            <w:pPr>
              <w:spacing w:after="0"/>
              <w:rPr>
                <w:sz w:val="12"/>
                <w:szCs w:val="12"/>
                <w:color w:val="auto"/>
              </w:rPr>
            </w:pPr>
          </w:p>
        </w:tc>
        <w:tc>
          <w:tcPr>
            <w:tcW w:w="2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Weighted Average</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Contractual Term</w:t>
            </w:r>
          </w:p>
        </w:tc>
      </w:tr>
      <w:tr>
        <w:trPr>
          <w:trHeight w:val="161"/>
        </w:trPr>
        <w:tc>
          <w:tcPr>
            <w:tcW w:w="470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(Years)</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2,612</w:t>
            </w: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13.70</w:t>
            </w:r>
          </w:p>
        </w:tc>
        <w:tc>
          <w:tcPr>
            <w:tcW w:w="10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77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13.70</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Cancelled</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16.41</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47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2011</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2,293</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14.35</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Cancelled</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23.50</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47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March 31, 2012</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2,202</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14.46</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w:t>
            </w:r>
          </w:p>
        </w:tc>
        <w:tc>
          <w:tcPr>
            <w:tcW w:w="100" w:type="dxa"/>
            <w:vAlign w:val="bottom"/>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2010:</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920" w:type="dxa"/>
            <w:vAlign w:val="bottom"/>
            <w:gridSpan w:val="6"/>
          </w:tcPr>
          <w:p>
            <w:pPr>
              <w:ind w:left="360"/>
              <w:spacing w:after="0"/>
              <w:rPr>
                <w:sz w:val="20"/>
                <w:szCs w:val="20"/>
                <w:color w:val="auto"/>
              </w:rPr>
            </w:pPr>
            <w:r>
              <w:rPr>
                <w:rFonts w:ascii="Arial" w:cs="Arial" w:eastAsia="Arial" w:hAnsi="Arial"/>
                <w:sz w:val="14"/>
                <w:szCs w:val="14"/>
                <w:b w:val="1"/>
                <w:bCs w:val="1"/>
                <w:color w:val="auto"/>
              </w:rPr>
              <w:t>Non-vested Restricted 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0" w:type="dxa"/>
            <w:vAlign w:val="bottom"/>
            <w:tcBorders>
              <w:top w:val="single" w:sz="8" w:color="auto"/>
            </w:tcBorders>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90"/>
              </w:rPr>
              <w:t>Number</w:t>
            </w:r>
          </w:p>
        </w:tc>
        <w:tc>
          <w:tcPr>
            <w:tcW w:w="1620" w:type="dxa"/>
            <w:vAlign w:val="bottom"/>
            <w:tcBorders>
              <w:top w:val="single" w:sz="8" w:color="auto"/>
            </w:tcBorders>
            <w:gridSpan w:val="3"/>
          </w:tcPr>
          <w:p>
            <w:pPr>
              <w:ind w:left="560"/>
              <w:spacing w:after="0" w:line="129" w:lineRule="exact"/>
              <w:rPr>
                <w:sz w:val="20"/>
                <w:szCs w:val="20"/>
                <w:color w:val="auto"/>
              </w:rPr>
            </w:pPr>
            <w:r>
              <w:rPr>
                <w:rFonts w:ascii="Arial" w:cs="Arial" w:eastAsia="Arial" w:hAnsi="Arial"/>
                <w:sz w:val="14"/>
                <w:szCs w:val="14"/>
                <w:b w:val="1"/>
                <w:bCs w:val="1"/>
                <w:color w:val="auto"/>
                <w:w w:val="85"/>
              </w:rPr>
              <w:t>Weighted 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of</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1"/>
              </w:rPr>
              <w:t>Shares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2010</w:t>
            </w:r>
          </w:p>
        </w:tc>
        <w:tc>
          <w:tcPr>
            <w:tcW w:w="2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w:t>
            </w:r>
          </w:p>
        </w:tc>
        <w:tc>
          <w:tcPr>
            <w:tcW w:w="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Granted</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738</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6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(279)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Forfeited</w:t>
            </w:r>
          </w:p>
        </w:tc>
        <w:tc>
          <w:tcPr>
            <w:tcW w:w="24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2011</w:t>
            </w:r>
          </w:p>
        </w:tc>
        <w:tc>
          <w:tcPr>
            <w:tcW w:w="24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1,187</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Granted</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580</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6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(324)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Forfeited</w:t>
            </w:r>
          </w:p>
        </w:tc>
        <w:tc>
          <w:tcPr>
            <w:tcW w:w="24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(69)</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March 31, 2012</w:t>
            </w:r>
          </w:p>
        </w:tc>
        <w:tc>
          <w:tcPr>
            <w:tcW w:w="248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1,374</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80" w:type="dxa"/>
            <w:vAlign w:val="bottom"/>
            <w:vMerge w:val="restart"/>
          </w:tcPr>
          <w:p>
            <w:pPr>
              <w:jc w:val="right"/>
              <w:ind w:right="1252"/>
              <w:spacing w:after="0"/>
              <w:rPr>
                <w:sz w:val="20"/>
                <w:szCs w:val="20"/>
                <w:color w:val="auto"/>
              </w:rPr>
            </w:pPr>
            <w:r>
              <w:rPr>
                <w:rFonts w:ascii="Arial" w:cs="Arial" w:eastAsia="Arial" w:hAnsi="Arial"/>
                <w:sz w:val="18"/>
                <w:szCs w:val="18"/>
                <w:color w:val="auto"/>
              </w:rPr>
              <w:t>15</w:t>
            </w: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The Company recognized the expense for its share-based payment plans in the consolidated statements of operations for the three and nine months ended March 31, 2012 and 2011 in accordance with FASB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(“FASB ASC 718”), and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The following table presents stock-based compensation expenses included in the Company’s consolidated statement of operations: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tcPr>
          <w:p>
            <w:pPr>
              <w:jc w:val="center"/>
              <w:ind w:right="740"/>
              <w:spacing w:after="0"/>
              <w:rPr>
                <w:sz w:val="20"/>
                <w:szCs w:val="20"/>
                <w:color w:val="auto"/>
              </w:rPr>
            </w:pPr>
            <w:r>
              <w:rPr>
                <w:rFonts w:ascii="Arial" w:cs="Arial" w:eastAsia="Arial" w:hAnsi="Arial"/>
                <w:sz w:val="14"/>
                <w:szCs w:val="14"/>
                <w:b w:val="1"/>
                <w:bCs w:val="1"/>
                <w:color w:val="auto"/>
                <w:w w:val="89"/>
              </w:rPr>
              <w:t>Three Months Ended</w:t>
            </w:r>
          </w:p>
        </w:tc>
        <w:tc>
          <w:tcPr>
            <w:tcW w:w="8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2011</w:t>
            </w: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2012</w:t>
            </w:r>
          </w:p>
        </w:tc>
        <w:tc>
          <w:tcPr>
            <w:tcW w:w="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1,013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1,036</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4,261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3,590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1,342</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1,299</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5,194</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4,222</w:t>
            </w:r>
          </w:p>
        </w:tc>
        <w:tc>
          <w:tcPr>
            <w:tcW w:w="0" w:type="dxa"/>
            <w:vAlign w:val="bottom"/>
          </w:tcPr>
          <w:p>
            <w:pPr>
              <w:spacing w:after="0"/>
              <w:rPr>
                <w:sz w:val="1"/>
                <w:szCs w:val="1"/>
                <w:color w:val="auto"/>
              </w:rPr>
            </w:pPr>
          </w:p>
        </w:tc>
      </w:tr>
      <w:tr>
        <w:trPr>
          <w:trHeight w:val="218"/>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87"/>
              </w:rPr>
              <w:t>(1,846)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(1,485)</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Stock-based compensation expense, net of income taxes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879</w:t>
            </w:r>
          </w:p>
        </w:tc>
        <w:tc>
          <w:tcPr>
            <w:tcW w:w="6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844</w:t>
            </w:r>
          </w:p>
        </w:tc>
        <w:tc>
          <w:tcPr>
            <w:tcW w:w="6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3,348</w:t>
            </w:r>
          </w:p>
        </w:tc>
        <w:tc>
          <w:tcPr>
            <w:tcW w:w="6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2,737</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Operating Segment, Geographic Information and Significant Customers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Operating segments are defined as components of an enterprise evaluated regularly by the Company’s senior management in deciding how to allocate resources and assess performance. The Company is organized in two operating segments. These reportable segments were determined based upon the nature of the products offered to customers, the market characteristics of each operating segment and the Company’s management structure:</w:t>
      </w:r>
    </w:p>
    <w:p>
      <w:pPr>
        <w:spacing w:after="0" w:line="26" w:lineRule="exact"/>
        <w:rPr>
          <w:sz w:val="20"/>
          <w:szCs w:val="20"/>
          <w:color w:val="auto"/>
        </w:rPr>
      </w:pPr>
    </w:p>
    <w:p>
      <w:pPr>
        <w:ind w:left="900" w:hanging="446"/>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Advanced Computing Solutions: this operating segment is focused on specialized, high-performance embedded, real-time digital image and complete signal processing solutions that encompass signal acquisition including microwave front-end, digitalization, computing, storage and communications, targeted to key market segments, including defense, communications and other commercial applications. With the addition of KOR, the ACS segment also designs and develops DRFM units for a variety of modern EW applications, as well as radar environment simulation and test systems for defense applications.</w:t>
      </w:r>
    </w:p>
    <w:p>
      <w:pPr>
        <w:spacing w:after="0" w:line="61"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Mercury Federal Systems: this services-oriented operating segment supports work for the Department of Defense as well as intelligence and homeland security agencies, including the design, development, and implementation of new ISR capabilities to address present and emerging threats to U.S. forces. With the addition of PDI, the MFS segment also provides sophisticated analytic exploitation, multi-sensor fusion, and data processing services for the U.S. intelligence community.</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accounting policies of the reportable segments are the same as those described in “Note B: Summary of Significant Accounting Policies.” Beginning with the three months ended March 31, 2012, the profitability measure employed by the Company and its chief operating decision maker (“CODM”) as the basis for allocating resources to segments and assessing segment performance is adjusted EBITDA, The Company believes the adjusted EBITDA financial measure assists in providing an enhanced understanding of its underlying operational measures to manage its business, to evaluate its performance compared to prior periods and the marketplace, and to establish operational goals. The Company believes that adjusted EBITDA provides a more comprehensive basis for decision making and assessing segment performance than income (loss) from operations prior to stock compensation expense which was used in prior reporting periods. Adjusted EBITDA is defined as earnings from continuing operations before interest income and expense, income taxes, depreciation, amortization of acquired intangible assets, restructuring, impairment of long-lived assets, acquisition costs and other related expenses, fair value adjustments from purchase accounting and stock-based compensation costs. Prior year’s balances have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been presented to reflect the current profitability measures for comparative purposes.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ACS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MFS</w:t>
            </w:r>
          </w:p>
        </w:tc>
        <w:tc>
          <w:tcPr>
            <w:tcW w:w="5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0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60" w:type="dxa"/>
            <w:vAlign w:val="bottom"/>
            <w:shd w:val="clear" w:color="auto" w:fill="CCEEFF"/>
          </w:tcPr>
          <w:p>
            <w:pPr>
              <w:jc w:val="center"/>
              <w:ind w:right="431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56,408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8,837</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1,744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(4,018)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60,426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8,837</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(2,274)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Pr>
          <w:p>
            <w:pPr>
              <w:jc w:val="center"/>
              <w:ind w:right="431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Intersegment revenues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(1,728)</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440"/>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10,964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420</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jc w:val="center"/>
              <w:ind w:right="4352"/>
              <w:spacing w:after="0"/>
              <w:rPr>
                <w:sz w:val="20"/>
                <w:szCs w:val="20"/>
                <w:color w:val="auto"/>
              </w:rPr>
            </w:pPr>
            <w:r>
              <w:rPr>
                <w:rFonts w:ascii="Arial" w:cs="Arial" w:eastAsia="Arial" w:hAnsi="Arial"/>
                <w:sz w:val="18"/>
                <w:szCs w:val="18"/>
                <w:color w:val="auto"/>
                <w:w w:val="99"/>
              </w:rPr>
              <w:t>N</w:t>
            </w:r>
            <w:r>
              <w:rPr>
                <w:rFonts w:ascii="Arial" w:cs="Arial" w:eastAsia="Arial" w:hAnsi="Arial"/>
                <w:sz w:val="14"/>
                <w:szCs w:val="14"/>
                <w:color w:val="auto"/>
                <w:w w:val="99"/>
              </w:rPr>
              <w:t>INE</w:t>
            </w:r>
            <w:r>
              <w:rPr>
                <w:rFonts w:ascii="Arial" w:cs="Arial" w:eastAsia="Arial" w:hAnsi="Arial"/>
                <w:sz w:val="18"/>
                <w:szCs w:val="18"/>
                <w:color w:val="auto"/>
                <w:w w:val="99"/>
              </w:rPr>
              <w:t xml:space="preserve"> M</w:t>
            </w:r>
            <w:r>
              <w:rPr>
                <w:rFonts w:ascii="Arial" w:cs="Arial" w:eastAsia="Arial" w:hAnsi="Arial"/>
                <w:sz w:val="14"/>
                <w:szCs w:val="14"/>
                <w:color w:val="auto"/>
                <w:w w:val="99"/>
              </w:rPr>
              <w:t>ONTHS</w:t>
            </w:r>
            <w:r>
              <w:rPr>
                <w:rFonts w:ascii="Arial" w:cs="Arial" w:eastAsia="Arial" w:hAnsi="Arial"/>
                <w:sz w:val="18"/>
                <w:szCs w:val="18"/>
                <w:color w:val="auto"/>
                <w:w w:val="99"/>
              </w:rPr>
              <w:t xml:space="preserve"> E</w:t>
            </w:r>
            <w:r>
              <w:rPr>
                <w:rFonts w:ascii="Arial" w:cs="Arial" w:eastAsia="Arial" w:hAnsi="Arial"/>
                <w:sz w:val="14"/>
                <w:szCs w:val="14"/>
                <w:color w:val="auto"/>
                <w:w w:val="99"/>
              </w:rPr>
              <w:t>NDED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60" w:type="dxa"/>
            <w:vAlign w:val="bottom"/>
            <w:shd w:val="clear" w:color="auto" w:fill="CCEEFF"/>
          </w:tcPr>
          <w:p>
            <w:pPr>
              <w:jc w:val="center"/>
              <w:ind w:right="431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165,866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18,200</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184,070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(7,947)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173,813</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18,200</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(7,943)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184,070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tcPr>
          <w:p>
            <w:pPr>
              <w:jc w:val="center"/>
              <w:ind w:right="4352"/>
              <w:spacing w:after="0"/>
              <w:rPr>
                <w:sz w:val="20"/>
                <w:szCs w:val="20"/>
                <w:color w:val="auto"/>
              </w:rPr>
            </w:pPr>
            <w:r>
              <w:rPr>
                <w:rFonts w:ascii="Arial" w:cs="Arial" w:eastAsia="Arial" w:hAnsi="Arial"/>
                <w:sz w:val="18"/>
                <w:szCs w:val="18"/>
                <w:color w:val="auto"/>
                <w:w w:val="99"/>
              </w:rPr>
              <w:t>N</w:t>
            </w:r>
            <w:r>
              <w:rPr>
                <w:rFonts w:ascii="Arial" w:cs="Arial" w:eastAsia="Arial" w:hAnsi="Arial"/>
                <w:sz w:val="14"/>
                <w:szCs w:val="14"/>
                <w:color w:val="auto"/>
                <w:w w:val="99"/>
              </w:rPr>
              <w:t>INE</w:t>
            </w:r>
            <w:r>
              <w:rPr>
                <w:rFonts w:ascii="Arial" w:cs="Arial" w:eastAsia="Arial" w:hAnsi="Arial"/>
                <w:sz w:val="18"/>
                <w:szCs w:val="18"/>
                <w:color w:val="auto"/>
                <w:w w:val="99"/>
              </w:rPr>
              <w:t xml:space="preserve"> M</w:t>
            </w:r>
            <w:r>
              <w:rPr>
                <w:rFonts w:ascii="Arial" w:cs="Arial" w:eastAsia="Arial" w:hAnsi="Arial"/>
                <w:sz w:val="14"/>
                <w:szCs w:val="14"/>
                <w:color w:val="auto"/>
                <w:w w:val="99"/>
              </w:rPr>
              <w:t>ONTHS</w:t>
            </w:r>
            <w:r>
              <w:rPr>
                <w:rFonts w:ascii="Arial" w:cs="Arial" w:eastAsia="Arial" w:hAnsi="Arial"/>
                <w:sz w:val="18"/>
                <w:szCs w:val="18"/>
                <w:color w:val="auto"/>
                <w:w w:val="99"/>
              </w:rPr>
              <w:t xml:space="preserve"> E</w:t>
            </w:r>
            <w:r>
              <w:rPr>
                <w:rFonts w:ascii="Arial" w:cs="Arial" w:eastAsia="Arial" w:hAnsi="Arial"/>
                <w:sz w:val="14"/>
                <w:szCs w:val="14"/>
                <w:color w:val="auto"/>
                <w:w w:val="99"/>
              </w:rPr>
              <w:t>NDED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Pr>
          <w:p>
            <w:pPr>
              <w:jc w:val="center"/>
              <w:ind w:right="431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158,732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8,872</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Intersegment revenues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4,499</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(4,499)</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163,231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8,872</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440"/>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31,250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the Company’s income from continuing operations, the most directly comparable GAAP financial measures, to its adjusted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8"/>
              </w:rPr>
              <w:t>Three Months Ended</w:t>
            </w:r>
          </w:p>
        </w:tc>
        <w:tc>
          <w:tcPr>
            <w:tcW w:w="600" w:type="dxa"/>
            <w:vAlign w:val="bottom"/>
          </w:tcPr>
          <w:p>
            <w:pPr>
              <w:spacing w:after="0"/>
              <w:rPr>
                <w:sz w:val="14"/>
                <w:szCs w:val="14"/>
                <w:color w:val="auto"/>
              </w:rPr>
            </w:pPr>
          </w:p>
        </w:tc>
        <w:tc>
          <w:tcPr>
            <w:tcW w:w="1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6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$16,943</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8,522</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1,970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5,730</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763</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Fair value adjustments from purchase accounting</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7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Stock-based compensation cost</w:t>
            </w:r>
          </w:p>
        </w:tc>
        <w:tc>
          <w:tcPr>
            <w:tcW w:w="19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6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5,194</w:t>
            </w:r>
          </w:p>
        </w:tc>
        <w:tc>
          <w:tcPr>
            <w:tcW w:w="5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11,259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39,572</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900" w:type="dxa"/>
            <w:vAlign w:val="bottom"/>
            <w:vMerge w:val="restart"/>
          </w:tcPr>
          <w:p>
            <w:pPr>
              <w:jc w:val="right"/>
              <w:ind w:right="1012"/>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distribution of the Company’s revenues from continuing operations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U.S.</w:t>
            </w:r>
          </w:p>
        </w:tc>
        <w:tc>
          <w:tcPr>
            <w:tcW w:w="500" w:type="dxa"/>
            <w:vAlign w:val="bottom"/>
          </w:tcPr>
          <w:p>
            <w:pPr>
              <w:spacing w:after="0"/>
              <w:rPr>
                <w:sz w:val="14"/>
                <w:szCs w:val="14"/>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1"/>
              </w:rPr>
              <w:t>Europe</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3"/>
              </w:rPr>
              <w:t>Asia Pacific</w:t>
            </w:r>
          </w:p>
        </w:tc>
        <w:tc>
          <w:tcPr>
            <w:tcW w:w="5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9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jc w:val="center"/>
              <w:ind w:right="423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62,751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2,906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1,332</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(1,848)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64,378</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3,071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1,388</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(1,848)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jc w:val="center"/>
              <w:ind w:right="423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58,441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381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1,033</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573</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(1,598)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59,346</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954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1,153</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(1,598)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59,855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shd w:val="clear" w:color="auto" w:fill="CCEEFF"/>
          </w:tcPr>
          <w:p>
            <w:pPr>
              <w:jc w:val="center"/>
              <w:ind w:right="4272"/>
              <w:spacing w:after="0" w:line="203" w:lineRule="exact"/>
              <w:rPr>
                <w:sz w:val="20"/>
                <w:szCs w:val="20"/>
                <w:color w:val="auto"/>
              </w:rPr>
            </w:pPr>
            <w:r>
              <w:rPr>
                <w:rFonts w:ascii="Arial" w:cs="Arial" w:eastAsia="Arial" w:hAnsi="Arial"/>
                <w:sz w:val="18"/>
                <w:szCs w:val="18"/>
                <w:color w:val="auto"/>
                <w:w w:val="99"/>
              </w:rPr>
              <w:t>N</w:t>
            </w:r>
            <w:r>
              <w:rPr>
                <w:rFonts w:ascii="Arial" w:cs="Arial" w:eastAsia="Arial" w:hAnsi="Arial"/>
                <w:sz w:val="14"/>
                <w:szCs w:val="14"/>
                <w:color w:val="auto"/>
                <w:w w:val="99"/>
              </w:rPr>
              <w:t>INE</w:t>
            </w:r>
            <w:r>
              <w:rPr>
                <w:rFonts w:ascii="Arial" w:cs="Arial" w:eastAsia="Arial" w:hAnsi="Arial"/>
                <w:sz w:val="18"/>
                <w:szCs w:val="18"/>
                <w:color w:val="auto"/>
                <w:w w:val="99"/>
              </w:rPr>
              <w:t xml:space="preserve"> M</w:t>
            </w:r>
            <w:r>
              <w:rPr>
                <w:rFonts w:ascii="Arial" w:cs="Arial" w:eastAsia="Arial" w:hAnsi="Arial"/>
                <w:sz w:val="14"/>
                <w:szCs w:val="14"/>
                <w:color w:val="auto"/>
                <w:w w:val="99"/>
              </w:rPr>
              <w:t>ONTHS</w:t>
            </w:r>
            <w:r>
              <w:rPr>
                <w:rFonts w:ascii="Arial" w:cs="Arial" w:eastAsia="Arial" w:hAnsi="Arial"/>
                <w:sz w:val="18"/>
                <w:szCs w:val="18"/>
                <w:color w:val="auto"/>
                <w:w w:val="99"/>
              </w:rPr>
              <w:t xml:space="preserve"> E</w:t>
            </w:r>
            <w:r>
              <w:rPr>
                <w:rFonts w:ascii="Arial" w:cs="Arial" w:eastAsia="Arial" w:hAnsi="Arial"/>
                <w:sz w:val="14"/>
                <w:szCs w:val="14"/>
                <w:color w:val="auto"/>
                <w:w w:val="99"/>
              </w:rPr>
              <w:t>NDED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jc w:val="center"/>
              <w:ind w:right="423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176,086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4,046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3,938</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184,070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(5,258)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180,657</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4,646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4,025</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(5,258)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184,070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shd w:val="clear" w:color="auto" w:fill="CCEEFF"/>
          </w:tcPr>
          <w:p>
            <w:pPr>
              <w:jc w:val="center"/>
              <w:ind w:right="4272"/>
              <w:spacing w:after="0" w:line="203" w:lineRule="exact"/>
              <w:rPr>
                <w:sz w:val="20"/>
                <w:szCs w:val="20"/>
                <w:color w:val="auto"/>
              </w:rPr>
            </w:pPr>
            <w:r>
              <w:rPr>
                <w:rFonts w:ascii="Arial" w:cs="Arial" w:eastAsia="Arial" w:hAnsi="Arial"/>
                <w:sz w:val="18"/>
                <w:szCs w:val="18"/>
                <w:color w:val="auto"/>
                <w:w w:val="99"/>
              </w:rPr>
              <w:t>N</w:t>
            </w:r>
            <w:r>
              <w:rPr>
                <w:rFonts w:ascii="Arial" w:cs="Arial" w:eastAsia="Arial" w:hAnsi="Arial"/>
                <w:sz w:val="14"/>
                <w:szCs w:val="14"/>
                <w:color w:val="auto"/>
                <w:w w:val="99"/>
              </w:rPr>
              <w:t>INE</w:t>
            </w:r>
            <w:r>
              <w:rPr>
                <w:rFonts w:ascii="Arial" w:cs="Arial" w:eastAsia="Arial" w:hAnsi="Arial"/>
                <w:sz w:val="18"/>
                <w:szCs w:val="18"/>
                <w:color w:val="auto"/>
                <w:w w:val="99"/>
              </w:rPr>
              <w:t xml:space="preserve"> M</w:t>
            </w:r>
            <w:r>
              <w:rPr>
                <w:rFonts w:ascii="Arial" w:cs="Arial" w:eastAsia="Arial" w:hAnsi="Arial"/>
                <w:sz w:val="14"/>
                <w:szCs w:val="14"/>
                <w:color w:val="auto"/>
                <w:w w:val="99"/>
              </w:rPr>
              <w:t>ONTHS</w:t>
            </w:r>
            <w:r>
              <w:rPr>
                <w:rFonts w:ascii="Arial" w:cs="Arial" w:eastAsia="Arial" w:hAnsi="Arial"/>
                <w:sz w:val="18"/>
                <w:szCs w:val="18"/>
                <w:color w:val="auto"/>
                <w:w w:val="99"/>
              </w:rPr>
              <w:t xml:space="preserve"> E</w:t>
            </w:r>
            <w:r>
              <w:rPr>
                <w:rFonts w:ascii="Arial" w:cs="Arial" w:eastAsia="Arial" w:hAnsi="Arial"/>
                <w:sz w:val="14"/>
                <w:szCs w:val="14"/>
                <w:color w:val="auto"/>
                <w:w w:val="99"/>
              </w:rPr>
              <w:t>NDED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jc w:val="center"/>
              <w:ind w:right="423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159,746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2,743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4,987</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1,735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(6,756)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164,527</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4,478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5,227</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(6,756)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revenue is based on the country in which the Company’s legal subsidiary is domiciled.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distribution of the Company’s long-lived assets from continuing operations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U.S.</w:t>
            </w:r>
          </w:p>
        </w:tc>
        <w:tc>
          <w:tcPr>
            <w:tcW w:w="5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Europe</w:t>
            </w:r>
          </w:p>
        </w:tc>
        <w:tc>
          <w:tcPr>
            <w:tcW w:w="3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Asia Pacific</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March 31, 2012</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$15,320</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$15,351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June 30, 2011</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$15,390</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5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704</w:t>
            </w:r>
          </w:p>
        </w:tc>
        <w:tc>
          <w:tcPr>
            <w:tcW w:w="58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left="492"/>
              <w:spacing w:after="0"/>
              <w:rPr>
                <w:sz w:val="20"/>
                <w:szCs w:val="20"/>
                <w:color w:val="auto"/>
              </w:rPr>
            </w:pPr>
            <w:r>
              <w:rPr>
                <w:rFonts w:ascii="Arial" w:cs="Arial" w:eastAsia="Arial" w:hAnsi="Arial"/>
                <w:sz w:val="18"/>
                <w:szCs w:val="18"/>
                <w:color w:val="auto"/>
                <w:w w:val="89"/>
              </w:rPr>
              <w:t>$16,118</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Identifiable long-lived assets exclude goodwill and intangible assets.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66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9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3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3"/>
          </w:tcPr>
          <w:p>
            <w:pPr>
              <w:jc w:val="right"/>
              <w:ind w:right="1460"/>
              <w:spacing w:after="0"/>
              <w:rPr>
                <w:sz w:val="20"/>
                <w:szCs w:val="20"/>
                <w:color w:val="auto"/>
              </w:rPr>
            </w:pPr>
            <w:r>
              <w:rPr>
                <w:rFonts w:ascii="Arial" w:cs="Arial" w:eastAsia="Arial" w:hAnsi="Arial"/>
                <w:sz w:val="14"/>
                <w:szCs w:val="14"/>
                <w:b w:val="1"/>
                <w:bCs w:val="1"/>
                <w:color w:val="auto"/>
                <w:w w:val="89"/>
              </w:rPr>
              <w:t>March 31,</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374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84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Raytheon Company</w:t>
            </w:r>
          </w:p>
        </w:tc>
        <w:tc>
          <w:tcPr>
            <w:tcW w:w="2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7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Northrop Grumman Corporation</w:t>
            </w:r>
          </w:p>
        </w:tc>
        <w:tc>
          <w:tcPr>
            <w:tcW w:w="274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2060" w:type="dxa"/>
            <w:vAlign w:val="bottom"/>
            <w:gridSpan w:val="3"/>
          </w:tcPr>
          <w:p>
            <w:pPr>
              <w:jc w:val="right"/>
              <w:ind w:right="680"/>
              <w:spacing w:after="0"/>
              <w:rPr>
                <w:sz w:val="20"/>
                <w:szCs w:val="20"/>
                <w:color w:val="auto"/>
              </w:rPr>
            </w:pPr>
            <w:r>
              <w:rPr>
                <w:rFonts w:ascii="Arial" w:cs="Arial" w:eastAsia="Arial" w:hAnsi="Arial"/>
                <w:sz w:val="18"/>
                <w:szCs w:val="18"/>
                <w:color w:val="auto"/>
              </w:rPr>
              <w:t>22%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Lockheed Martin Corporation</w:t>
            </w:r>
          </w:p>
        </w:tc>
        <w:tc>
          <w:tcPr>
            <w:tcW w:w="2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20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KLA-Tencor Corporation</w:t>
            </w:r>
          </w:p>
        </w:tc>
        <w:tc>
          <w:tcPr>
            <w:tcW w:w="2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13%</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20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49%</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140" w:type="dxa"/>
            <w:vAlign w:val="bottom"/>
            <w:vMerge w:val="restart"/>
          </w:tcPr>
          <w:p>
            <w:pPr>
              <w:jc w:val="right"/>
              <w:ind w:right="452"/>
              <w:spacing w:after="0"/>
              <w:rPr>
                <w:sz w:val="20"/>
                <w:szCs w:val="20"/>
                <w:color w:val="auto"/>
              </w:rPr>
            </w:pPr>
            <w:r>
              <w:rPr>
                <w:rFonts w:ascii="Arial" w:cs="Arial" w:eastAsia="Arial" w:hAnsi="Arial"/>
                <w:sz w:val="18"/>
                <w:szCs w:val="18"/>
                <w:color w:val="auto"/>
              </w:rPr>
              <w:t>18</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Although the Company typically has several customers from which it derives 10% or more of its revenue, the sales to each of these customers are spread across multiple programs and platforms. Programs comprising 10% or more of the Company’s revenue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760" w:type="dxa"/>
            <w:vAlign w:val="bottom"/>
            <w:gridSpan w:val="4"/>
          </w:tcPr>
          <w:p>
            <w:pPr>
              <w:jc w:val="center"/>
              <w:ind w:left="19"/>
              <w:spacing w:after="0"/>
              <w:rPr>
                <w:sz w:val="20"/>
                <w:szCs w:val="20"/>
                <w:color w:val="auto"/>
              </w:rPr>
            </w:pPr>
            <w:r>
              <w:rPr>
                <w:rFonts w:ascii="Arial" w:cs="Arial" w:eastAsia="Arial" w:hAnsi="Arial"/>
                <w:sz w:val="14"/>
                <w:szCs w:val="14"/>
                <w:b w:val="1"/>
                <w:bCs w:val="1"/>
                <w:color w:val="auto"/>
                <w:w w:val="88"/>
              </w:rPr>
              <w:t>Three Months Ended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32"/>
              <w:spacing w:after="0"/>
              <w:rPr>
                <w:sz w:val="20"/>
                <w:szCs w:val="20"/>
                <w:color w:val="auto"/>
              </w:rPr>
            </w:pPr>
            <w:r>
              <w:rPr>
                <w:rFonts w:ascii="Arial" w:cs="Arial" w:eastAsia="Arial" w:hAnsi="Arial"/>
                <w:sz w:val="14"/>
                <w:szCs w:val="14"/>
                <w:b w:val="1"/>
                <w:bCs w:val="1"/>
                <w:color w:val="auto"/>
                <w:w w:val="89"/>
              </w:rPr>
              <w:t>March 31,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460" w:type="dxa"/>
            <w:vAlign w:val="bottom"/>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Patriot Missile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Aegis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Joint Strike Fighter</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the amount is less than 10% of the Company’s revenues for the respective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Income Taxes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recorded tax expense of $2,380 and $2,007 for the three months ended March 31, 2012 and 2011, respectively, on income from continuing operations before taxes of $7,625 and $7,385 for the three months ended March 31, 2012 and 2011, respectively. The Company recorded tax expense of $8,522 and $5,780 for the nine months ended March 31, 2012 and 2011, respectively, on income from continuing operations before taxes of $25,465 and $20,023 for the nine months ended March 31, 2012 and 2011, respectively. The tax rate for the nine months ended March 31, 2012 and 2011 was 33% and 29%, respectively. The difference in the rates is primarily due to a full-year benefit of federal research and development tax credit in fiscal 2011 compared to only a six-month benefit in fiscal 2012. The effective tax rate for nine months ended March 31, 2012 and 2011 differed from the federal statutory rate primarily due to the impact of research and development tax credits and the impact of a Section 199 Manufacturing Deduction.</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 material changes in the Company’s unrecognized tax positions occurred during the three and nine months ended March 31, 2012. The Company does not expect there to be any material changes in its reserves for unrecognized tax benefits within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Subsequent Events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16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The words “may,” “will,” “would,” “should,” “could,” “plan,” “expect,” “believe,” “anticipate,” “continue,” “estimate,” “project,” “intend,” “likely,” “probable,” and similar expressions are intended to identify forward-looking statements regarding events, conditions and financials trends that may affect our future plans of operations, business strategy, results of operations and financial position. These forward-looking statements, which include those related to our strategic plans, business outlook, and future business and financial performance, involve risks and uncertainties that could cause actual results to differ materially from those projected or anticipated. Such risks and uncertainties include, but are not limited to, continued funding of defense programs and the timing of such funding, general economic and business conditions, including unforeseen economic weakness in our markets, effects of continued geo-political unrest and regional conflicts, competition, changes in technology and methods of marketing, delays in completing various engineering and manufacturing programs, changes in customer order patterns, changes in product mix, continued success in technological advances and delivering technological innovations, changes in the U.S. Government’s interpretation of federal procurement rules and regulations, market acceptance of our products, shortages in components, production delays due to performance quality issues with outsourced components, inability to fully realize the expected benefits from acquisitions or divestitures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2011.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design, manufacture and market commercially-developed, high-performance embedded, real-time digital signal and complete image processing sub-systems and software for specialized defense and commercial computing markets. Our solutions play a critical role in a wide range of applications, transforming sensor data to information for analysis and interpretation. In military reconnaissance and surveillance platforms, our sub-systems process real-time radar, video, sonar and signals intelligence, or SIGINT, data. We provide microwave products and design services for Electronic Warfare (“EW”) systems and enhanced communications capabilities in military and commercial applications. Additionally, Mercury Federal Systems, our wholly owned subsidiary, focuses on the defense contracting market with contracts which support the defense, intelligence, and homeland security markets.</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products and solutions address mission-critical requirements within the defense industry for C4ISR (command, control, communications, computers, intelligence, surveillance and reconnaissance) and EW, systems and services, and target several markets including maritime defense, airborne reconnaissance, ballistic missile defense, ground mobile and force protection systems and tactical communications and network systems. Our products or solutions have been deployed in over 300 different programs with over 25 different prime defense contractors.</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March 31, 2012, we had 738 employees and, for the three and nine months ended March 31, 2012, we had revenues of $67.0 million and $184.1 million and income from continuing operations of $5.2 million and $16.9 million, respectively.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i w:val="1"/>
          <w:iCs w:val="1"/>
          <w:color w:val="auto"/>
        </w:rPr>
        <w:t xml:space="preserve">Advanced Computing Solutions, or ACS. </w:t>
      </w:r>
      <w:r>
        <w:rPr>
          <w:rFonts w:ascii="Arial" w:cs="Arial" w:eastAsia="Arial" w:hAnsi="Arial"/>
          <w:sz w:val="16"/>
          <w:szCs w:val="16"/>
          <w:color w:val="auto"/>
        </w:rPr>
        <w:t>This business segment is focused on specialized, high-performance embedded, real-time digital signal and</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 image processing solutions that encompass signal acquisition including microwave front-end, digitalization, computing, storage and communications, targeted to key market segments, including defense, communications and other commercial application. ACS’s open system architecture solutions span the full range of embedded technologies from board level products to fully integrated sub-systems. Our products utilize leading-edge processor technologies architected to address highly data-intensive applications that include signal, sensor and image processing within environmentally constrained military and commercial applications. In addition, ACS has a portfolio of microwave sub-assemblies to address needs in EW, SIGINT, electronic intelligence, or ELINT, and high bandwidth communications subsystems.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products are highly optimized for size, weight and power, as well as for the performance and ruggedization requirements of our customers.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Customized design and sub-systems integration services extend our capabilities to tailor solutions to meet the specialized requirements of our customers.</w:t>
      </w:r>
    </w:p>
    <w:p>
      <w:pPr>
        <w:spacing w:after="0" w:line="188"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With the addition of KOR Electronics (“KOR”), we added a focus on the exploitation of the RF signals domain. Leveraging our analog-to-digital and digital-to-analog technologies and expertise, KOR delivers innovative high end solutions and services to the defense communities:</w:t>
      </w:r>
    </w:p>
    <w:p>
      <w:pPr>
        <w:spacing w:after="0" w:line="4"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DRFM products which offer state of the art performance at low cost, exploiting the RF domain in a multitude of applications; and</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radar and EW environment simulator products that are DRFM based and use modular and scalable building blocks including commercial-off-the-shelf hardware.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nine months ended March 31, 2012, ACS accounted for 90% of our total net revenues.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Mercury Federal Systems, or MFS. </w:t>
      </w:r>
      <w:r>
        <w:rPr>
          <w:rFonts w:ascii="Arial" w:cs="Arial" w:eastAsia="Arial" w:hAnsi="Arial"/>
          <w:sz w:val="16"/>
          <w:szCs w:val="16"/>
          <w:color w:val="auto"/>
        </w:rPr>
        <w:t>This business segment is focused on services and support work with the Department of Defense, or the DoD, and</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intelligence and homeland security agencies, including designing, engineering, and deploying new intelligence, surveillance and reconnaissance, or ISR, capabilities to address present and emerging threats to U.S. forces. With the addition of Paragon Dynamics, Inc. (“PDI”), our MFS segment also provides sophisticated analytic exploitation, multi-sensor fusion, and data processing services for the U.S. intelligence community. MFS is part of our long-term strategy to expand our software and services presence and pursue growth in platform-ready ISR sub-systems, particularly those with classified intellectual property. MFS offers a wide range of engineering architecture and design services that enable clients to deploy leading edge computing capabilities for ISR systems on an accelerated time cycle. This business segment enables us to combine classified intellectual property with the commercially developed application-ready sub-systems being developed by ACS, providing customers with platform-ready, affordable ISR sub-systems. For the nine months ended March 31, 2012, MFS accounted for 10% of our total net revenues.</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Since we are an OEM supplier to our commercial markets and conduct business with our defense customers via commercial items,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 even within our business segments. As an industry, we are dealing with long-term uncertainties in the defense budget.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KOR and PDI A</w:t>
      </w:r>
      <w:r>
        <w:rPr>
          <w:rFonts w:ascii="Arial" w:cs="Arial" w:eastAsia="Arial" w:hAnsi="Arial"/>
          <w:sz w:val="14"/>
          <w:szCs w:val="14"/>
          <w:color w:val="auto"/>
        </w:rPr>
        <w:t>CQUISITION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December 30, 2011, we acquired both KOR and its wholly-owned subsidiary, PDI. Based in Cypress, California, KOR designs and develops DRFM units for a variety of modern EW applications, as well as radar environment simulation and test systems for defense applications. Based in Aurora, Colorado, PDI provides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sophisticated analytic exploitation services and customized multi-intelligence data fusion solutions for the U.S. intelligence community. For segment reporting, KOR is included in the ACS operating segment and PDI is included in the MFS operating segment.</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amounts of revenue and operating income of KOR included in our consolidated statements of operations for both the three and nine months ended March 31, 2012 was $10.5 million and $1.5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r>
        <w:rPr>
          <w:rFonts w:ascii="Arial" w:cs="Arial" w:eastAsia="Arial" w:hAnsi="Arial"/>
          <w:sz w:val="18"/>
          <w:szCs w:val="18"/>
          <w:b w:val="1"/>
          <w:bCs w:val="1"/>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2012 compared to the three months ended March 31,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three month periods indicated, financial data from the consolidated statements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a %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As a % of</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1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March 31,</w:t>
            </w:r>
          </w:p>
        </w:tc>
        <w:tc>
          <w:tcPr>
            <w:tcW w:w="56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Total Net</w:t>
            </w:r>
          </w:p>
        </w:tc>
        <w:tc>
          <w:tcPr>
            <w:tcW w:w="240" w:type="dxa"/>
            <w:vAlign w:val="bottom"/>
          </w:tcPr>
          <w:p>
            <w:pPr>
              <w:spacing w:after="0"/>
              <w:rPr>
                <w:sz w:val="12"/>
                <w:szCs w:val="12"/>
                <w:color w:val="auto"/>
              </w:rPr>
            </w:pP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March 31,</w:t>
            </w:r>
          </w:p>
        </w:tc>
        <w:tc>
          <w:tcPr>
            <w:tcW w:w="5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Total Net</w:t>
            </w:r>
          </w:p>
        </w:tc>
        <w:tc>
          <w:tcPr>
            <w:tcW w:w="0" w:type="dxa"/>
            <w:vAlign w:val="bottom"/>
          </w:tcPr>
          <w:p>
            <w:pPr>
              <w:spacing w:after="0"/>
              <w:rPr>
                <w:sz w:val="1"/>
                <w:szCs w:val="1"/>
                <w:color w:val="auto"/>
              </w:rPr>
            </w:pPr>
          </w:p>
        </w:tc>
      </w:tr>
      <w:tr>
        <w:trPr>
          <w:trHeight w:val="153"/>
        </w:trPr>
        <w:tc>
          <w:tcPr>
            <w:tcW w:w="460" w:type="dxa"/>
            <w:vAlign w:val="bottom"/>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5180" w:type="dxa"/>
            <w:vAlign w:val="bottom"/>
            <w:vMerge w:val="continue"/>
          </w:tcPr>
          <w:p>
            <w:pPr>
              <w:spacing w:after="0"/>
              <w:rPr>
                <w:sz w:val="12"/>
                <w:szCs w:val="12"/>
                <w:color w:val="auto"/>
              </w:rPr>
            </w:pPr>
          </w:p>
        </w:tc>
        <w:tc>
          <w:tcPr>
            <w:tcW w:w="5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5"/>
              </w:rPr>
              <w:t>Revenue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6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00" w:type="dxa"/>
            <w:vAlign w:val="bottom"/>
            <w:tcBorders>
              <w:left w:val="single" w:sz="8" w:color="CCEEFF"/>
            </w:tcBorders>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20" w:type="dxa"/>
            <w:vAlign w:val="bottom"/>
            <w:tcBorders>
              <w:lef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6060" w:type="dxa"/>
            <w:vAlign w:val="bottom"/>
            <w:tcBorders>
              <w:right w:val="single" w:sz="8" w:color="CCEEFF"/>
            </w:tcBorders>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$ 66,989</w:t>
            </w:r>
          </w:p>
        </w:tc>
        <w:tc>
          <w:tcPr>
            <w:tcW w:w="560" w:type="dxa"/>
            <w:vAlign w:val="bottom"/>
            <w:vMerge w:val="continue"/>
            <w:shd w:val="clear" w:color="auto" w:fill="CCEEFF"/>
          </w:tcPr>
          <w:p>
            <w:pPr>
              <w:spacing w:after="0"/>
              <w:rPr>
                <w:sz w:val="17"/>
                <w:szCs w:val="17"/>
                <w:color w:val="auto"/>
              </w:rPr>
            </w:pPr>
          </w:p>
        </w:tc>
        <w:tc>
          <w:tcPr>
            <w:tcW w:w="1020" w:type="dxa"/>
            <w:vAlign w:val="bottom"/>
            <w:tcBorders>
              <w:left w:val="single" w:sz="8" w:color="CCEEFF"/>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100.0%</w:t>
            </w:r>
          </w:p>
        </w:tc>
        <w:tc>
          <w:tcPr>
            <w:tcW w:w="240" w:type="dxa"/>
            <w:vAlign w:val="bottom"/>
            <w:vMerge w:val="continue"/>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59,855</w:t>
            </w:r>
          </w:p>
        </w:tc>
        <w:tc>
          <w:tcPr>
            <w:tcW w:w="500" w:type="dxa"/>
            <w:vAlign w:val="bottom"/>
            <w:vMerge w:val="continue"/>
            <w:shd w:val="clear" w:color="auto" w:fill="CCEEFF"/>
          </w:tcPr>
          <w:p>
            <w:pPr>
              <w:spacing w:after="0"/>
              <w:rPr>
                <w:sz w:val="17"/>
                <w:szCs w:val="17"/>
                <w:color w:val="auto"/>
              </w:rPr>
            </w:pPr>
          </w:p>
        </w:tc>
        <w:tc>
          <w:tcPr>
            <w:tcW w:w="820" w:type="dxa"/>
            <w:vAlign w:val="bottom"/>
            <w:tcBorders>
              <w:left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31,926</w:t>
            </w:r>
          </w:p>
        </w:tc>
        <w:tc>
          <w:tcPr>
            <w:tcW w:w="5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26,973</w:t>
            </w:r>
          </w:p>
        </w:tc>
        <w:tc>
          <w:tcPr>
            <w:tcW w:w="5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Gross margin</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35,063</w:t>
            </w:r>
          </w:p>
        </w:tc>
        <w:tc>
          <w:tcPr>
            <w:tcW w:w="1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52.3</w:t>
            </w:r>
          </w:p>
        </w:tc>
        <w:tc>
          <w:tcPr>
            <w:tcW w:w="2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32,882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15,217</w:t>
            </w:r>
          </w:p>
        </w:tc>
        <w:tc>
          <w:tcPr>
            <w:tcW w:w="1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14,437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11,452</w:t>
            </w:r>
          </w:p>
        </w:tc>
        <w:tc>
          <w:tcPr>
            <w:tcW w:w="1580" w:type="dxa"/>
            <w:vAlign w:val="bottom"/>
            <w:gridSpan w:val="3"/>
          </w:tcPr>
          <w:p>
            <w:pPr>
              <w:jc w:val="right"/>
              <w:ind w:right="380"/>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10,683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060" w:type="dxa"/>
            <w:vAlign w:val="bottom"/>
            <w:gridSpan w:val="2"/>
          </w:tcPr>
          <w:p>
            <w:pPr>
              <w:ind w:left="440"/>
              <w:spacing w:after="0"/>
              <w:rPr>
                <w:sz w:val="20"/>
                <w:szCs w:val="20"/>
                <w:color w:val="auto"/>
              </w:rPr>
            </w:pPr>
            <w:r>
              <w:rPr>
                <w:rFonts w:ascii="Arial" w:cs="Arial" w:eastAsia="Arial" w:hAnsi="Arial"/>
                <w:sz w:val="18"/>
                <w:szCs w:val="18"/>
                <w:color w:val="auto"/>
              </w:rPr>
              <w:t>Acquisition costs and other related expenses</w:t>
            </w:r>
          </w:p>
        </w:tc>
        <w:tc>
          <w:tcPr>
            <w:tcW w:w="8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145</w:t>
            </w:r>
          </w:p>
        </w:tc>
        <w:tc>
          <w:tcPr>
            <w:tcW w:w="5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tcBorders>
              <w:right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27,957</w:t>
            </w:r>
          </w:p>
        </w:tc>
        <w:tc>
          <w:tcPr>
            <w:tcW w:w="560" w:type="dxa"/>
            <w:vAlign w:val="bottom"/>
            <w:shd w:val="clear" w:color="auto" w:fill="CCEEFF"/>
          </w:tcPr>
          <w:p>
            <w:pPr>
              <w:spacing w:after="0"/>
              <w:rPr>
                <w:sz w:val="18"/>
                <w:szCs w:val="18"/>
                <w:color w:val="auto"/>
              </w:rPr>
            </w:pPr>
          </w:p>
        </w:tc>
        <w:tc>
          <w:tcPr>
            <w:tcW w:w="60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4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left w:val="single" w:sz="8" w:color="CCEEFF"/>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25,883</w:t>
            </w:r>
          </w:p>
        </w:tc>
        <w:tc>
          <w:tcPr>
            <w:tcW w:w="500" w:type="dxa"/>
            <w:vAlign w:val="bottom"/>
            <w:shd w:val="clear" w:color="auto" w:fill="CCEEFF"/>
          </w:tcPr>
          <w:p>
            <w:pPr>
              <w:spacing w:after="0"/>
              <w:rPr>
                <w:sz w:val="18"/>
                <w:szCs w:val="18"/>
                <w:color w:val="auto"/>
              </w:rPr>
            </w:pPr>
          </w:p>
        </w:tc>
        <w:tc>
          <w:tcPr>
            <w:tcW w:w="62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20" w:type="dxa"/>
            <w:vAlign w:val="bottom"/>
            <w:gridSpan w:val="3"/>
          </w:tcPr>
          <w:p>
            <w:pPr>
              <w:ind w:left="460"/>
              <w:spacing w:after="0"/>
              <w:rPr>
                <w:sz w:val="20"/>
                <w:szCs w:val="20"/>
                <w:color w:val="auto"/>
              </w:rPr>
            </w:pPr>
            <w:r>
              <w:rPr>
                <w:rFonts w:ascii="Arial" w:cs="Arial" w:eastAsia="Arial" w:hAnsi="Arial"/>
                <w:sz w:val="18"/>
                <w:szCs w:val="18"/>
                <w:color w:val="auto"/>
              </w:rPr>
              <w:t>Income from operations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7,106</w:t>
            </w:r>
          </w:p>
        </w:tc>
        <w:tc>
          <w:tcPr>
            <w:tcW w:w="1580" w:type="dxa"/>
            <w:vAlign w:val="bottom"/>
            <w:gridSpan w:val="3"/>
          </w:tcPr>
          <w:p>
            <w:pPr>
              <w:jc w:val="right"/>
              <w:ind w:right="38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6,999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0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560" w:type="dxa"/>
            <w:vAlign w:val="bottom"/>
            <w:shd w:val="clear" w:color="auto" w:fill="CCEEFF"/>
          </w:tcPr>
          <w:p>
            <w:pPr>
              <w:spacing w:after="0"/>
              <w:rPr>
                <w:sz w:val="18"/>
                <w:szCs w:val="18"/>
                <w:color w:val="auto"/>
              </w:rPr>
            </w:pPr>
          </w:p>
        </w:tc>
        <w:tc>
          <w:tcPr>
            <w:tcW w:w="60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left w:val="single" w:sz="8" w:color="CCEEFF"/>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500" w:type="dxa"/>
            <w:vAlign w:val="bottom"/>
            <w:shd w:val="clear" w:color="auto" w:fill="CCEEFF"/>
          </w:tcPr>
          <w:p>
            <w:pPr>
              <w:spacing w:after="0"/>
              <w:rPr>
                <w:sz w:val="18"/>
                <w:szCs w:val="18"/>
                <w:color w:val="auto"/>
              </w:rPr>
            </w:pPr>
          </w:p>
        </w:tc>
        <w:tc>
          <w:tcPr>
            <w:tcW w:w="62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20" w:type="dxa"/>
            <w:vAlign w:val="bottom"/>
            <w:gridSpan w:val="3"/>
          </w:tcPr>
          <w:p>
            <w:pPr>
              <w:ind w:left="460"/>
              <w:spacing w:after="0"/>
              <w:rPr>
                <w:sz w:val="20"/>
                <w:szCs w:val="20"/>
                <w:color w:val="auto"/>
              </w:rPr>
            </w:pPr>
            <w:r>
              <w:rPr>
                <w:rFonts w:ascii="Arial" w:cs="Arial" w:eastAsia="Arial" w:hAnsi="Arial"/>
                <w:sz w:val="18"/>
                <w:szCs w:val="18"/>
                <w:color w:val="auto"/>
              </w:rPr>
              <w:t>Income from continuing operations before income taxes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7,625</w:t>
            </w:r>
          </w:p>
        </w:tc>
        <w:tc>
          <w:tcPr>
            <w:tcW w:w="1580" w:type="dxa"/>
            <w:vAlign w:val="bottom"/>
            <w:gridSpan w:val="3"/>
          </w:tcPr>
          <w:p>
            <w:pPr>
              <w:jc w:val="right"/>
              <w:ind w:right="380"/>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7,385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0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560" w:type="dxa"/>
            <w:vAlign w:val="bottom"/>
            <w:shd w:val="clear" w:color="auto" w:fill="CCEEFF"/>
          </w:tcPr>
          <w:p>
            <w:pPr>
              <w:spacing w:after="0"/>
              <w:rPr>
                <w:sz w:val="18"/>
                <w:szCs w:val="18"/>
                <w:color w:val="auto"/>
              </w:rPr>
            </w:pPr>
          </w:p>
        </w:tc>
        <w:tc>
          <w:tcPr>
            <w:tcW w:w="60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left w:val="single" w:sz="8" w:color="CCEEFF"/>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500" w:type="dxa"/>
            <w:vAlign w:val="bottom"/>
            <w:shd w:val="clear" w:color="auto" w:fill="CCEEFF"/>
          </w:tcPr>
          <w:p>
            <w:pPr>
              <w:spacing w:after="0"/>
              <w:rPr>
                <w:sz w:val="18"/>
                <w:szCs w:val="18"/>
                <w:color w:val="auto"/>
              </w:rPr>
            </w:pPr>
          </w:p>
        </w:tc>
        <w:tc>
          <w:tcPr>
            <w:tcW w:w="62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20" w:type="dxa"/>
            <w:vAlign w:val="bottom"/>
            <w:gridSpan w:val="3"/>
          </w:tcPr>
          <w:p>
            <w:pPr>
              <w:ind w:left="460"/>
              <w:spacing w:after="0"/>
              <w:rPr>
                <w:sz w:val="20"/>
                <w:szCs w:val="20"/>
                <w:color w:val="auto"/>
              </w:rPr>
            </w:pPr>
            <w:r>
              <w:rPr>
                <w:rFonts w:ascii="Arial" w:cs="Arial" w:eastAsia="Arial" w:hAnsi="Arial"/>
                <w:sz w:val="18"/>
                <w:szCs w:val="18"/>
                <w:color w:val="auto"/>
              </w:rPr>
              <w:t>Net income</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$ 5,245</w:t>
            </w:r>
          </w:p>
        </w:tc>
        <w:tc>
          <w:tcPr>
            <w:tcW w:w="1580" w:type="dxa"/>
            <w:vAlign w:val="bottom"/>
            <w:gridSpan w:val="3"/>
          </w:tcPr>
          <w:p>
            <w:pPr>
              <w:jc w:val="right"/>
              <w:ind w:right="240"/>
              <w:spacing w:after="0"/>
              <w:rPr>
                <w:sz w:val="20"/>
                <w:szCs w:val="20"/>
                <w:color w:val="auto"/>
              </w:rPr>
            </w:pPr>
            <w:r>
              <w:rPr>
                <w:rFonts w:ascii="Arial" w:cs="Arial" w:eastAsia="Arial" w:hAnsi="Arial"/>
                <w:sz w:val="18"/>
                <w:szCs w:val="18"/>
                <w:color w:val="auto"/>
              </w:rPr>
              <w:t>7.8%</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5,378</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5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vMerge w:val="restart"/>
          </w:tcPr>
          <w:p>
            <w:pPr>
              <w:spacing w:after="0"/>
              <w:rPr>
                <w:sz w:val="24"/>
                <w:szCs w:val="24"/>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180" w:type="dxa"/>
            <w:vAlign w:val="bottom"/>
            <w:vMerge w:val="restart"/>
          </w:tcPr>
          <w:p>
            <w:pPr>
              <w:spacing w:after="0"/>
              <w:rPr>
                <w:sz w:val="24"/>
                <w:szCs w:val="2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March 31,</w:t>
            </w:r>
          </w:p>
        </w:tc>
        <w:tc>
          <w:tcPr>
            <w:tcW w:w="560" w:type="dxa"/>
            <w:vAlign w:val="bottom"/>
          </w:tcPr>
          <w:p>
            <w:pPr>
              <w:spacing w:after="0"/>
              <w:rPr>
                <w:sz w:val="24"/>
                <w:szCs w:val="2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March 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60" w:type="dxa"/>
            <w:vAlign w:val="bottom"/>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5180" w:type="dxa"/>
            <w:vAlign w:val="bottom"/>
            <w:vMerge w:val="continue"/>
          </w:tcPr>
          <w:p>
            <w:pPr>
              <w:spacing w:after="0"/>
              <w:rPr>
                <w:sz w:val="12"/>
                <w:szCs w:val="12"/>
                <w:color w:val="auto"/>
              </w:rPr>
            </w:pPr>
          </w:p>
        </w:tc>
        <w:tc>
          <w:tcPr>
            <w:tcW w:w="580" w:type="dxa"/>
            <w:vAlign w:val="bottom"/>
            <w:gridSpan w:val="2"/>
          </w:tcPr>
          <w:p>
            <w:pPr>
              <w:jc w:val="right"/>
              <w:ind w:right="75"/>
              <w:spacing w:after="0" w:line="14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160" w:type="dxa"/>
            <w:vAlign w:val="bottom"/>
            <w:gridSpan w:val="2"/>
          </w:tcPr>
          <w:p>
            <w:pPr>
              <w:jc w:val="right"/>
              <w:ind w:right="99"/>
              <w:spacing w:after="0" w:line="148"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3"/>
          </w:tcPr>
          <w:p>
            <w:pPr>
              <w:jc w:val="right"/>
              <w:ind w:right="80"/>
              <w:spacing w:after="0" w:line="148" w:lineRule="exact"/>
              <w:rPr>
                <w:sz w:val="20"/>
                <w:szCs w:val="20"/>
                <w:color w:val="auto"/>
              </w:rPr>
            </w:pPr>
            <w:r>
              <w:rPr>
                <w:rFonts w:ascii="Arial" w:cs="Arial" w:eastAsia="Arial" w:hAnsi="Arial"/>
                <w:sz w:val="14"/>
                <w:szCs w:val="14"/>
                <w:b w:val="1"/>
                <w:bCs w:val="1"/>
                <w:color w:val="auto"/>
                <w:w w:val="82"/>
              </w:rPr>
              <w:t>$ Change</w:t>
            </w:r>
          </w:p>
        </w:tc>
        <w:tc>
          <w:tcPr>
            <w:tcW w:w="50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6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ACS</w:t>
            </w: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6060" w:type="dxa"/>
            <w:vAlign w:val="bottom"/>
            <w:tcBorders>
              <w:right w:val="single" w:sz="8" w:color="CCEEFF"/>
            </w:tcBorders>
            <w:gridSpan w:val="2"/>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$ 56,408</w:t>
            </w: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$ 56,364</w:t>
            </w:r>
          </w:p>
        </w:tc>
        <w:tc>
          <w:tcPr>
            <w:tcW w:w="420" w:type="dxa"/>
            <w:vAlign w:val="bottom"/>
            <w:tcBorders>
              <w:left w:val="single" w:sz="8" w:color="CCEEFF"/>
            </w:tcBorders>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w:t>
            </w:r>
          </w:p>
        </w:tc>
        <w:tc>
          <w:tcPr>
            <w:tcW w:w="8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20" w:type="dxa"/>
            <w:vAlign w:val="bottom"/>
            <w:tcBorders>
              <w:left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&lt;1%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MFS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8,837</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3,452</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5,385</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Eliminations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1,705</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revenues</w:t>
            </w: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222"/>
        </w:trPr>
        <w:tc>
          <w:tcPr>
            <w:tcW w:w="6520" w:type="dxa"/>
            <w:vAlign w:val="bottom"/>
            <w:gridSpan w:val="3"/>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79"/>
              </w:rPr>
              <w:t>$ 66,989</w:t>
            </w: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$ 59,855</w:t>
            </w:r>
          </w:p>
        </w:tc>
        <w:tc>
          <w:tcPr>
            <w:tcW w:w="4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7,134</w:t>
            </w:r>
          </w:p>
        </w:tc>
        <w:tc>
          <w:tcPr>
            <w:tcW w:w="13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Total revenues increased $7.1 million, or 12%, to $67.0 million during the three months ended March 31, 2012 as compared to the comparable period in fiscal 2011.</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Net ACS revenues remained consistent year over year at $56.4 million during the three months ended March 31, 2012 and 2011. Higher defense revenues of $11.6 million, including revenues contributed by KOR, were offset by lower commercial revenues. Defense revenues accounted for 95% of net ACS revenues during the three months ended March 31, 2012, as compared to 74% in the same period in fiscal 2011.</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Net MFS revenues increased $5.4 million, or 156%, to $8.8 million during the three months ended March 31, 2012 as compared to the same period in fiscal 2011. The increase was driven by revenues from a wide area persistent surveillance contract and revenues contributed by PDI.</w:t>
      </w:r>
    </w:p>
    <w:p>
      <w:pPr>
        <w:spacing w:after="0" w:line="85"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International revenues represented 6% and 2% of total revenues during the three months ended March 31, 2012 and 2011, respectively. The increase in international revenues during the three months ended March 31, 2012 was primarily driven by a $2.5 million increase in revenues to defense customers in Europe.</w:t>
      </w:r>
    </w:p>
    <w:p>
      <w:pPr>
        <w:spacing w:after="0" w:line="6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Eliminations revenue is attributable to development programs where the revenue is recognized in both segments under contract accounting, and reflects the reconciliation to our consolidated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Gross margin was 52.3% for the three months ended March 31, 2012, a decrease of 260 basis points from the 54.9% gross margin achieved during the same period in fiscal 2011 due to the inclusion of KOR and PDI revenues which carry lower gross margins than our historical gross margins.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Selling, general and administrative expenses increased $0.8 million, or 5%, to $15.2 million during the three months ended March 31, 2012 compared to $14.4 million during the same period in fiscal 2011. The increase was primarily due to a $0.7 million increase in employee compensation expense driven by higher headcount as a result of the KOR acquisition. Selling, general and administrative expenses decreased as a percentage of revenues to 22.7% during the three months ended March 31, 2012 from 24.1% during the same period in fiscal 2011 due to higher revenue and increased operating leverage.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Research and development expenses increased $0.8 million, or 7%, to $11.5 million during the three months ended March 31, 2012 compared to $10.7 million during the same period in fiscal 2011. The increase was primarily due to a $0.5 million increase in employee compensation expense driven by higher headcount as a result of the KOR acquisition, and a $0.2 million increase in higher supplies and depreciation expenses. Research and development continues to be a focus of our business with 17.1% of our revenues dedicated to research and development activities during the three months ended March 31, 2012 and 17.8% of our revenues dedicated to such activities during the same period in fiscal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A</w:t>
      </w:r>
      <w:r>
        <w:rPr>
          <w:rFonts w:ascii="Arial" w:cs="Arial" w:eastAsia="Arial" w:hAnsi="Arial"/>
          <w:sz w:val="14"/>
          <w:szCs w:val="14"/>
          <w:color w:val="auto"/>
        </w:rPr>
        <w:t>CQUIRED</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Amortization of acquired intangible assets increased $0.5 million, to $1.1 million during the three months ended March 31, 2012 compared to the same period in fiscal 2011, primarily due to amortization of intangible assets from the KOR acquisition completed in December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incurred $0.1 million of acquisition costs and other related expenses during the three months ended March 31, 2012 and 2011. The acquisition costs and other related expenses consist of transaction costs incurred from the KOR and LNX acquisitions.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I</w:t>
      </w:r>
      <w:r>
        <w:rPr>
          <w:rFonts w:ascii="Arial" w:cs="Arial" w:eastAsia="Arial" w:hAnsi="Arial"/>
          <w:sz w:val="14"/>
          <w:szCs w:val="14"/>
          <w:color w:val="auto"/>
        </w:rPr>
        <w:t>NCOME</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Interest income for the three months ended March 31, 2012 and 2011 were minimal due to the near zero percent yield on our U.S. treasury bills and money market accounts.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incurred a minimal amount of interest expense for the three months ended March 31, 2012 and 2011, which primarily consisted of finance charges related to capital lease obligations.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Other income increased $0.1 million to $0.5 million during the three months ended March 31, 2012, as compared to the same period in fiscal 2011. Other income primarily consists of $0.3 million in amortization of the gain on the sale leaseback of our corporate headquarters located in Chelmsford, Massachusetts and foreign currency exchange gains and losses.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recorded a provision for income taxes of $2.4 million during the three months ended March 31, 2012 as compared to $2.0 million during the same period in fiscal 2011. The tax rate for the three months ended March 31, 2012 and 2011 was 31% and 27%, respectively. The difference in the rates is primarily due to a full-year benefit of federal research and development tax credit in fiscal 2011 compared to only a six-month benefit in fiscal 2012. Our effective tax rate for the three months ended March 31, 2012 and 2011 differed from the federal statutory tax rate primarily due to the impact of research and development tax credits and the impact of a Section 199 Manufacturing Deduction.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Adjusted EBITDA for the ACS segment decreased $0.8 million during the three months ended March 31, 2012 to $10.2 million as compared to $11.0 million for the same period in fiscal 2011. The decrease in adjusted EBITDA was primarily due to higher operating expenses related to the inclusion of KOR in the segment’s operating results for the three months ended March 31, 2012.</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Adjusted EBITDA for the MFS segment increased $1.0 million during the three months ended March 31, 2012 to $1.4 million as compared to $0.4 million for the same period in fiscal 2011. The increase in adjusted EBITDA was primarily due to a $5.4 million increase in revenues, partially offset by higher operating expenses as a result of the inclusion of PDI in the segment’s operating results for the three months ended March 31, 2012.</w:t>
      </w:r>
    </w:p>
    <w:p>
      <w:pPr>
        <w:spacing w:after="0" w:line="10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See Note J to our consolidated financial statements included in this report for more information regarding our operating segments and geographic information.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March 31, 2012 compared to the nine months ended March 31,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nine month periods indicated, financial data from the consolidated statements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As a % of</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As a % of</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0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Total Net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4"/>
          </w:tcPr>
          <w:p>
            <w:pPr>
              <w:jc w:val="right"/>
              <w:ind w:right="600"/>
              <w:spacing w:after="0" w:line="149" w:lineRule="exact"/>
              <w:rPr>
                <w:sz w:val="20"/>
                <w:szCs w:val="20"/>
                <w:color w:val="auto"/>
              </w:rPr>
            </w:pPr>
            <w:r>
              <w:rPr>
                <w:rFonts w:ascii="Arial" w:cs="Arial" w:eastAsia="Arial" w:hAnsi="Arial"/>
                <w:sz w:val="14"/>
                <w:szCs w:val="14"/>
                <w:b w:val="1"/>
                <w:bCs w:val="1"/>
                <w:color w:val="auto"/>
                <w:w w:val="92"/>
              </w:rPr>
              <w:t>March 31,</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Total Net</w:t>
            </w:r>
          </w:p>
        </w:tc>
        <w:tc>
          <w:tcPr>
            <w:tcW w:w="0" w:type="dxa"/>
            <w:vAlign w:val="bottom"/>
          </w:tcPr>
          <w:p>
            <w:pPr>
              <w:spacing w:after="0"/>
              <w:rPr>
                <w:sz w:val="1"/>
                <w:szCs w:val="1"/>
                <w:color w:val="auto"/>
              </w:rPr>
            </w:pPr>
          </w:p>
        </w:tc>
      </w:tr>
      <w:tr>
        <w:trPr>
          <w:trHeight w:val="153"/>
        </w:trPr>
        <w:tc>
          <w:tcPr>
            <w:tcW w:w="460" w:type="dxa"/>
            <w:vAlign w:val="bottom"/>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5080" w:type="dxa"/>
            <w:vAlign w:val="bottom"/>
            <w:vMerge w:val="continue"/>
          </w:tcPr>
          <w:p>
            <w:pPr>
              <w:spacing w:after="0"/>
              <w:rPr>
                <w:sz w:val="12"/>
                <w:szCs w:val="12"/>
                <w:color w:val="auto"/>
              </w:rPr>
            </w:pPr>
          </w:p>
        </w:tc>
        <w:tc>
          <w:tcPr>
            <w:tcW w:w="660" w:type="dxa"/>
            <w:vAlign w:val="bottom"/>
            <w:gridSpan w:val="2"/>
          </w:tcPr>
          <w:p>
            <w:pPr>
              <w:jc w:val="right"/>
              <w:ind w:right="97"/>
              <w:spacing w:after="0" w:line="148" w:lineRule="exact"/>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Revenue</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96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5960" w:type="dxa"/>
            <w:vAlign w:val="bottom"/>
            <w:tcBorders>
              <w:right w:val="single" w:sz="8" w:color="CCEEFF"/>
            </w:tcBorders>
            <w:gridSpan w:val="2"/>
            <w:vMerge w:val="continue"/>
            <w:shd w:val="clear" w:color="auto" w:fill="CCEEFF"/>
          </w:tcPr>
          <w:p>
            <w:pPr>
              <w:spacing w:after="0"/>
              <w:rPr>
                <w:sz w:val="17"/>
                <w:szCs w:val="17"/>
                <w:color w:val="auto"/>
              </w:rPr>
            </w:pPr>
          </w:p>
        </w:tc>
        <w:tc>
          <w:tcPr>
            <w:tcW w:w="20" w:type="dxa"/>
            <w:vAlign w:val="bottom"/>
            <w:vMerge w:val="continue"/>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$184,070</w:t>
            </w:r>
          </w:p>
        </w:tc>
        <w:tc>
          <w:tcPr>
            <w:tcW w:w="30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20" w:type="dxa"/>
            <w:vAlign w:val="bottom"/>
            <w:vMerge w:val="continue"/>
            <w:shd w:val="clear" w:color="auto" w:fill="CCEEFF"/>
          </w:tcPr>
          <w:p>
            <w:pPr>
              <w:spacing w:after="0"/>
              <w:rPr>
                <w:sz w:val="17"/>
                <w:szCs w:val="17"/>
                <w:color w:val="auto"/>
              </w:rPr>
            </w:pPr>
          </w:p>
        </w:tc>
        <w:tc>
          <w:tcPr>
            <w:tcW w:w="960" w:type="dxa"/>
            <w:vAlign w:val="bottom"/>
            <w:gridSpan w:val="3"/>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100.0%</w:t>
            </w:r>
          </w:p>
        </w:tc>
        <w:tc>
          <w:tcPr>
            <w:tcW w:w="240" w:type="dxa"/>
            <w:vAlign w:val="bottom"/>
            <w:vMerge w:val="continue"/>
            <w:shd w:val="clear" w:color="auto" w:fill="CCEEFF"/>
          </w:tcPr>
          <w:p>
            <w:pPr>
              <w:spacing w:after="0"/>
              <w:rPr>
                <w:sz w:val="17"/>
                <w:szCs w:val="17"/>
                <w:color w:val="auto"/>
              </w:rPr>
            </w:pPr>
          </w:p>
        </w:tc>
        <w:tc>
          <w:tcPr>
            <w:tcW w:w="680" w:type="dxa"/>
            <w:vAlign w:val="bottom"/>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$167,476</w:t>
            </w:r>
          </w:p>
        </w:tc>
        <w:tc>
          <w:tcPr>
            <w:tcW w:w="560" w:type="dxa"/>
            <w:vAlign w:val="bottom"/>
            <w:tcBorders>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2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78,178</w:t>
            </w:r>
          </w:p>
        </w:tc>
        <w:tc>
          <w:tcPr>
            <w:tcW w:w="30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72,294</w:t>
            </w:r>
          </w:p>
        </w:tc>
        <w:tc>
          <w:tcPr>
            <w:tcW w:w="5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6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Gross margin</w:t>
            </w:r>
          </w:p>
        </w:tc>
        <w:tc>
          <w:tcPr>
            <w:tcW w:w="10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105,892</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57.5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95,182</w:t>
            </w:r>
          </w:p>
        </w:tc>
        <w:tc>
          <w:tcPr>
            <w:tcW w:w="5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6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43,281</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23.5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42,653</w:t>
            </w:r>
          </w:p>
        </w:tc>
        <w:tc>
          <w:tcPr>
            <w:tcW w:w="5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6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w:t>
            </w:r>
          </w:p>
        </w:tc>
        <w:tc>
          <w:tcPr>
            <w:tcW w:w="1000" w:type="dxa"/>
            <w:vAlign w:val="bottom"/>
            <w:gridSpan w:val="4"/>
          </w:tcPr>
          <w:p>
            <w:pPr>
              <w:jc w:val="right"/>
              <w:ind w:right="300"/>
              <w:spacing w:after="0"/>
              <w:rPr>
                <w:sz w:val="20"/>
                <w:szCs w:val="20"/>
                <w:color w:val="auto"/>
              </w:rPr>
            </w:pPr>
            <w:r>
              <w:rPr>
                <w:rFonts w:ascii="Arial" w:cs="Arial" w:eastAsia="Arial" w:hAnsi="Arial"/>
                <w:sz w:val="18"/>
                <w:szCs w:val="18"/>
                <w:color w:val="auto"/>
              </w:rPr>
              <w:t>35,041</w:t>
            </w: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19.0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32,061</w:t>
            </w:r>
          </w:p>
        </w:tc>
        <w:tc>
          <w:tcPr>
            <w:tcW w:w="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6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10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2,651</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5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960" w:type="dxa"/>
            <w:vAlign w:val="bottom"/>
            <w:gridSpan w:val="2"/>
          </w:tcPr>
          <w:p>
            <w:pPr>
              <w:ind w:left="440"/>
              <w:spacing w:after="0"/>
              <w:rPr>
                <w:sz w:val="20"/>
                <w:szCs w:val="20"/>
                <w:color w:val="auto"/>
              </w:rPr>
            </w:pPr>
            <w:r>
              <w:rPr>
                <w:rFonts w:ascii="Arial" w:cs="Arial" w:eastAsia="Arial" w:hAnsi="Arial"/>
                <w:sz w:val="18"/>
                <w:szCs w:val="18"/>
                <w:color w:val="auto"/>
              </w:rPr>
              <w:t>Acquisition costs and other related expenses</w:t>
            </w:r>
          </w:p>
        </w:tc>
        <w:tc>
          <w:tcPr>
            <w:tcW w:w="2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763</w:t>
            </w:r>
          </w:p>
        </w:tc>
        <w:tc>
          <w:tcPr>
            <w:tcW w:w="30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407</w:t>
            </w:r>
          </w:p>
        </w:tc>
        <w:tc>
          <w:tcPr>
            <w:tcW w:w="5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60" w:type="dxa"/>
            <w:vAlign w:val="bottom"/>
            <w:tcBorders>
              <w:right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81,736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76,420</w:t>
            </w:r>
          </w:p>
        </w:tc>
        <w:tc>
          <w:tcPr>
            <w:tcW w:w="56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20" w:type="dxa"/>
            <w:vAlign w:val="bottom"/>
            <w:gridSpan w:val="3"/>
          </w:tcPr>
          <w:p>
            <w:pPr>
              <w:ind w:left="460"/>
              <w:spacing w:after="0"/>
              <w:rPr>
                <w:sz w:val="20"/>
                <w:szCs w:val="20"/>
                <w:color w:val="auto"/>
              </w:rPr>
            </w:pPr>
            <w:r>
              <w:rPr>
                <w:rFonts w:ascii="Arial" w:cs="Arial" w:eastAsia="Arial" w:hAnsi="Arial"/>
                <w:sz w:val="18"/>
                <w:szCs w:val="18"/>
                <w:color w:val="auto"/>
              </w:rPr>
              <w:t>Income from operations</w:t>
            </w:r>
          </w:p>
        </w:tc>
        <w:tc>
          <w:tcPr>
            <w:tcW w:w="1000" w:type="dxa"/>
            <w:vAlign w:val="bottom"/>
            <w:gridSpan w:val="4"/>
          </w:tcPr>
          <w:p>
            <w:pPr>
              <w:jc w:val="right"/>
              <w:ind w:right="300"/>
              <w:spacing w:after="0"/>
              <w:rPr>
                <w:sz w:val="20"/>
                <w:szCs w:val="20"/>
                <w:color w:val="auto"/>
              </w:rPr>
            </w:pPr>
            <w:r>
              <w:rPr>
                <w:rFonts w:ascii="Arial" w:cs="Arial" w:eastAsia="Arial" w:hAnsi="Arial"/>
                <w:sz w:val="18"/>
                <w:szCs w:val="18"/>
                <w:color w:val="auto"/>
              </w:rPr>
              <w:t>24,156</w:t>
            </w: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18,762</w:t>
            </w:r>
          </w:p>
        </w:tc>
        <w:tc>
          <w:tcPr>
            <w:tcW w:w="5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56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20" w:type="dxa"/>
            <w:vAlign w:val="bottom"/>
            <w:gridSpan w:val="3"/>
          </w:tcPr>
          <w:p>
            <w:pPr>
              <w:ind w:left="460"/>
              <w:spacing w:after="0"/>
              <w:rPr>
                <w:sz w:val="20"/>
                <w:szCs w:val="20"/>
                <w:color w:val="auto"/>
              </w:rPr>
            </w:pPr>
            <w:r>
              <w:rPr>
                <w:rFonts w:ascii="Arial" w:cs="Arial" w:eastAsia="Arial" w:hAnsi="Arial"/>
                <w:sz w:val="18"/>
                <w:szCs w:val="18"/>
                <w:color w:val="auto"/>
              </w:rPr>
              <w:t>Income from continuing operations before income taxes</w:t>
            </w:r>
          </w:p>
        </w:tc>
        <w:tc>
          <w:tcPr>
            <w:tcW w:w="1000" w:type="dxa"/>
            <w:vAlign w:val="bottom"/>
            <w:gridSpan w:val="4"/>
          </w:tcPr>
          <w:p>
            <w:pPr>
              <w:jc w:val="right"/>
              <w:ind w:right="300"/>
              <w:spacing w:after="0"/>
              <w:rPr>
                <w:sz w:val="20"/>
                <w:szCs w:val="20"/>
                <w:color w:val="auto"/>
              </w:rPr>
            </w:pPr>
            <w:r>
              <w:rPr>
                <w:rFonts w:ascii="Arial" w:cs="Arial" w:eastAsia="Arial" w:hAnsi="Arial"/>
                <w:sz w:val="18"/>
                <w:szCs w:val="18"/>
                <w:color w:val="auto"/>
              </w:rPr>
              <w:t>25,465</w:t>
            </w: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20,023</w:t>
            </w:r>
          </w:p>
        </w:tc>
        <w:tc>
          <w:tcPr>
            <w:tcW w:w="5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8,522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56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20" w:type="dxa"/>
            <w:vAlign w:val="bottom"/>
            <w:gridSpan w:val="3"/>
          </w:tcPr>
          <w:p>
            <w:pPr>
              <w:ind w:left="460"/>
              <w:spacing w:after="0"/>
              <w:rPr>
                <w:sz w:val="20"/>
                <w:szCs w:val="20"/>
                <w:color w:val="auto"/>
              </w:rPr>
            </w:pPr>
            <w:r>
              <w:rPr>
                <w:rFonts w:ascii="Arial" w:cs="Arial" w:eastAsia="Arial" w:hAnsi="Arial"/>
                <w:sz w:val="18"/>
                <w:szCs w:val="18"/>
                <w:color w:val="auto"/>
              </w:rPr>
              <w:t>Income from continuing operations</w:t>
            </w:r>
          </w:p>
        </w:tc>
        <w:tc>
          <w:tcPr>
            <w:tcW w:w="1000" w:type="dxa"/>
            <w:vAlign w:val="bottom"/>
            <w:gridSpan w:val="4"/>
          </w:tcPr>
          <w:p>
            <w:pPr>
              <w:jc w:val="right"/>
              <w:ind w:right="300"/>
              <w:spacing w:after="0"/>
              <w:rPr>
                <w:sz w:val="20"/>
                <w:szCs w:val="20"/>
                <w:color w:val="auto"/>
              </w:rPr>
            </w:pPr>
            <w:r>
              <w:rPr>
                <w:rFonts w:ascii="Arial" w:cs="Arial" w:eastAsia="Arial" w:hAnsi="Arial"/>
                <w:sz w:val="18"/>
                <w:szCs w:val="18"/>
                <w:color w:val="auto"/>
              </w:rPr>
              <w:t>16,943</w:t>
            </w: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14,243</w:t>
            </w:r>
          </w:p>
        </w:tc>
        <w:tc>
          <w:tcPr>
            <w:tcW w:w="5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(52)</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gridSpan w:val="3"/>
            <w:vMerge w:val="restart"/>
          </w:tcPr>
          <w:p>
            <w:pPr>
              <w:ind w:left="46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20" w:type="dxa"/>
            <w:vAlign w:val="bottom"/>
            <w:gridSpan w:val="3"/>
            <w:vMerge w:val="continue"/>
          </w:tcPr>
          <w:p>
            <w:pPr>
              <w:spacing w:after="0"/>
              <w:rPr>
                <w:sz w:val="19"/>
                <w:szCs w:val="19"/>
                <w:color w:val="auto"/>
              </w:rPr>
            </w:pPr>
          </w:p>
        </w:tc>
        <w:tc>
          <w:tcPr>
            <w:tcW w:w="1000" w:type="dxa"/>
            <w:vAlign w:val="bottom"/>
            <w:gridSpan w:val="4"/>
          </w:tcPr>
          <w:p>
            <w:pPr>
              <w:jc w:val="right"/>
              <w:ind w:right="300"/>
              <w:spacing w:after="0"/>
              <w:rPr>
                <w:sz w:val="20"/>
                <w:szCs w:val="20"/>
                <w:color w:val="auto"/>
              </w:rPr>
            </w:pPr>
            <w:r>
              <w:rPr>
                <w:rFonts w:ascii="Arial" w:cs="Arial" w:eastAsia="Arial" w:hAnsi="Arial"/>
                <w:sz w:val="18"/>
                <w:szCs w:val="18"/>
                <w:color w:val="auto"/>
                <w:w w:val="96"/>
              </w:rPr>
              <w:t>$ 16,943</w:t>
            </w:r>
          </w:p>
        </w:tc>
        <w:tc>
          <w:tcPr>
            <w:tcW w:w="1300" w:type="dxa"/>
            <w:vAlign w:val="bottom"/>
            <w:gridSpan w:val="5"/>
          </w:tcPr>
          <w:p>
            <w:pPr>
              <w:jc w:val="right"/>
              <w:ind w:right="260"/>
              <w:spacing w:after="0"/>
              <w:rPr>
                <w:sz w:val="20"/>
                <w:szCs w:val="20"/>
                <w:color w:val="auto"/>
              </w:rPr>
            </w:pPr>
            <w:r>
              <w:rPr>
                <w:rFonts w:ascii="Arial" w:cs="Arial" w:eastAsia="Arial" w:hAnsi="Arial"/>
                <w:sz w:val="18"/>
                <w:szCs w:val="18"/>
                <w:color w:val="auto"/>
              </w:rPr>
              <w:t>9.2%</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14,191</w:t>
            </w:r>
          </w:p>
        </w:tc>
        <w:tc>
          <w:tcPr>
            <w:tcW w:w="5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6420" w:type="dxa"/>
            <w:vAlign w:val="bottom"/>
            <w:gridSpan w:val="3"/>
            <w:vMerge w:val="restart"/>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4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vMerge w:val="restart"/>
          </w:tcPr>
          <w:p>
            <w:pPr>
              <w:spacing w:after="0"/>
              <w:rPr>
                <w:sz w:val="24"/>
                <w:szCs w:val="24"/>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0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6"/>
              </w:rPr>
              <w:t>March 31,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60" w:type="dxa"/>
            <w:vAlign w:val="bottom"/>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5080" w:type="dxa"/>
            <w:vAlign w:val="bottom"/>
            <w:vMerge w:val="continue"/>
          </w:tcPr>
          <w:p>
            <w:pPr>
              <w:spacing w:after="0"/>
              <w:rPr>
                <w:sz w:val="12"/>
                <w:szCs w:val="12"/>
                <w:color w:val="auto"/>
              </w:rPr>
            </w:pPr>
          </w:p>
        </w:tc>
        <w:tc>
          <w:tcPr>
            <w:tcW w:w="660" w:type="dxa"/>
            <w:vAlign w:val="bottom"/>
            <w:gridSpan w:val="2"/>
          </w:tcPr>
          <w:p>
            <w:pPr>
              <w:jc w:val="right"/>
              <w:ind w:right="137"/>
              <w:spacing w:after="0" w:line="148" w:lineRule="exact"/>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3"/>
          </w:tcPr>
          <w:p>
            <w:pPr>
              <w:jc w:val="right"/>
              <w:ind w:right="40"/>
              <w:spacing w:after="0" w:line="148"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gridSpan w:val="3"/>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11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Change</w:t>
            </w:r>
          </w:p>
        </w:tc>
        <w:tc>
          <w:tcPr>
            <w:tcW w:w="76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79"/>
              </w:rPr>
              <w:t>% Change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96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ACS</w:t>
            </w:r>
          </w:p>
        </w:tc>
        <w:tc>
          <w:tcPr>
            <w:tcW w:w="660" w:type="dxa"/>
            <w:vAlign w:val="bottom"/>
            <w:gridSpan w:val="2"/>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gridSpan w:val="2"/>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5960" w:type="dxa"/>
            <w:vAlign w:val="bottom"/>
            <w:tcBorders>
              <w:right w:val="single" w:sz="8" w:color="CCEEFF"/>
            </w:tcBorders>
            <w:gridSpan w:val="2"/>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$165,866</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$158,732</w:t>
            </w:r>
          </w:p>
        </w:tc>
        <w:tc>
          <w:tcPr>
            <w:tcW w:w="320" w:type="dxa"/>
            <w:vAlign w:val="bottom"/>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w w:val="79"/>
              </w:rPr>
              <w:t>7,134</w:t>
            </w:r>
          </w:p>
        </w:tc>
        <w:tc>
          <w:tcPr>
            <w:tcW w:w="80" w:type="dxa"/>
            <w:vAlign w:val="bottom"/>
            <w:vMerge w:val="continue"/>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MFS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18,200</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8,872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9,328</w:t>
            </w:r>
          </w:p>
        </w:tc>
        <w:tc>
          <w:tcPr>
            <w:tcW w:w="5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Eliminations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c>
          <w:tcPr>
            <w:tcW w:w="56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642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revenues</w:t>
            </w:r>
          </w:p>
        </w:tc>
        <w:tc>
          <w:tcPr>
            <w:tcW w:w="6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222"/>
        </w:trPr>
        <w:tc>
          <w:tcPr>
            <w:tcW w:w="6420" w:type="dxa"/>
            <w:vAlign w:val="bottom"/>
            <w:gridSpan w:val="3"/>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184,070</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167,476</w:t>
            </w:r>
          </w:p>
        </w:tc>
        <w:tc>
          <w:tcPr>
            <w:tcW w:w="32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16,594</w:t>
            </w:r>
          </w:p>
        </w:tc>
        <w:tc>
          <w:tcPr>
            <w:tcW w:w="5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Total revenues increased $16.6 million, or 10%, to $184.1 million during the nine months ended March 31, 2012 as compared to the comparable period in fiscal 2011.</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Net ACS revenues increased $7.1 million, or 4%, to $165.9 million during the nine months ended March 31, 2012 as compared to the same period in fiscal 2011. The increase was driven by higher defense revenues of $36.5 million, including additional revenues contributed by KOR and LNX, which were offset by a $29.4 million decrease in revenues from commercial customers. Defense revenues accounted for 93% of net ACS revenues during the nine months ended March 31, 2012, as compared to 74% in the same period in fiscal 2011.</w:t>
      </w:r>
    </w:p>
    <w:p>
      <w:pPr>
        <w:spacing w:after="0" w:line="14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Net MFS revenues increased $9.3 million, or 105%, to $18.2 million during the nine months ended March 31, 2012 as compared to the same period in fiscal 2011. The increase was driven by revenues from a wide area persistent surveillance contract and revenues contributed by PDI.</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International revenues represented 4% and 5% of total revenues during the nine months ended March 31, 2012 and 2011, respectively. The decrease in international revenues during the nine months ended March 31, 2012 was primarily driven by the decrease in revenues from commercial customers in the Asia Pacific region, partially offset by the increase in revenues to defense customers in Europe.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Eliminations revenue is attributable to development programs where the revenue is recognized in both segments under contract accounting, and reflects the reconciliation to our consolidated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Gross margin was 57.5% for the nine months ended March 31, 2012, an increase of 70 basis points from the 56.8% gross margin achieved during the same period in fiscal 2011. The improvement in gross margin was primarily due to a favorable shift in product mix during the first six months of fiscal 2012, partially offset by increase in manufacturing costs and higher warranty and inventory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Selling, general and administrative expenses increased $0.6 million, or 1%, to $43.3 million during the nine months ended March 31, 2012 compared to $42.7 million during the same period in fiscal 2011. The increase was primarily due to a $0.8 million increase in employee compensation expense as a result of the KOR and LNX acquisitions. Selling, general and administrative expenses decreased as a percentage of revenues to 23.5% during the nine months ended March 31, 2012 from 25.5% during the same period in fiscal 2011 due to higher revenues and increased operating leverage.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Research and development expenses increased $2.9 million, or 9%, to $35.0 million during the nine months ended March 31, 2012 compared to $32.1 million during the same period in fiscal 2011. The increase was primarily the result of a $2.8 million increase in employee compensation expenses as a result of the KOR and LNX acquisitions. Research and development continues to be a focus of our business with 19% of our revenues dedicated to research and development activities during the nine months ended March 31, 2012 and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A</w:t>
      </w:r>
      <w:r>
        <w:rPr>
          <w:rFonts w:ascii="Arial" w:cs="Arial" w:eastAsia="Arial" w:hAnsi="Arial"/>
          <w:sz w:val="14"/>
          <w:szCs w:val="14"/>
          <w:color w:val="auto"/>
        </w:rPr>
        <w:t>CQUIRED</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Amortization of acquired intangible assets increased by $1.4 million to $2.7 million during the nine months ended March 31, 2012 compared to $1.3 million during the same period in fiscal 2011, primarily due to amortization of intangible assets from the KOR and LNX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90" w:lineRule="exact"/>
        <w:rPr>
          <w:sz w:val="20"/>
          <w:szCs w:val="20"/>
          <w:color w:val="auto"/>
        </w:rPr>
      </w:pPr>
    </w:p>
    <w:p>
      <w:pPr>
        <w:ind w:right="640" w:firstLine="456"/>
        <w:spacing w:after="0" w:line="370" w:lineRule="auto"/>
        <w:rPr>
          <w:sz w:val="20"/>
          <w:szCs w:val="20"/>
          <w:color w:val="auto"/>
        </w:rPr>
      </w:pPr>
      <w:r>
        <w:rPr>
          <w:rFonts w:ascii="Arial" w:cs="Arial" w:eastAsia="Arial" w:hAnsi="Arial"/>
          <w:sz w:val="15"/>
          <w:szCs w:val="15"/>
          <w:color w:val="auto"/>
        </w:rPr>
        <w:t>We incurred $0.8 million and $0.4 million of acquisition costs and other related expenses during the nine months ended March 31, 2012 and 2011, respectively. The acquisition costs and other related expenses consist of transaction costs incurred in connection with the KOR and LNX acquisitions.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I</w:t>
      </w:r>
      <w:r>
        <w:rPr>
          <w:rFonts w:ascii="Arial" w:cs="Arial" w:eastAsia="Arial" w:hAnsi="Arial"/>
          <w:sz w:val="14"/>
          <w:szCs w:val="14"/>
          <w:color w:val="auto"/>
        </w:rPr>
        <w:t>NCOME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Interest income for the nine months ended March 31, 2012 and 2011 were minimal due to the near zero percent yield on our U.S. treasury bills and money market accounts.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incurred a minimal amount of interest expense for the nine months ended March 31, 2012 and 2011, which primarily consisted of finance charges related to capital lease obligations.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Other income remained consistent year over year at $1.3 million for the nine months ended March 31, 2012 and 2011. Other income primarily consists of $0.9 million in amortization of the gain on the sale leaseback of our corporate headquarters located in Chelmsford, Massachusetts and foreign currency translation exchange gains.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recorded a provision for income taxes of $8.5 million during the nine months ended March 31, 2012 as compared to $5.8 million during the same period in fiscal 2011. The tax rate for the nine months ended March 31, 2012 and 2011 was 33% and 29%, respectively. The difference in the rates is primarily due to a full-year benefit of federal research and development tax credit in fiscal 2011 compared to only a six-month benefit in fiscal 2012. Our effective tax rate for the nine months ended March 31, 2012 and 2011 differed from the federal statutory tax rate primarily due to the impact of research and development tax credits and the impact of a Section 199 Manufacturing Deduction.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Adjusted EBITDA for the ACS segment increased $5.1 million during the nine months ended March 31, 2012 to $36.4 million as compared to $31.3 million for the same period in fiscal 2011. The increase in adjusted EBITDA was primarily driven by increased gross margin due to higher revenues. This improvement was partially offset by an increase in operating expenses as a result of the KOR and LNX acquisitions. Overall, operating expenses declined as a percent of revenue.</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Adjusted EBITDA for the MFS segment increased $3.0 million during the nine months ended March 31, 2012 as compared to nil for the same period in fiscal 2011. The increase in adjusted EBITDA was primarily due to higher revenues driven by revenues from a wide area persistent surveillance contract and revenues contributed by PDI.</w:t>
      </w:r>
    </w:p>
    <w:p>
      <w:pPr>
        <w:spacing w:after="0" w:line="14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See Note J to our consolidated financial statements included in this report for more information regarding our operating segments and geographic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-G</w:t>
      </w:r>
      <w:r>
        <w:rPr>
          <w:rFonts w:ascii="Arial" w:cs="Arial" w:eastAsia="Arial" w:hAnsi="Arial"/>
          <w:sz w:val="14"/>
          <w:szCs w:val="14"/>
          <w:b w:val="1"/>
          <w:bCs w:val="1"/>
          <w:color w:val="auto"/>
        </w:rPr>
        <w:t>AAP</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EASURES</w:t>
      </w:r>
    </w:p>
    <w:p>
      <w:pPr>
        <w:spacing w:after="0" w:line="9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In our periodic communications, we discuss two important measures that are not calculated according to U.S. generally accepted accounting principles (“GAAP”), adjusted EBITDA and free cash flow. Adjusted EBITDA is defined as earnings from continuing operations before interest income and expense, income taxes, depreciation, amortization of acquired intangible assets, restructuring, impairment of long-lived assets, acquisition costs and other related expenses, fair value adjustments from purchase accounting and stock-based compensation costs.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compensation for executive officers and other key employees based on operating performance and evaluating short-term and long-term operating trends in our operations. We believe the adjusted EBITDA financial measure assists in providing an enhanced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10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continue to incur expenses similar to the adjusted EBITDA financial adjustments described above, and investors should not infer from our presentation of this non-GAAP financial measure that these costs are unusual, infrequent or non-recurring.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our income from continuing operations, the most directly comparable GAAP financial measure to our adjusted EBITDA:</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8"/>
              </w:rPr>
              <w:t>Three Months Ended</w:t>
            </w:r>
          </w:p>
        </w:tc>
        <w:tc>
          <w:tcPr>
            <w:tcW w:w="600" w:type="dxa"/>
            <w:vAlign w:val="bottom"/>
          </w:tcPr>
          <w:p>
            <w:pPr>
              <w:spacing w:after="0"/>
              <w:rPr>
                <w:sz w:val="14"/>
                <w:szCs w:val="14"/>
                <w:color w:val="auto"/>
              </w:rPr>
            </w:pPr>
          </w:p>
        </w:tc>
        <w:tc>
          <w:tcPr>
            <w:tcW w:w="1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6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29"/>
        </w:trPr>
        <w:tc>
          <w:tcPr>
            <w:tcW w:w="6440" w:type="dxa"/>
            <w:vAlign w:val="bottom"/>
            <w:gridSpan w:val="3"/>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2011</w:t>
            </w:r>
          </w:p>
        </w:tc>
        <w:tc>
          <w:tcPr>
            <w:tcW w:w="600" w:type="dxa"/>
            <w:vAlign w:val="bottom"/>
          </w:tcPr>
          <w:p>
            <w:pPr>
              <w:spacing w:after="0"/>
              <w:rPr>
                <w:sz w:val="11"/>
                <w:szCs w:val="11"/>
                <w:color w:val="auto"/>
              </w:rPr>
            </w:pPr>
          </w:p>
        </w:tc>
        <w:tc>
          <w:tcPr>
            <w:tcW w:w="580" w:type="dxa"/>
            <w:vAlign w:val="bottom"/>
            <w:tcBorders>
              <w:top w:val="single" w:sz="8" w:color="auto"/>
            </w:tcBorders>
          </w:tcPr>
          <w:p>
            <w:pPr>
              <w:jc w:val="right"/>
              <w:ind w:right="84"/>
              <w:spacing w:after="0" w:line="129"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5,245</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5,378</w:t>
            </w: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$16,943</w:t>
            </w: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$14,243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420"/>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8,522</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420"/>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1,970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5,730</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763</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Fair value adjustments from purchase accounting</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7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 cost</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6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5,194</w:t>
            </w:r>
          </w:p>
        </w:tc>
        <w:tc>
          <w:tcPr>
            <w:tcW w:w="5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11,259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39,572</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Free cash flow, a non-GAAP measure for reporting cash flow, is defined as cash provided by operating activities less capital expenditures.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cash provided by operating activities, the most directly comparable GAAP financial measure to free cash flow: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7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4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7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29"/>
        </w:trPr>
        <w:tc>
          <w:tcPr>
            <w:tcW w:w="4800" w:type="dxa"/>
            <w:vAlign w:val="bottom"/>
            <w:gridSpan w:val="3"/>
            <w:vMerge w:val="continue"/>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4"/>
                <w:szCs w:val="14"/>
                <w:b w:val="1"/>
                <w:bCs w:val="1"/>
                <w:color w:val="auto"/>
                <w:w w:val="96"/>
              </w:rPr>
              <w:t>2012</w:t>
            </w:r>
          </w:p>
        </w:tc>
        <w:tc>
          <w:tcPr>
            <w:tcW w:w="5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top w:val="single" w:sz="8" w:color="auto"/>
            </w:tcBorders>
          </w:tcPr>
          <w:p>
            <w:pPr>
              <w:jc w:val="right"/>
              <w:ind w:right="87"/>
              <w:spacing w:after="0" w:line="129"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provided by operating activities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12,443</w:t>
            </w: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$ 5,392</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$27,687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$22,845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Purchases of property and equipment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(2,867)</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(1,738)</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(6,438)</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(5,336)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9,576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$ 3,654</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21,249</w:t>
            </w: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96"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Our primary source of liquidity came from existing cash and cash generated from operations. Our near-term fixed commitments for cash expenditures consist primarily of payments under operating leases, a supply agreement and inventory purchase commitments with our contract manufacturers.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Based on our current plans and business conditions, we believe that existing cash, cash equivalents, available line of credit with Silicon Valley Bank, and cash generated from operations will be sufficient to satisfy our anticipated cash requirements for at least the next twelve months. However, additional cash may be required for certain future acquisitions. To the extent existing resources and cash from operations are insufficient to support our acquisition activities, we may need to raise additional funds through equity or debt financing.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5"/>
          <w:szCs w:val="15"/>
          <w:color w:val="auto"/>
        </w:rPr>
        <w:t>We have a loan and security agreement (the “Loan Agreement”) with Silicon Valley Bank that provides a $35 million revolving line of credit (the “Revolver”), with interest payable monthly and the principal due at the February 11, 2014 maturity of the Revolver. The Loan Agreement provides for conventional affirmative and negative covenants, including a minimum quick ratio of 1.0 and a $15 million minimum trailing four quarter cash flow covenant through and including June 30, 2012 (with $17.5 million of minimum cash flow required thereafter). The minimum cash flow covenant is calculated as our trailing-four quarter adjusted EBITDA as defined in the Loan Agreement. In addition, the Loan Agreement contains certain customary representations and warranties and limits our and our subsidiaries’ ability to incur liens, dispose of assets, carry out certain mergers and acquisitions, make investments and capital expenditures and defines events of default and limitations on the ability of us and our subsidiaries to incur additional debt. The interest rates include various rate options that are available to us. The rates are calculated using a combination of conventional base rate measures plus a margin over those rates. The base rates consist of LIBOR rates and prime rates. The actual rates will depend on the level of these underlying rates plus a margin based on our leverage at the time of borrowing. Borrowings are secured by a first-priority security interest in all of our domestic assets, including intellectual property, but limited to 65% of the voting stock of foreign subsidiaries. Our MFS, LNX, KOR and PDI subsidiaries are guarantors and have granted a security interest in their assets in favor of Silicon Valley Bank. We have had no borrowings under the Loan Agreement since inception and were in compliance with all covenants as of March 31,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August 2, 2011, we filed a shelf registration statement on Form S-3 with the SEC. The shelf registration statement, which has been declared effective by the SEC, registered up to $500 million of debt securities, preferred stock, common stock, warrants and units. We intend to use the proceeds from a financing using the shelf registration statement for general corporate purposes, which may include the following:</w:t>
      </w:r>
    </w:p>
    <w:p>
      <w:pPr>
        <w:spacing w:after="0" w:line="59"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LOWS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6"/>
              </w:rPr>
              <w:t>As of and for the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080" w:type="dxa"/>
            <w:vAlign w:val="bottom"/>
            <w:vMerge w:val="restart"/>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3080" w:type="dxa"/>
            <w:vAlign w:val="bottom"/>
            <w:vMerge w:val="continue"/>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40"/>
              <w:spacing w:after="0" w:line="129" w:lineRule="exact"/>
              <w:rPr>
                <w:sz w:val="20"/>
                <w:szCs w:val="20"/>
                <w:color w:val="auto"/>
              </w:rPr>
            </w:pPr>
            <w:r>
              <w:rPr>
                <w:rFonts w:ascii="Arial" w:cs="Arial" w:eastAsia="Arial" w:hAnsi="Arial"/>
                <w:sz w:val="14"/>
                <w:szCs w:val="14"/>
                <w:b w:val="1"/>
                <w:bCs w:val="1"/>
                <w:color w:val="auto"/>
              </w:rPr>
              <w:t>2012</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27,687</w:t>
            </w:r>
          </w:p>
        </w:tc>
        <w:tc>
          <w:tcPr>
            <w:tcW w:w="6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22,845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92"/>
              <w:spacing w:after="0"/>
              <w:rPr>
                <w:sz w:val="20"/>
                <w:szCs w:val="20"/>
                <w:color w:val="auto"/>
              </w:rPr>
            </w:pPr>
            <w:r>
              <w:rPr>
                <w:rFonts w:ascii="Arial" w:cs="Arial" w:eastAsia="Arial" w:hAnsi="Arial"/>
                <w:sz w:val="18"/>
                <w:szCs w:val="18"/>
                <w:color w:val="auto"/>
                <w:w w:val="89"/>
              </w:rPr>
              <w:t>(77,139)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(19,194)</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w w:val="92"/>
              </w:rPr>
              <w:t>Net (decrease) increase in cash and cash equivalents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92"/>
              <w:spacing w:after="0"/>
              <w:rPr>
                <w:sz w:val="20"/>
                <w:szCs w:val="20"/>
                <w:color w:val="auto"/>
              </w:rPr>
            </w:pPr>
            <w:r>
              <w:rPr>
                <w:rFonts w:ascii="Arial" w:cs="Arial" w:eastAsia="Arial" w:hAnsi="Arial"/>
                <w:sz w:val="18"/>
                <w:szCs w:val="18"/>
                <w:color w:val="auto"/>
                <w:w w:val="89"/>
              </w:rPr>
              <w:t>(48,030)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100,180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114,845</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640" w:type="dxa"/>
            <w:vAlign w:val="bottom"/>
          </w:tcPr>
          <w:p>
            <w:pPr>
              <w:jc w:val="right"/>
              <w:ind w:right="209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cash and cash equivalents decreased by $48.0 million from June 30, 2011 to March 31, 2012, primarily as a result of the $70.4 million payment, net of cash acquired, for the KOR acquisition, $6.4 million in capital expenditures, and a $0.5 million payment for other financing and investing activities, partially offset by $27.7 million generated by operating activities and $1.5 million generated from stock related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During the nine months ended March 31, 2012, we generated $27.7 million in cash from operations compared to $22.8 million generated from operating activities during the same period in fiscal 2011. The $4.9 million increase in cash generated from operations was largely driven by $2.8 million of higher net income, a $2.5 million increase in depreciation and amortization expenses, a $1.1 million increase in stock-based compensation expense and its related excess tax benefit, and a $0.5 million increase in deferred income tax provision. These increases in cash were offset by a $2.0 million decrease in changes in working capital. The decrease primarily consist of a $5.1 million increase in cash used for inventory, a $3.0 million increase in cash used for other non-current liabilities, accounts payable and accrued expenses, a $1.5 million increase in cash used for prepaid income taxes, a $0.4 million decrease in cash generated by deferred revenue and customer advances, and a $0.2 million increase in cash used for income taxes payable. These uses of cash were offset by a $5.1 million increase in cash received from accounts receivables and a $3.1 million decrease in cash used for prepaid expenses and other assets. Our ability to generate cash from operations in future periods will depend in large part on profitability, the rate of collection of accounts receivable, our inventory turns and our ability to manage other areas of working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the nine months ended March 31, 2012, we used cash of $77.1 million in investing activities compared to $19.2 million used in investing activities during the same period in fiscal 2011. The $57.9 million increase in cash used in investing activities was primarily driven by a $70.4 million payment, net of cash acquired, for the KOR acquisition in fiscal 2012 compared to a $29.5 million payment, net of cash acquired, for the LNX acquisition in fiscal 2011, a $1.1 million increase in capital expenditures, and a $0.3 million increase in restricted cash. Additionally, we generated cash in fiscal 2011 by exercising the put option to sell auction rate securities balance for $18.0 million in cash. These increases were partially offset by a $2.4 million payment for intangible assets made during the nine months ended March 31,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During the nine months ended March 31, 2012, we generated $1.4 million in cash from financing activities compared to $96.5 million generated from financing activities during the same period in fiscal 2011. The $95.1 million decrease in cash generated from financing activities was primarily due to $93.9 million of net proceeds received from a follow-on public stock offering in fiscal 2011, a $1.1 million decrease in proceeds from employee stock plans, and a $0.1 million decrease in excess tax benefits from stock-based compensation.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our commitments and contractual obligations outstanding at March 31,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2800" w:type="dxa"/>
            <w:vAlign w:val="bottom"/>
            <w:vMerge w:val="restart"/>
          </w:tcPr>
          <w:p>
            <w:pPr>
              <w:spacing w:after="0"/>
              <w:rPr>
                <w:sz w:val="14"/>
                <w:szCs w:val="14"/>
                <w:color w:val="auto"/>
              </w:rPr>
            </w:pPr>
          </w:p>
        </w:tc>
        <w:tc>
          <w:tcPr>
            <w:tcW w:w="2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Less Than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79"/>
              <w:spacing w:after="0"/>
              <w:rPr>
                <w:sz w:val="20"/>
                <w:szCs w:val="20"/>
                <w:color w:val="auto"/>
              </w:rPr>
            </w:pPr>
            <w:r>
              <w:rPr>
                <w:rFonts w:ascii="Arial" w:cs="Arial" w:eastAsia="Arial" w:hAnsi="Arial"/>
                <w:sz w:val="14"/>
                <w:szCs w:val="14"/>
                <w:b w:val="1"/>
                <w:bCs w:val="1"/>
                <w:color w:val="auto"/>
              </w:rPr>
              <w:t>2-3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79"/>
              <w:spacing w:after="0"/>
              <w:rPr>
                <w:sz w:val="20"/>
                <w:szCs w:val="20"/>
                <w:color w:val="auto"/>
              </w:rPr>
            </w:pPr>
            <w:r>
              <w:rPr>
                <w:rFonts w:ascii="Arial" w:cs="Arial" w:eastAsia="Arial" w:hAnsi="Arial"/>
                <w:sz w:val="14"/>
                <w:szCs w:val="14"/>
                <w:b w:val="1"/>
                <w:bCs w:val="1"/>
                <w:color w:val="auto"/>
              </w:rPr>
              <w:t>4-5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2800" w:type="dxa"/>
            <w:vAlign w:val="bottom"/>
            <w:vMerge w:val="continue"/>
          </w:tcPr>
          <w:p>
            <w:pPr>
              <w:spacing w:after="0"/>
              <w:rPr>
                <w:sz w:val="14"/>
                <w:szCs w:val="14"/>
                <w:color w:val="auto"/>
              </w:rPr>
            </w:pPr>
          </w:p>
        </w:tc>
        <w:tc>
          <w:tcPr>
            <w:tcW w:w="2800" w:type="dxa"/>
            <w:vAlign w:val="bottom"/>
          </w:tcPr>
          <w:p>
            <w:pPr>
              <w:spacing w:after="0"/>
              <w:rPr>
                <w:sz w:val="14"/>
                <w:szCs w:val="14"/>
                <w:color w:val="auto"/>
              </w:rPr>
            </w:pPr>
          </w:p>
        </w:tc>
        <w:tc>
          <w:tcPr>
            <w:tcW w:w="82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86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3"/>
              </w:rPr>
              <w:t>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3"/>
              </w:rPr>
              <w:t>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Purchase obligations</w:t>
            </w:r>
          </w:p>
        </w:tc>
        <w:tc>
          <w:tcPr>
            <w:tcW w:w="28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$17,825</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$ 17,825</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3620" w:type="dxa"/>
            <w:vAlign w:val="bottom"/>
            <w:gridSpan w:val="3"/>
          </w:tcPr>
          <w:p>
            <w:pPr>
              <w:jc w:val="right"/>
              <w:ind w:right="240"/>
              <w:spacing w:after="0"/>
              <w:rPr>
                <w:sz w:val="20"/>
                <w:szCs w:val="20"/>
                <w:color w:val="auto"/>
              </w:rPr>
            </w:pPr>
            <w:r>
              <w:rPr>
                <w:rFonts w:ascii="Arial" w:cs="Arial" w:eastAsia="Arial" w:hAnsi="Arial"/>
                <w:sz w:val="18"/>
                <w:szCs w:val="18"/>
                <w:color w:val="auto"/>
              </w:rPr>
              <w:t>16,125</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4,073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6,446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5,343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28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62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34,036</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$ 21,984</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6,446</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5,343</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0" w:type="dxa"/>
            <w:vAlign w:val="bottom"/>
            <w:vMerge w:val="restart"/>
          </w:tcPr>
          <w:p>
            <w:pPr>
              <w:jc w:val="right"/>
              <w:ind w:right="592"/>
              <w:spacing w:after="0"/>
              <w:rPr>
                <w:sz w:val="20"/>
                <w:szCs w:val="20"/>
                <w:color w:val="auto"/>
              </w:rPr>
            </w:pPr>
            <w:r>
              <w:rPr>
                <w:rFonts w:ascii="Arial" w:cs="Arial" w:eastAsia="Arial" w:hAnsi="Arial"/>
                <w:sz w:val="18"/>
                <w:szCs w:val="18"/>
                <w:color w:val="auto"/>
              </w:rPr>
              <w:t>30</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a liability at March 31, 2012 of $1.9 million for uncertain tax positions that have been taken or are expected to be taken in various income tax returns. We do not know the ultimate resolution of these uncertain tax positions and as such, do not know the ultimate timing of payments related to this liability. Accordingly, these amounts are not included in the above table.</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 The purchase commitments covered by these agreements are for less than one year and aggregated $17.8 million at March 31, 2012.</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September 2006, we entered into a supply agreement with a third-party vendor to purchase certain inventory parts that went “end of life.” This supply agreement, as subsequently amended, committed the vendor to acquiring and storing $6.5 million of inventory until August 31, 2012 and allows us to place orders for the inventory four times a year. Under the terms of this supply agreement, we were required to and paid an advance of $1.9 million of the $6.5 million. As of March 31, 2012, we placed a purchase order for $2.7 million for the remaining inventory under the agreement to fulfill anticipated future demand for these products.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9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Other than our lease commitments incurred in the normal course of business and certain indemnification provisions, we do not have any off- 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In September 2011, the FASB issued ASU No. 2011-08, </w:t>
      </w:r>
      <w:r>
        <w:rPr>
          <w:rFonts w:ascii="Arial" w:cs="Arial" w:eastAsia="Arial" w:hAnsi="Arial"/>
          <w:sz w:val="18"/>
          <w:szCs w:val="18"/>
          <w:i w:val="1"/>
          <w:iCs w:val="1"/>
          <w:color w:val="auto"/>
        </w:rPr>
        <w:t>Intangibles—Goodwill and Other (Topic 350): Testing Goodwill for Impairment</w:t>
      </w:r>
      <w:r>
        <w:rPr>
          <w:rFonts w:ascii="Arial" w:cs="Arial" w:eastAsia="Arial" w:hAnsi="Arial"/>
          <w:sz w:val="18"/>
          <w:szCs w:val="18"/>
          <w:color w:val="auto"/>
        </w:rPr>
        <w:t>, an amendment of the FASB Accounting Standards Codification. The ASU permits an entity to make a qualitative assessment of whether it is more likely than not that a reporting unit’s fair value is less than its carrying amount before applying the two-step goodwill impairment test. If an entity concludes it is not more likely than not that the fair value of a reporting unit is less than its carrying amount, it does not need to perform the two-step impairment test. The ASU is effective for annual and interim goodwill impairment tests performed for fiscal years beginning after December 15, 2011. This guidance is not expected to have a material impact to our consolidated financial statements.</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In December 2011, the FASB issued ASU No. 2011-11, </w:t>
      </w:r>
      <w:r>
        <w:rPr>
          <w:rFonts w:ascii="Arial" w:cs="Arial" w:eastAsia="Arial" w:hAnsi="Arial"/>
          <w:sz w:val="16"/>
          <w:szCs w:val="16"/>
          <w:i w:val="1"/>
          <w:iCs w:val="1"/>
          <w:color w:val="auto"/>
        </w:rPr>
        <w:t>Disclosures about Offsetting Assets and Liabilities</w:t>
      </w:r>
      <w:r>
        <w:rPr>
          <w:rFonts w:ascii="Arial" w:cs="Arial" w:eastAsia="Arial" w:hAnsi="Arial"/>
          <w:sz w:val="16"/>
          <w:szCs w:val="16"/>
          <w:color w:val="auto"/>
        </w:rPr>
        <w:t>, in conjunction with the International Accounting Standards Board (“IASB”)’s issuance of amendments to Disclosures—Offsetting Financial Assets and Financial Liabilities (Amendments to IFRS 7). While the Boards retained the existing offsetting models under U.S. GAAP and International Financial Reporting Standards (“IFRS”), the new standards require disclosures to allow investors to better compare financial statements prepared under U.S. GAAP with financial statements prepared under IFRS. The new standards are effective for annual periods beginning January 1, 2013, and interim periods within those annual periods. Retrospective application is required. This guidance is not expected to have a material impact to our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 xml:space="preserve">In December 2011, the FASB issued ASU No. 2011-12, </w:t>
      </w:r>
      <w:r>
        <w:rPr>
          <w:rFonts w:ascii="Arial" w:cs="Arial" w:eastAsia="Arial" w:hAnsi="Arial"/>
          <w:sz w:val="16"/>
          <w:szCs w:val="16"/>
          <w:i w:val="1"/>
          <w:iCs w:val="1"/>
          <w:color w:val="auto"/>
        </w:rPr>
        <w:t>Comprehensive Income (Topic 220): Deferral of the Effective Date for Amendments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of Reclassifications of Items Out of Accumulated Other Comprehensive Income in Accounting Standards Update No. 2011-05. </w:t>
      </w:r>
      <w:r>
        <w:rPr>
          <w:rFonts w:ascii="Arial" w:cs="Arial" w:eastAsia="Arial" w:hAnsi="Arial"/>
          <w:sz w:val="16"/>
          <w:szCs w:val="16"/>
          <w:color w:val="auto"/>
        </w:rPr>
        <w:t>The ASU defers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new requirement to present components of reclassifications of other comprehensive income on the face of the income statement. Companies are still required to adopt the other requirements contained in the new standard on comprehensive income, </w:t>
      </w:r>
      <w:r>
        <w:rPr>
          <w:rFonts w:ascii="Arial" w:cs="Arial" w:eastAsia="Arial" w:hAnsi="Arial"/>
          <w:sz w:val="16"/>
          <w:szCs w:val="16"/>
          <w:i w:val="1"/>
          <w:iCs w:val="1"/>
          <w:color w:val="auto"/>
        </w:rPr>
        <w:t>ASU No. 2011-05, Comprehensive Income (Topic 220): 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Comprehensive Income (“ASU No. 2011-05”)</w:t>
      </w:r>
      <w:r>
        <w:rPr>
          <w:rFonts w:ascii="Arial" w:cs="Arial" w:eastAsia="Arial" w:hAnsi="Arial"/>
          <w:sz w:val="16"/>
          <w:szCs w:val="16"/>
          <w:color w:val="auto"/>
        </w:rPr>
        <w:t>. The new standard and this deferral are effective for public entities as of the beginning of a fiscal year that begins</w:t>
      </w:r>
      <w:r>
        <w:rPr>
          <w:rFonts w:ascii="Arial" w:cs="Arial" w:eastAsia="Arial" w:hAnsi="Arial"/>
          <w:sz w:val="16"/>
          <w:szCs w:val="16"/>
          <w:i w:val="1"/>
          <w:iCs w:val="1"/>
          <w:color w:val="auto"/>
        </w:rPr>
        <w:t xml:space="preserve"> </w:t>
      </w:r>
      <w:r>
        <w:rPr>
          <w:rFonts w:ascii="Arial" w:cs="Arial" w:eastAsia="Arial" w:hAnsi="Arial"/>
          <w:sz w:val="16"/>
          <w:szCs w:val="16"/>
          <w:color w:val="auto"/>
        </w:rPr>
        <w:t>after December 15, 2011 and interim and annual periods thereafter. Early adoption is permitted but full retrospective application is required. Effective July 1, 2010, the Company adopted FASB ASU 2011-05 and has presented the components of net income and comprehensive income in one consecutive financial statement on our 2011 Annual Report and interim quarterly reports on Form 10-Q.</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have been no material changes in our exposure to market risk from June 30, 2011 to March 31, 2012 as we disclosed in Item 7A of our 2011 Annual Report on Form 10-K filed on August 18, 2011 with the Securities and Exchange Commission.</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March 31, 2012.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There was no change in our internal control over financial reporting (as defined in Rules 13a-15(f) and 15d-15(f) under the Exchange Act) that occurred during the quarter ended March 31, 2012 that has materially affected, or is reasonably likely to materially affect, our internal control over financial reporting.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U.S. Department of Justice (“DOJ”) is conducting an investigation into the conduct of certain former employees of PDI in the 2008-2009 time frame and has asserted that such conduct may have constituted a violation of the Procurement Integrity Act and that civil penalties would apply to any such violations. PDI and its parent company, KOR, have been cooperating in the investigation. While the parties have engaged in discussions and correspondence regarding this matter, no resolution has been reached and no litigation has commenced. Since the acquisition of PDI and KOR, we have been in the process of developing a more complete assessment of the DOJ investigation. We are entitled to indemnity with respect to this matter pursuant to the terms of the Merger Agreement, and based on this indemnity and the associated escrow arrangements, the matter is not expected to have a material impact on our cash flows, results of operations, or financial condition.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foregoing, we are subject to litigation, claims, investigations and audits arising from time to time in the ordinary course of our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business. Although legal proceedings are inherently unpredictable, we believe that we have valid defenses with respect to those matters currently pending against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us and intend to defend our self vigorously. The outcome of these matters, individually and in the aggregate, is not expected to have a material impact on our cash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flows, results of operations, or financial position.</w:t>
      </w:r>
    </w:p>
    <w:p>
      <w:pPr>
        <w:spacing w:after="0" w:line="2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2011 (“2011 Annual Report on Form 10-K”). There have been no material changes from the factors disclosed in our 2011 Annual Report on Form 10-K filed on August 18, 2011 with the Securities and Exchange Commission, although we may disclose changes to such factors or disclose additional factors from time to time in our future filings with the Securities and Exchange Commission.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2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11320" w:type="dxa"/>
            <w:vAlign w:val="bottom"/>
            <w:gridSpan w:val="2"/>
          </w:tcPr>
          <w:p>
            <w:pPr>
              <w:ind w:left="460"/>
              <w:spacing w:after="0"/>
              <w:rPr>
                <w:sz w:val="20"/>
                <w:szCs w:val="20"/>
                <w:color w:val="auto"/>
              </w:rPr>
            </w:pPr>
            <w:r>
              <w:rPr>
                <w:rFonts w:ascii="Arial" w:cs="Arial" w:eastAsia="Arial" w:hAnsi="Arial"/>
                <w:sz w:val="18"/>
                <w:szCs w:val="18"/>
                <w:color w:val="auto"/>
              </w:rPr>
              <w:t>The following Exhibits are filed or furnished, as applicable, herewith:</w:t>
            </w:r>
          </w:p>
        </w:tc>
      </w:tr>
      <w:tr>
        <w:trPr>
          <w:trHeight w:val="412"/>
        </w:trPr>
        <w:tc>
          <w:tcPr>
            <w:tcW w:w="900" w:type="dxa"/>
            <w:vAlign w:val="bottom"/>
          </w:tcPr>
          <w:p>
            <w:pPr>
              <w:ind w:left="100"/>
              <w:spacing w:after="0"/>
              <w:rPr>
                <w:sz w:val="20"/>
                <w:szCs w:val="20"/>
                <w:color w:val="auto"/>
              </w:rPr>
            </w:pPr>
            <w:r>
              <w:rPr>
                <w:rFonts w:ascii="Arial" w:cs="Arial" w:eastAsia="Arial" w:hAnsi="Arial"/>
                <w:sz w:val="18"/>
                <w:szCs w:val="18"/>
                <w:color w:val="auto"/>
              </w:rPr>
              <w:t>31.1</w:t>
            </w:r>
          </w:p>
        </w:tc>
        <w:tc>
          <w:tcPr>
            <w:tcW w:w="10420" w:type="dxa"/>
            <w:vAlign w:val="bottom"/>
          </w:tcPr>
          <w:p>
            <w:pPr>
              <w:ind w:left="260"/>
              <w:spacing w:after="0"/>
              <w:rPr>
                <w:sz w:val="20"/>
                <w:szCs w:val="20"/>
                <w:color w:val="auto"/>
              </w:rPr>
            </w:pPr>
            <w:r>
              <w:rPr>
                <w:rFonts w:ascii="Arial" w:cs="Arial" w:eastAsia="Arial" w:hAnsi="Arial"/>
                <w:sz w:val="18"/>
                <w:szCs w:val="18"/>
                <w:color w:val="auto"/>
                <w:w w:val="88"/>
              </w:rPr>
              <w:t>Certification of the Chief Executive Officer pursuant to Securities Exchange Act Rule 13a-14(a)/15(d)-14(a), as adopted pursuant to Section 906</w:t>
            </w:r>
          </w:p>
        </w:tc>
      </w:tr>
      <w:tr>
        <w:trPr>
          <w:trHeight w:val="222"/>
        </w:trPr>
        <w:tc>
          <w:tcPr>
            <w:tcW w:w="900" w:type="dxa"/>
            <w:vAlign w:val="bottom"/>
          </w:tcPr>
          <w:p>
            <w:pPr>
              <w:spacing w:after="0"/>
              <w:rPr>
                <w:sz w:val="19"/>
                <w:szCs w:val="19"/>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of the Sarbanes-Oxley Act of 2002.</w:t>
            </w:r>
          </w:p>
        </w:tc>
      </w:tr>
      <w:tr>
        <w:trPr>
          <w:trHeight w:val="318"/>
        </w:trPr>
        <w:tc>
          <w:tcPr>
            <w:tcW w:w="900" w:type="dxa"/>
            <w:vAlign w:val="bottom"/>
          </w:tcPr>
          <w:p>
            <w:pPr>
              <w:ind w:left="100"/>
              <w:spacing w:after="0"/>
              <w:rPr>
                <w:sz w:val="20"/>
                <w:szCs w:val="20"/>
                <w:color w:val="auto"/>
              </w:rPr>
            </w:pPr>
            <w:r>
              <w:rPr>
                <w:rFonts w:ascii="Arial" w:cs="Arial" w:eastAsia="Arial" w:hAnsi="Arial"/>
                <w:sz w:val="18"/>
                <w:szCs w:val="18"/>
                <w:color w:val="auto"/>
              </w:rPr>
              <w:t>31.2</w:t>
            </w:r>
          </w:p>
        </w:tc>
        <w:tc>
          <w:tcPr>
            <w:tcW w:w="10420" w:type="dxa"/>
            <w:vAlign w:val="bottom"/>
          </w:tcPr>
          <w:p>
            <w:pPr>
              <w:ind w:left="260"/>
              <w:spacing w:after="0"/>
              <w:rPr>
                <w:sz w:val="20"/>
                <w:szCs w:val="20"/>
                <w:color w:val="auto"/>
              </w:rPr>
            </w:pPr>
            <w:r>
              <w:rPr>
                <w:rFonts w:ascii="Arial" w:cs="Arial" w:eastAsia="Arial" w:hAnsi="Arial"/>
                <w:sz w:val="18"/>
                <w:szCs w:val="18"/>
                <w:color w:val="auto"/>
                <w:w w:val="89"/>
              </w:rPr>
              <w:t>Certification of the Chief Financial Officer pursuant to Securities Exchange Act Rule 13a-14(a)/15(d)-14(a), as adopted pursuant to Section 906</w:t>
            </w:r>
          </w:p>
        </w:tc>
      </w:tr>
      <w:tr>
        <w:trPr>
          <w:trHeight w:val="222"/>
        </w:trPr>
        <w:tc>
          <w:tcPr>
            <w:tcW w:w="900" w:type="dxa"/>
            <w:vAlign w:val="bottom"/>
          </w:tcPr>
          <w:p>
            <w:pPr>
              <w:spacing w:after="0"/>
              <w:rPr>
                <w:sz w:val="19"/>
                <w:szCs w:val="19"/>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of the Sarbanes-Oxley Act of 2002.</w:t>
            </w:r>
          </w:p>
        </w:tc>
      </w:tr>
      <w:tr>
        <w:trPr>
          <w:trHeight w:val="318"/>
        </w:trPr>
        <w:tc>
          <w:tcPr>
            <w:tcW w:w="900" w:type="dxa"/>
            <w:vAlign w:val="bottom"/>
          </w:tcPr>
          <w:p>
            <w:pPr>
              <w:ind w:left="100"/>
              <w:spacing w:after="0"/>
              <w:rPr>
                <w:sz w:val="20"/>
                <w:szCs w:val="20"/>
                <w:color w:val="auto"/>
              </w:rPr>
            </w:pPr>
            <w:r>
              <w:rPr>
                <w:rFonts w:ascii="Arial" w:cs="Arial" w:eastAsia="Arial" w:hAnsi="Arial"/>
                <w:sz w:val="18"/>
                <w:szCs w:val="18"/>
                <w:color w:val="auto"/>
              </w:rPr>
              <w:t>32.1+</w:t>
            </w:r>
          </w:p>
        </w:tc>
        <w:tc>
          <w:tcPr>
            <w:tcW w:w="10420" w:type="dxa"/>
            <w:vAlign w:val="bottom"/>
          </w:tcPr>
          <w:p>
            <w:pPr>
              <w:ind w:left="260"/>
              <w:spacing w:after="0"/>
              <w:rPr>
                <w:sz w:val="20"/>
                <w:szCs w:val="20"/>
                <w:color w:val="auto"/>
              </w:rPr>
            </w:pPr>
            <w:r>
              <w:rPr>
                <w:rFonts w:ascii="Arial" w:cs="Arial" w:eastAsia="Arial" w:hAnsi="Arial"/>
                <w:sz w:val="18"/>
                <w:szCs w:val="18"/>
                <w:color w:val="auto"/>
                <w:w w:val="89"/>
              </w:rPr>
              <w:t>Certification of the Chief Executive Officer and Chief Financial Officer pursuant to 18 U.S.C. Section 1350, as adopted pursuant to Section 906</w:t>
            </w:r>
          </w:p>
        </w:tc>
      </w:tr>
      <w:tr>
        <w:trPr>
          <w:trHeight w:val="222"/>
        </w:trPr>
        <w:tc>
          <w:tcPr>
            <w:tcW w:w="900" w:type="dxa"/>
            <w:vAlign w:val="bottom"/>
          </w:tcPr>
          <w:p>
            <w:pPr>
              <w:spacing w:after="0"/>
              <w:rPr>
                <w:sz w:val="19"/>
                <w:szCs w:val="19"/>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of the Sarbanes-Oxley Act of 2002.</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10420" w:type="dxa"/>
            <w:vAlign w:val="bottom"/>
          </w:tcPr>
          <w:p>
            <w:pPr>
              <w:ind w:left="260"/>
              <w:spacing w:after="0"/>
              <w:rPr>
                <w:sz w:val="20"/>
                <w:szCs w:val="20"/>
                <w:color w:val="auto"/>
              </w:rPr>
            </w:pPr>
            <w:r>
              <w:rPr>
                <w:rFonts w:ascii="Arial" w:cs="Arial" w:eastAsia="Arial" w:hAnsi="Arial"/>
                <w:sz w:val="18"/>
                <w:szCs w:val="18"/>
                <w:color w:val="auto"/>
                <w:w w:val="92"/>
              </w:rPr>
              <w:t>The following materials from the Company’s Quarterly Report on the Form 10-Q for the quarter ended March 31, 2012 formatted in XBRL</w:t>
            </w:r>
          </w:p>
        </w:tc>
      </w:tr>
      <w:tr>
        <w:trPr>
          <w:trHeight w:val="216"/>
        </w:trPr>
        <w:tc>
          <w:tcPr>
            <w:tcW w:w="900" w:type="dxa"/>
            <w:vAlign w:val="bottom"/>
          </w:tcPr>
          <w:p>
            <w:pPr>
              <w:spacing w:after="0"/>
              <w:rPr>
                <w:sz w:val="18"/>
                <w:szCs w:val="18"/>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w w:val="93"/>
              </w:rPr>
              <w:t>(eXtensible Business Reporting Language): (i) the Consolidated Balance Sheets; (ii) the Consolidated Statements of Operations; (iii) the</w:t>
            </w:r>
          </w:p>
        </w:tc>
      </w:tr>
      <w:tr>
        <w:trPr>
          <w:trHeight w:val="222"/>
        </w:trPr>
        <w:tc>
          <w:tcPr>
            <w:tcW w:w="900" w:type="dxa"/>
            <w:vAlign w:val="bottom"/>
          </w:tcPr>
          <w:p>
            <w:pPr>
              <w:spacing w:after="0"/>
              <w:rPr>
                <w:sz w:val="19"/>
                <w:szCs w:val="19"/>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Consolidated Statements of Cash Flows; and (iv) notes to the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line="286"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Furnished herewith. This certificate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ind w:left="460" w:right="26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MERCURY COMPUTER SYSTEMS, INC.</w:t>
      </w:r>
    </w:p>
    <w:p>
      <w:pPr>
        <w:spacing w:after="0" w:line="171"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Chelmsford, Massachusetts, on May 3,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MERCURY COMPUTER SYSTEMS, INC.</w:t>
      </w:r>
    </w:p>
    <w:p>
      <w:pPr>
        <w:spacing w:after="0" w:line="225" w:lineRule="exact"/>
        <w:rPr>
          <w:sz w:val="20"/>
          <w:szCs w:val="20"/>
          <w:color w:val="auto"/>
        </w:rPr>
      </w:pPr>
    </w:p>
    <w:p>
      <w:pPr>
        <w:ind w:left="6860"/>
        <w:spacing w:after="0"/>
        <w:tabs>
          <w:tab w:leader="none" w:pos="8360" w:val="left"/>
          <w:tab w:leader="none" w:pos="8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M. B</w:t>
      </w:r>
      <w:r>
        <w:rPr>
          <w:rFonts w:ascii="Arial" w:cs="Arial" w:eastAsia="Arial" w:hAnsi="Arial"/>
          <w:sz w:val="13"/>
          <w:szCs w:val="13"/>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2"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Kevin M. Bisson</w:t>
      </w:r>
    </w:p>
    <w:p>
      <w:pPr>
        <w:jc w:val="center"/>
        <w:ind w:left="7280"/>
        <w:spacing w:after="0" w:line="223" w:lineRule="auto"/>
        <w:rPr>
          <w:sz w:val="20"/>
          <w:szCs w:val="20"/>
          <w:color w:val="auto"/>
        </w:rPr>
      </w:pPr>
      <w:r>
        <w:rPr>
          <w:rFonts w:ascii="Arial" w:cs="Arial" w:eastAsia="Arial" w:hAnsi="Arial"/>
          <w:sz w:val="14"/>
          <w:szCs w:val="14"/>
          <w:b w:val="1"/>
          <w:bCs w:val="1"/>
          <w:color w:val="auto"/>
        </w:rPr>
        <w:t>Senior Vice President,</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2"/>
          <w:szCs w:val="12"/>
          <w:b w:val="1"/>
          <w:bCs w:val="1"/>
          <w:color w:val="auto"/>
        </w:rPr>
        <w:t>Chief Financial Officer and Treasurer</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500"/>
          </w:cols>
          <w:pgMar w:left="240" w:top="459" w:right="11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9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Computer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1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2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3, 2012</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Mark Aslett</w:t>
      </w:r>
    </w:p>
    <w:p>
      <w:pPr>
        <w:jc w:val="center"/>
        <w:ind w:right="68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Kevin M. Bisson, certify that:</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Computer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1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2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3, 2012</w:t>
      </w:r>
    </w:p>
    <w:p>
      <w:pPr>
        <w:spacing w:after="0" w:line="212" w:lineRule="exact"/>
        <w:rPr>
          <w:sz w:val="20"/>
          <w:szCs w:val="20"/>
          <w:color w:val="auto"/>
        </w:rPr>
      </w:pPr>
    </w:p>
    <w:p>
      <w:pPr>
        <w:ind w:left="1320"/>
        <w:spacing w:after="0"/>
        <w:tabs>
          <w:tab w:leader="none" w:pos="16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EVIN</w:t>
      </w:r>
      <w:r>
        <w:rPr>
          <w:rFonts w:ascii="Arial" w:cs="Arial" w:eastAsia="Arial" w:hAnsi="Arial"/>
          <w:sz w:val="18"/>
          <w:szCs w:val="18"/>
          <w:color w:val="auto"/>
        </w:rPr>
        <w:t xml:space="preserve"> M. B</w:t>
      </w:r>
      <w:r>
        <w:rPr>
          <w:rFonts w:ascii="Arial" w:cs="Arial" w:eastAsia="Arial" w:hAnsi="Arial"/>
          <w:sz w:val="14"/>
          <w:szCs w:val="14"/>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Kevin M. Bisson</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line="222" w:lineRule="auto"/>
        <w:rPr>
          <w:sz w:val="20"/>
          <w:szCs w:val="20"/>
          <w:color w:val="auto"/>
        </w:rPr>
      </w:pPr>
      <w:r>
        <w:rPr>
          <w:rFonts w:ascii="Arial" w:cs="Arial" w:eastAsia="Arial" w:hAnsi="Arial"/>
          <w:sz w:val="14"/>
          <w:szCs w:val="14"/>
          <w:b w:val="1"/>
          <w:bCs w:val="1"/>
          <w:color w:val="auto"/>
        </w:rPr>
        <w:t>CHIEF FINANCIAL OFFICER AND TREASURER</w:t>
      </w:r>
    </w:p>
    <w:p>
      <w:pPr>
        <w:jc w:val="center"/>
        <w:ind w:right="68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connection with the Quarterly Report of Mercury Computer Systems, Inc. (the “Company”) on Form 10-Q for the period ended March 31, 2012 as filed with the Securities and Exchange Commission (the “Report”), each of, Mark Aslett, President and Chief Executive Officer of the Company, and Kevin M. Bisson, Senior Vice President, Chief Financial Officer and Treasurer of the Company, certify, pursuant to Section 1350 of Chapter 63 of Title 18, United States Code, that to his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3, 2012</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Mark Aslett</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5" w:lineRule="exact"/>
        <w:rPr>
          <w:sz w:val="20"/>
          <w:szCs w:val="20"/>
          <w:color w:val="auto"/>
        </w:rPr>
      </w:pPr>
    </w:p>
    <w:p>
      <w:pPr>
        <w:ind w:left="1320"/>
        <w:spacing w:after="0"/>
        <w:tabs>
          <w:tab w:leader="none" w:pos="16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EVIN</w:t>
      </w:r>
      <w:r>
        <w:rPr>
          <w:rFonts w:ascii="Arial" w:cs="Arial" w:eastAsia="Arial" w:hAnsi="Arial"/>
          <w:sz w:val="18"/>
          <w:szCs w:val="18"/>
          <w:color w:val="auto"/>
        </w:rPr>
        <w:t xml:space="preserve"> M. B</w:t>
      </w:r>
      <w:r>
        <w:rPr>
          <w:rFonts w:ascii="Arial" w:cs="Arial" w:eastAsia="Arial" w:hAnsi="Arial"/>
          <w:sz w:val="14"/>
          <w:szCs w:val="14"/>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Kevin M. Bisson</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upperLetter"/>
      <w:start w:val="7"/>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2019-12-09T13:13:30Z</dcterms:created>
  <dcterms:modified xsi:type="dcterms:W3CDTF">2019-12-09T13:13:30Z</dcterms:modified>
</cp:coreProperties>
</file>