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DECEMBER 31, 2010</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sz w:val="24"/>
          <w:szCs w:val="24"/>
          <w:color w:val="auto"/>
        </w:rPr>
      </w:pPr>
    </w:p>
    <w:p>
      <w:pPr>
        <w:ind w:left="460"/>
        <w:spacing w:after="0"/>
        <w:tabs>
          <w:tab w:leader="none" w:pos="610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2"/>
          <w:szCs w:val="22"/>
          <w:b w:val="1"/>
          <w:bCs w:val="1"/>
          <w:color w:val="auto"/>
        </w:rPr>
        <w:t>TO</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MERCURY COMPUTER SYSTEMS,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MASSACHUSETTS</w:t>
            </w:r>
          </w:p>
        </w:tc>
        <w:tc>
          <w:tcPr>
            <w:tcW w:w="520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40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incorporation or organization)</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87"/>
              </w:rPr>
              <w:t>Identification No.)</w:t>
            </w:r>
          </w:p>
        </w:tc>
      </w:tr>
      <w:tr>
        <w:trPr>
          <w:trHeight w:val="337"/>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7"/>
              </w:rPr>
              <w:t>201 RIVERNECK ROAD</w:t>
            </w:r>
          </w:p>
        </w:tc>
        <w:tc>
          <w:tcPr>
            <w:tcW w:w="5200" w:type="dxa"/>
            <w:vAlign w:val="bottom"/>
          </w:tcPr>
          <w:p>
            <w:pPr>
              <w:spacing w:after="0"/>
              <w:rPr>
                <w:sz w:val="24"/>
                <w:szCs w:val="24"/>
                <w:color w:val="auto"/>
              </w:rPr>
            </w:pPr>
          </w:p>
        </w:tc>
      </w:tr>
      <w:tr>
        <w:trPr>
          <w:trHeight w:val="231"/>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CHELMSFORD, MA</w:t>
            </w:r>
          </w:p>
        </w:tc>
        <w:tc>
          <w:tcPr>
            <w:tcW w:w="520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360" w:type="dxa"/>
            <w:vAlign w:val="bottom"/>
          </w:tcPr>
          <w:p>
            <w:pPr>
              <w:spacing w:after="0"/>
              <w:rPr>
                <w:sz w:val="24"/>
                <w:szCs w:val="24"/>
                <w:color w:val="auto"/>
              </w:rPr>
            </w:pPr>
          </w:p>
        </w:tc>
        <w:tc>
          <w:tcPr>
            <w:tcW w:w="5200" w:type="dxa"/>
            <w:vAlign w:val="bottom"/>
          </w:tcPr>
          <w:p>
            <w:pPr>
              <w:jc w:val="right"/>
              <w:ind w:right="296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60" w:type="dxa"/>
            <w:vAlign w:val="bottom"/>
          </w:tcPr>
          <w:p>
            <w:pPr>
              <w:spacing w:after="0"/>
              <w:rPr>
                <w:sz w:val="15"/>
                <w:szCs w:val="15"/>
                <w:color w:val="auto"/>
              </w:rPr>
            </w:pPr>
          </w:p>
        </w:tc>
        <w:tc>
          <w:tcPr>
            <w:tcW w:w="520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40" w:val="left"/>
          <w:tab w:leader="none" w:pos="3500" w:val="left"/>
          <w:tab w:leader="none" w:pos="5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66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Shares of Common Stock outstanding as of January 31, 2011: 24,564,949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20" w:type="dxa"/>
            <w:vAlign w:val="bottom"/>
            <w:gridSpan w:val="7"/>
            <w:vMerge w:val="restart"/>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900" w:type="dxa"/>
            <w:vAlign w:val="bottom"/>
            <w:gridSpan w:val="9"/>
            <w:vMerge w:val="restart"/>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0000EE"/>
            </w:tcBorders>
            <w:gridSpan w:val="7"/>
            <w:vMerge w:val="continue"/>
          </w:tcPr>
          <w:p>
            <w:pPr>
              <w:spacing w:after="0"/>
              <w:rPr>
                <w:sz w:val="14"/>
                <w:szCs w:val="14"/>
                <w:color w:val="auto"/>
              </w:rPr>
            </w:pPr>
          </w:p>
        </w:tc>
        <w:tc>
          <w:tcPr>
            <w:tcW w:w="7900" w:type="dxa"/>
            <w:vAlign w:val="bottom"/>
            <w:gridSpan w:val="9"/>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02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516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as of December 31, 2010 and June 30, 2010</w:t>
              </w:r>
            </w:hyperlink>
          </w:p>
        </w:tc>
        <w:tc>
          <w:tcPr>
            <w:tcW w:w="422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six months ended December 31, 2010 and 2009</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7320" w:type="dxa"/>
            <w:vAlign w:val="bottom"/>
            <w:tcBorders>
              <w:top w:val="single" w:sz="8" w:color="0000EE"/>
            </w:tcBorders>
            <w:gridSpan w:val="14"/>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Cash Flows for the six months ended December 31, 2010 and 2009</w:t>
              </w:r>
            </w:hyperlink>
          </w:p>
        </w:tc>
        <w:tc>
          <w:tcPr>
            <w:tcW w:w="20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668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70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Management’s Discussion and Analysis of Financial Condition and Results of Operations</w:t>
              </w:r>
            </w:hyperlink>
          </w:p>
        </w:tc>
        <w:tc>
          <w:tcPr>
            <w:tcW w:w="308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518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Controls and Procedures</w:t>
              </w:r>
            </w:hyperlink>
          </w:p>
        </w:tc>
        <w:tc>
          <w:tcPr>
            <w:tcW w:w="76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PART II. OTHER INFORMATION</w:t>
              </w:r>
            </w:hyperlink>
          </w:p>
        </w:tc>
        <w:tc>
          <w:tcPr>
            <w:tcW w:w="820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808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8500" w:type="dxa"/>
            <w:vAlign w:val="bottom"/>
            <w:gridSpan w:val="1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Exhibits</w:t>
              </w:r>
            </w:hyperlink>
          </w:p>
        </w:tc>
        <w:tc>
          <w:tcPr>
            <w:tcW w:w="880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Signatures</w:t>
              </w:r>
            </w:hyperlink>
          </w:p>
        </w:tc>
        <w:tc>
          <w:tcPr>
            <w:tcW w:w="864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5160" w:type="dxa"/>
            <w:vAlign w:val="bottom"/>
            <w:gridSpan w:val="11"/>
          </w:tcPr>
          <w:p>
            <w:pPr>
              <w:ind w:left="43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760" w:type="dxa"/>
            <w:vAlign w:val="bottom"/>
          </w:tcPr>
          <w:p>
            <w:pPr>
              <w:jc w:val="center"/>
              <w:ind w:left="1252"/>
              <w:spacing w:after="0"/>
              <w:rPr>
                <w:sz w:val="20"/>
                <w:szCs w:val="20"/>
                <w:color w:val="auto"/>
              </w:rPr>
            </w:pPr>
            <w:r>
              <w:rPr>
                <w:rFonts w:ascii="Arial" w:cs="Arial" w:eastAsia="Arial" w:hAnsi="Arial"/>
                <w:sz w:val="18"/>
                <w:szCs w:val="18"/>
                <w:b w:val="1"/>
                <w:bCs w:val="1"/>
                <w:color w:val="auto"/>
                <w:w w:val="99"/>
              </w:rPr>
              <w:t>PART I. FINANCIAL INFORMATION</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76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760" w:type="dxa"/>
            <w:vAlign w:val="bottom"/>
          </w:tcPr>
          <w:p>
            <w:pPr>
              <w:jc w:val="center"/>
              <w:ind w:left="1252"/>
              <w:spacing w:after="0"/>
              <w:rPr>
                <w:sz w:val="20"/>
                <w:szCs w:val="20"/>
                <w:color w:val="auto"/>
              </w:rPr>
            </w:pPr>
            <w:r>
              <w:rPr>
                <w:rFonts w:ascii="Arial" w:cs="Arial" w:eastAsia="Arial" w:hAnsi="Arial"/>
                <w:sz w:val="18"/>
                <w:szCs w:val="18"/>
                <w:b w:val="1"/>
                <w:bCs w:val="1"/>
                <w:color w:val="auto"/>
                <w:w w:val="98"/>
              </w:rPr>
              <w:t>MERCURY COMPUTER SYSTEMS, INC.</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76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CONSOLIDATED BALANCE SHEETS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760" w:type="dxa"/>
            <w:vAlign w:val="bottom"/>
          </w:tcPr>
          <w:p>
            <w:pPr>
              <w:jc w:val="center"/>
              <w:ind w:left="1272"/>
              <w:spacing w:after="0"/>
              <w:rPr>
                <w:sz w:val="20"/>
                <w:szCs w:val="20"/>
                <w:color w:val="auto"/>
              </w:rPr>
            </w:pPr>
            <w:r>
              <w:rPr>
                <w:rFonts w:ascii="Arial" w:cs="Arial" w:eastAsia="Arial" w:hAnsi="Arial"/>
                <w:sz w:val="18"/>
                <w:szCs w:val="18"/>
                <w:color w:val="auto"/>
                <w:w w:val="85"/>
              </w:rPr>
              <w:t>(In thousands, except share and per share data)</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760" w:type="dxa"/>
            <w:vAlign w:val="bottom"/>
          </w:tcPr>
          <w:p>
            <w:pPr>
              <w:jc w:val="center"/>
              <w:ind w:left="1252"/>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88,437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Marketable securities and related receivables</w:t>
            </w:r>
          </w:p>
        </w:tc>
        <w:tc>
          <w:tcPr>
            <w:tcW w:w="16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$163 at December 31, 2010 and June 30, 2010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28,919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3,883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20,634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4,957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149,910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11,061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57,653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intangible assets,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231,634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40" w:type="dxa"/>
            <w:vAlign w:val="bottom"/>
          </w:tcPr>
          <w:p>
            <w:pPr>
              <w:spacing w:after="0"/>
              <w:rPr>
                <w:sz w:val="5"/>
                <w:szCs w:val="5"/>
                <w:color w:val="auto"/>
              </w:rPr>
            </w:pPr>
          </w:p>
        </w:tc>
        <w:tc>
          <w:tcPr>
            <w:tcW w:w="8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5,492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10,709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28,853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6,135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1,798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38,731</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w w:val="90"/>
              </w:rPr>
              <w:t>Common stock, $.01 par value; 85,000,000 shares authorized; 23,228,727 and 22,883,314 shares issued and outstanding at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December 31, 2010 and June 30, 2010, respectively</w:t>
            </w: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115,005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76,484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192,903</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179,112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231,634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55,513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45,158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107,621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92,589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23,873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19,293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31,640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25,865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14,019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13,485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10,479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9,901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21,378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25,122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23,951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50,537</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6,518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11,763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6,879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12,638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5,183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8,865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income taxes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0.37</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23,099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22,500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23,998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22,870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23,704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5,183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2,071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8,813</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unrealized loss on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8,813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3,616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2,923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Provision (benefit) for 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stock-based compensation, net of APIC pool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11,112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(2,988)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(4,909)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(1,613)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17,453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18,025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(3,598)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sale of discontinued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Payments for acquired intangible assets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(2,175)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12,252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(2,782)</w:t>
            </w:r>
          </w:p>
        </w:tc>
        <w:tc>
          <w:tcPr>
            <w:tcW w:w="0" w:type="dxa"/>
            <w:vAlign w:val="bottom"/>
          </w:tcPr>
          <w:p>
            <w:pPr>
              <w:spacing w:after="0"/>
              <w:rPr>
                <w:sz w:val="1"/>
                <w:szCs w:val="1"/>
                <w:color w:val="auto"/>
              </w:rPr>
            </w:pPr>
          </w:p>
        </w:tc>
      </w:tr>
      <w:tr>
        <w:trPr>
          <w:trHeight w:val="222"/>
        </w:trPr>
        <w:tc>
          <w:tcPr>
            <w:tcW w:w="9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Payments under line of credit</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Payments of capital lease obligations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2,466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32,196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56,241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46,950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88,437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52,197</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Income taxes,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disclosures—non-cash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Issuance of restricted stock awards to employees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7,126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Capital lease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Mercury Computer Systems, Inc. (the “Company” or “Mercury”) designs, manufactures and markets high-performance embedded, real-time digital signal and image processing systems and software for specialized defense and commercial computing markets. The Company’s solutions play a critical role in a wide range of applications, transforming sensor data to information for analysis and interpretation. In military reconnaissance and surveillance platforms, the Company’s systems process real-time radar, video, sonar and signals intelligence data. The Company’s systems are also used in semiconductor imaging applications, including photomask generation and wafer inspection. The Company also provides radio frequency products for enhanced communications capabilities in military and commercial applications. Additionally, the Company entered the defense prime contracting market space in fiscal 2008 through the creation of its wholly-owned subsidiary, Mercury Federal Systems, Inc., (“MFS”) to focus on reaching the federal intelligence and homeland security agencies.</w:t>
      </w:r>
    </w:p>
    <w:p>
      <w:pPr>
        <w:spacing w:after="0" w:line="118"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Company’s products and solutions address mission-critical requirements within the defense industry for C4ISR (command, control, communications, computers, intelligence, surveillance and reconnaissance) and electronic warfare, or EW, systems and services, which target several markets including maritime defense, airborne reconnaissance, ballistic missile defense, ground mobile and force protection systems, and tactical communications and network systems. The Company’s products are deployed in over 300 different programs across 26 different prime defense contractors.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2010 which are contained in the Company’s Annual Report on Form 10-K filed with the Securities and Exchange Commission (“SEC”) on August 19, 2010. The results for the three and six months ended December 31, 2010 are not necessarily indicative of the results to be expected for the full fiscal year.</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ECENTLY</w:t>
      </w:r>
      <w:r>
        <w:rPr>
          <w:rFonts w:ascii="Arial" w:cs="Arial" w:eastAsia="Arial" w:hAnsi="Arial"/>
          <w:sz w:val="18"/>
          <w:szCs w:val="18"/>
          <w:color w:val="auto"/>
        </w:rPr>
        <w:t xml:space="preserve"> A</w:t>
      </w:r>
      <w:r>
        <w:rPr>
          <w:rFonts w:ascii="Arial" w:cs="Arial" w:eastAsia="Arial" w:hAnsi="Arial"/>
          <w:sz w:val="14"/>
          <w:szCs w:val="14"/>
          <w:color w:val="auto"/>
        </w:rPr>
        <w:t>DOPTED</w:t>
      </w:r>
      <w:r>
        <w:rPr>
          <w:rFonts w:ascii="Arial" w:cs="Arial" w:eastAsia="Arial" w:hAnsi="Arial"/>
          <w:sz w:val="18"/>
          <w:szCs w:val="18"/>
          <w:color w:val="auto"/>
        </w:rPr>
        <w:t xml:space="preserve"> A</w:t>
      </w:r>
      <w:r>
        <w:rPr>
          <w:rFonts w:ascii="Arial" w:cs="Arial" w:eastAsia="Arial" w:hAnsi="Arial"/>
          <w:sz w:val="14"/>
          <w:szCs w:val="14"/>
          <w:color w:val="auto"/>
        </w:rPr>
        <w:t>CCOUNTING</w:t>
      </w:r>
      <w:r>
        <w:rPr>
          <w:rFonts w:ascii="Arial" w:cs="Arial" w:eastAsia="Arial" w:hAnsi="Arial"/>
          <w:sz w:val="18"/>
          <w:szCs w:val="18"/>
          <w:color w:val="auto"/>
        </w:rPr>
        <w:t xml:space="preserve"> P</w:t>
      </w:r>
      <w:r>
        <w:rPr>
          <w:rFonts w:ascii="Arial" w:cs="Arial" w:eastAsia="Arial" w:hAnsi="Arial"/>
          <w:sz w:val="14"/>
          <w:szCs w:val="14"/>
          <w:color w:val="auto"/>
        </w:rPr>
        <w:t>RONOUNCEMENTS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Effective March 31, 2010, the Financial Accounting Standards Board (“FASB”) amended Accounting Standard Codification (“ASC”) Topic 350, </w:t>
      </w:r>
      <w:r>
        <w:rPr>
          <w:rFonts w:ascii="Arial" w:cs="Arial" w:eastAsia="Arial" w:hAnsi="Arial"/>
          <w:sz w:val="16"/>
          <w:szCs w:val="16"/>
          <w:i w:val="1"/>
          <w:iCs w:val="1"/>
          <w:color w:val="auto"/>
        </w:rPr>
        <w:t xml:space="preserve">Intangibles—Goodwill and Other </w:t>
      </w:r>
      <w:r>
        <w:rPr>
          <w:rFonts w:ascii="Arial" w:cs="Arial" w:eastAsia="Arial" w:hAnsi="Arial"/>
          <w:sz w:val="16"/>
          <w:szCs w:val="16"/>
          <w:color w:val="auto"/>
        </w:rPr>
        <w:t>(“FASB ASC 350”), formerly FASB Statement No. 142,</w:t>
      </w:r>
      <w:r>
        <w:rPr>
          <w:rFonts w:ascii="Arial" w:cs="Arial" w:eastAsia="Arial" w:hAnsi="Arial"/>
          <w:sz w:val="16"/>
          <w:szCs w:val="16"/>
          <w:i w:val="1"/>
          <w:iCs w:val="1"/>
          <w:color w:val="auto"/>
        </w:rPr>
        <w:t xml:space="preserve"> Goodwill and Other Intangible Assets</w:t>
      </w:r>
      <w:r>
        <w:rPr>
          <w:rFonts w:ascii="Arial" w:cs="Arial" w:eastAsia="Arial" w:hAnsi="Arial"/>
          <w:sz w:val="16"/>
          <w:szCs w:val="16"/>
          <w:color w:val="auto"/>
        </w:rPr>
        <w:t>, paragraph 20-50,</w:t>
      </w:r>
      <w:r>
        <w:rPr>
          <w:rFonts w:ascii="Arial" w:cs="Arial" w:eastAsia="Arial" w:hAnsi="Arial"/>
          <w:sz w:val="16"/>
          <w:szCs w:val="16"/>
          <w:i w:val="1"/>
          <w:iCs w:val="1"/>
          <w:color w:val="auto"/>
        </w:rPr>
        <w:t xml:space="preserve"> Goodwill Disclosures</w:t>
      </w:r>
      <w:r>
        <w:rPr>
          <w:rFonts w:ascii="Arial" w:cs="Arial" w:eastAsia="Arial" w:hAnsi="Arial"/>
          <w:sz w:val="16"/>
          <w:szCs w:val="16"/>
          <w:color w:val="auto"/>
        </w:rPr>
        <w:t>, to require an entity to disclose accumulated goodwill impairment losses in the rollforward of goodwill for years beginning after December 15, 2008.</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staff clarified that the intent of the amendment was to include accumulated goodwill impairment losses in the rollforward from the adoption date of FASB ASC 350. There are no accumulated goodwill impairment losses at December 31,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Multiple-Deliverable Arrangements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the three and six months ended December 31, 2010 was approximately 48% and 51% of total revenues, respectively. Revenue recognized under multiple-deliverable arrangements in the three and six months ended December 31, 2009 was approximately 52% and 56% of total revenues, respectively. The majority of the Company’s multiple-deliverable revenue arrangements typically ship complete within the same quarter.</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the FASB Accounting Standards Update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could be resold by the customer. Further, the Company’s revenue arrangements generally do not include a general right of return relative to delivered products.</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allocates arrangement consideration to each deliverable in an arrangement based on its relative selling price. The Company determines the selling price of its deliverables based on the following hierarchy: (1) vendor-specific objective evidence (“VSOE”) if available; (2) third-party evidence (“TPE”) if VSOE is not available; and (3) best estimated selling price (“BESP”) if neither VSOE nor TPE is available. The Company is not able to establish TPE due to the nature of the markets in which the Company competes, and, as such, the Company determines selling price using VSOE or BESP.</w:t>
      </w:r>
    </w:p>
    <w:p>
      <w:pPr>
        <w:spacing w:after="0" w:line="11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the Company can determine VSOE for the product or service. The Company defines VSOE as a median price of recent standalone transactions that are priced within a narrow range, as defined by the Company.</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Company’s determination of BESP involves a weighting of several factors based on the specific facts and circumstances of the arrangement. Specifically, the Company considers the cost to produce the deliverable, the anticipated margin on that deliverable, the selling price and profit margin for similar parts, the Company’s ongoing pricing strategy and policies (as evident in the price list as established and updated on a regular basis), the value of any enhancements that have been built into the deliverable and the characteristics of the varying markets in which the deliverable is sold. The Company will determine BESP for deliverables in future agreements based on the specific facts and circumstances of each arrangement.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are analyzed on a more frequent basis if a significant change in the Company’s business necessitates a more timely analysis or if the Company experiences significant fluctuations in the selling prices of its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Net Earnings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earnings (loss)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ind w:left="3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6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(Loss) income from discontinued operations, net of income taxes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5,183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2,071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8,813</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share—basic</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23,099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22,500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Effect of dilutive equity instruments</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share—diluted</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23,998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22,870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per share—basic</w:t>
            </w: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share—diluted</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Weighted average equity instruments to purchase 767 and 945 shares of common stock were not included in the calculation of diluted net earnings per share for the three and six months ended December 31, 2010, respectively, because the equity instruments were anti-dilutive. Weighted average equity instruments to purchase 1,701 and 2,049 shares of common stock were not included in the calculation of diluted net earnings per share for the three and six months ended December 31, 2009, respectively, because the equity instruments were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Marketable Securities and Related Receivables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no marketable securities and related receivables at December 31, 2010. The Company’s cash and cash equivalents are invested in money market funds at highly rated financial institutions and all the Company’s holdings are considered level 1 financial instruments valued at fair value determined through market, observable, and corroborated sources.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June 30, 2010, the Company exercised the put option to sell its remaining $18,025 auction rate securities (“ARS”) balance to UBS at par value. The transaction settled on July 1, 2010. As a result of the transaction, the Company had a receivable balance of $18,025 from UBS as of June 30, 2010. The receivable balance was considered a level 1 financial instrument and its fair value was equivalent to the cash that was received on July 1, 2010. The realized net gains on the ARS in fiscal 2010 were not material.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 Inventory was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700" w:type="dxa"/>
            <w:vAlign w:val="bottom"/>
            <w:gridSpan w:val="2"/>
          </w:tcPr>
          <w:p>
            <w:pPr>
              <w:spacing w:after="0"/>
              <w:rPr>
                <w:sz w:val="14"/>
                <w:szCs w:val="14"/>
                <w:color w:val="auto"/>
              </w:rPr>
            </w:pPr>
          </w:p>
        </w:tc>
        <w:tc>
          <w:tcPr>
            <w:tcW w:w="5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Work in process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7,427</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70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720" w:type="dxa"/>
            <w:vAlign w:val="bottom"/>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20,634</w:t>
            </w:r>
          </w:p>
        </w:tc>
        <w:tc>
          <w:tcPr>
            <w:tcW w:w="12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ind w:left="460"/>
              <w:spacing w:after="0"/>
              <w:rPr>
                <w:sz w:val="20"/>
                <w:szCs w:val="20"/>
                <w:color w:val="auto"/>
              </w:rPr>
            </w:pPr>
            <w:r>
              <w:rPr>
                <w:rFonts w:ascii="Arial" w:cs="Arial" w:eastAsia="Arial" w:hAnsi="Arial"/>
                <w:sz w:val="18"/>
                <w:szCs w:val="18"/>
                <w:color w:val="auto"/>
                <w:w w:val="94"/>
              </w:rPr>
              <w:t>There are no amounts in inventory relating to contracts having production cycles longer than one year.</w:t>
            </w: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G. Property and Equipment</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8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consisted of the following:</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49,718</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6,867</w:t>
            </w:r>
          </w:p>
        </w:tc>
        <w:tc>
          <w:tcPr>
            <w:tcW w:w="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61,258</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(50,197)</w:t>
            </w:r>
          </w:p>
        </w:tc>
        <w:tc>
          <w:tcPr>
            <w:tcW w:w="1380" w:type="dxa"/>
            <w:vAlign w:val="bottom"/>
            <w:gridSpan w:val="4"/>
          </w:tcPr>
          <w:p>
            <w:pPr>
              <w:jc w:val="right"/>
              <w:ind w:right="40"/>
              <w:spacing w:after="0"/>
              <w:rPr>
                <w:sz w:val="20"/>
                <w:szCs w:val="20"/>
                <w:color w:val="auto"/>
              </w:rPr>
            </w:pPr>
            <w:r>
              <w:rPr>
                <w:rFonts w:ascii="Arial" w:cs="Arial" w:eastAsia="Arial" w:hAnsi="Arial"/>
                <w:sz w:val="18"/>
                <w:szCs w:val="18"/>
                <w:color w:val="auto"/>
              </w:rPr>
              <w:t>(51,263)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$ 10,298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related to property and equipment for the three and six months ended December 31, 2010 was $1,552 and $2,980,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property and equipment for the three and six months ended December 31, 2009 was $1,224 and $2,478,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Goodwill and Acquired Intangible Assets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The carrying amount of goodwill at December 31, 2010 and June 30, 2010 was $57,653. In the six months ended December 31, 2010, there were no triggering events, as defined by FASB ASC Topic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(“FASB ASC 350”), which required an interim goodwill impairment test. The Company performs its annual goodwill impairment test in the fourth quarter of each fiscal year.</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Advanced Computing Solutions (“ACS”) and MFS. As of June 30, 2010, ACS was the only reporting unit that had a goodwill balance, and as such, the annual impairment analysis was performed for this reporting unit only.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Gross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Net</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7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7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31, 2010</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7,200</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5.2 years</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trademarks and patents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2,979</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5.5 years</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271</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11,746</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3,250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309</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5.2 years</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Licensing agreements, trademarks and patents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514</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8.0 years</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318</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9,000</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(7,859)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1,141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six months ended December 31, 2010, the Company purchased two IP licenses for $2,746. These licenses were recorded as intangible assets and are being amortized over one and five years.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Estimated future amortization expense for acquired intangible assets remaining at December 31, 2010 is $603 for fiscal 2011, $830 for fiscal 2012, $706 for fiscal 2013, $512 for fiscal 2014, and $599 for fiscal 2015 and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8"/>
                <w:szCs w:val="18"/>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capital lease obligations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current portion of capital lease obligations is included in accrued expenses and the non-current portion is included in other non-current liabilities on the consolidated balance sheets at December 31, 2010 and June 30,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Borrowings Under UBS Line of Credit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June 30, 2010, there were no borrowings against the UBS line of credit. The UBS line of credit terminated on July 1, 2010 upon the settlement of the put option for our 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February 12, 2010, the Company entered into a loan and security agreement (the “Loan Agreement”) with Silicon Valley Bank (the “Lender”). The Loan Agreement provides for a $15,000 revolving line of credit (the “Revolver”) and a $20,000 acquisition line (the “Term Loan”). The Revolver is available for borrowing during a two-year period, with interest payable monthly and the principal due at the February 11, 2012 maturity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 the Revolver. The Term Loan is available for up to three separate borrowings, with total borrowings not to exceed $20,000, until February 11, 2012. The Term Loan has monthly interest and principal payments through the February 11, 2014 maturity of the Term Loan. The Term Loan was not used for the January 12, 2011 acquisition of LNX Corporation (see Note P).</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Loan Agreement bears interest, at the Company’s option, at a rate per annum equal to either: (i) the prime rate minus 0.25% to plus 0.25%; or (ii) the LIBOR rate plus 2.75% to 3.25%. The rates are based on the Company’s consolidated leverage ratio at the time of borrowing. For prime rate borrowings, the prime rate shall be the greater of: (i) 4.00%; or (ii) the Lender’s prime rate. The Company may not have LIBOR credit extensions having more than four different interest periods outstanding at any point in time. The Company is required to pay a fee on the daily unused portion of the Loan Agreement of 0.30% per annum. Borrowings under the Revolver are available for letters of credit, cash management services, working capital, general business purposes and foreign exchange. Borrowings under the Term Loan are available to fund acquisitions.</w:t>
      </w:r>
    </w:p>
    <w:p>
      <w:pPr>
        <w:spacing w:after="0" w:line="12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Borrowings under the Loan Agreement are secured by a first-priority security interest in all of the Company’s domestic assets, including intellectual property, but limited to 65% of the voting stock of foreign subsidiaries. The Company’s MFS subsidiary is a guarantor and has granted a security interest in its assets in favor of the Lender. The Lender may require Mercury Computer Systems Limited, the Company’s United Kingdom subsidiary, or Nihon Mercury Computer Systems, K.K., the Company’s Japanese subsidiary, to provide guarantees in the future if the cash or assets of such subsidiary exceed specified levels.</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Loan Agreement provides for conventional affirmative and negative covenants, including a minimum quick ratio of 1.5 to 1.0. If the Company has less than $10,000 of cash equivalents in accounts with the Lender in excess of the Company’s borrowings under the Loan Agreement, the Company must also satisfy a $15,000 minimum trailing-four-quarter cash-flow covenant. The minimum cash flow covenant is calculated as the Company’s trailing-four quarter adjusted EBITDA as defined in the Loan Agreement. In addition, the Loan Agreement contains certain customary representations and warranties and limits the Company’s and its subsidiaries’ ability to incur liens, dispose of assets, carry out certain mergers and acquisitions, make investments and capital expenditures and defines events of default and limitations on the Company and its subsidiaries to incur additional debt.</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has had no borrowings against its Term Loan and Revolver since inception and was in compliance with all covenants in the Loan Agreement as of 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number of shares authorized for issuance under the Company’s 2005 Stock Incentive Plan, as amended and restated (the “2005 Plan”), is 5,092 shares, which will be increased by any future cancellations, forfeitures or terminations (other than by exercise) under the Company’s 1997 Stock Option Plan (the “1997 Plan”). On October 21, 2010, the Company’s shareholders approved an increase in the number of shares authorized for issuance under the 2005 plan to 5,092, an increase of 1,000.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2,631 shares available for future grant under the 2005 Plan at December 31, 2010.</w:t>
      </w:r>
    </w:p>
    <w:p>
      <w:pPr>
        <w:spacing w:after="0" w:line="14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grant. The options typically vest over periods of zero to four years and have a maximum term of 10 years. Following shareholder approval of the 2005 Plan on November 14, 2005, the Company’s Board of Directors directed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1,100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54 and 50 shares issued under the ESPP during the six months ended December 31, 2010 and 2009, respectively. Shares available for future purchase under the ESPP totaled 199 at December 31,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2009:</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0"/>
              </w:rPr>
              <w:t>Options Outstanding</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Number of</w:t>
            </w:r>
          </w:p>
        </w:tc>
        <w:tc>
          <w:tcPr>
            <w:tcW w:w="460" w:type="dxa"/>
            <w:vAlign w:val="bottom"/>
          </w:tcPr>
          <w:p>
            <w:pPr>
              <w:spacing w:after="0"/>
              <w:rPr>
                <w:sz w:val="12"/>
                <w:szCs w:val="12"/>
                <w:color w:val="auto"/>
              </w:rPr>
            </w:pPr>
          </w:p>
        </w:tc>
        <w:tc>
          <w:tcPr>
            <w:tcW w:w="17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Weighted Average</w:t>
            </w:r>
          </w:p>
        </w:tc>
        <w:tc>
          <w:tcPr>
            <w:tcW w:w="3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Exercise Price</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4"/>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2,980</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10.41</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Cancelled</w:t>
            </w:r>
          </w:p>
        </w:tc>
        <w:tc>
          <w:tcPr>
            <w:tcW w:w="18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(294)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17.38</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18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2,612</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13.70</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13.70</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Cancelled</w:t>
            </w:r>
          </w:p>
        </w:tc>
        <w:tc>
          <w:tcPr>
            <w:tcW w:w="18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17.86</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2010</w:t>
            </w:r>
          </w:p>
        </w:tc>
        <w:tc>
          <w:tcPr>
            <w:tcW w:w="18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2,489</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13.86</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000" w:type="dxa"/>
            <w:vAlign w:val="bottom"/>
            <w:gridSpan w:val="11"/>
          </w:tcPr>
          <w:p>
            <w:pPr>
              <w:spacing w:after="0"/>
              <w:rPr>
                <w:sz w:val="20"/>
                <w:szCs w:val="20"/>
                <w:color w:val="auto"/>
              </w:rPr>
            </w:pPr>
            <w:r>
              <w:rPr>
                <w:rFonts w:ascii="Arial" w:cs="Arial" w:eastAsia="Arial" w:hAnsi="Arial"/>
                <w:sz w:val="18"/>
                <w:szCs w:val="18"/>
                <w:color w:val="auto"/>
                <w:w w:val="96"/>
              </w:rPr>
              <w:t>The following table summarizes the status of the Company’s non-vested restricted stock awards since June 30, 2009: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7"/>
          </w:tcPr>
          <w:p>
            <w:pPr>
              <w:ind w:left="320"/>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88"/>
              </w:rPr>
              <w:t>Number of</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(325)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2010</w:t>
            </w: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20" w:type="dxa"/>
            <w:vAlign w:val="bottom"/>
            <w:vMerge w:val="restart"/>
          </w:tcPr>
          <w:p>
            <w:pPr>
              <w:jc w:val="right"/>
              <w:ind w:right="272"/>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A</w:t>
      </w:r>
      <w:r>
        <w:rPr>
          <w:rFonts w:ascii="Arial" w:cs="Arial" w:eastAsia="Arial" w:hAnsi="Arial"/>
          <w:sz w:val="14"/>
          <w:szCs w:val="14"/>
          <w:color w:val="auto"/>
        </w:rPr>
        <w:t>SSUMPTIONS AND</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recognized the full impact of its share-based payment plans in the consolidated statements of operations for the three and six months ended December 31, 2010 and 2009 in accordance with FASB ASC 718, </w:t>
      </w:r>
      <w:r>
        <w:rPr>
          <w:rFonts w:ascii="Arial" w:cs="Arial" w:eastAsia="Arial" w:hAnsi="Arial"/>
          <w:sz w:val="16"/>
          <w:szCs w:val="16"/>
          <w:i w:val="1"/>
          <w:iCs w:val="1"/>
          <w:color w:val="auto"/>
        </w:rPr>
        <w:t>Compensation—Stock Compensation (“FASB ASC 718”)</w:t>
      </w:r>
      <w:r>
        <w:rPr>
          <w:rFonts w:ascii="Arial" w:cs="Arial" w:eastAsia="Arial" w:hAnsi="Arial"/>
          <w:sz w:val="16"/>
          <w:szCs w:val="16"/>
          <w:color w:val="auto"/>
        </w:rPr>
        <w:t>,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included in the Company’s consolidated statement of operations: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6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9"/>
              </w:rPr>
              <w:t>2010</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9"/>
              </w:rPr>
              <w:t>2010</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1,718</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1,633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1,536</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2,923</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2,025</w:t>
            </w:r>
          </w:p>
        </w:tc>
        <w:tc>
          <w:tcPr>
            <w:tcW w:w="10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the weighted-average key assumptions and fair value results for stock options granted during the three and six month periods ended December 31, 2010 and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6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6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12"/>
                <w:szCs w:val="12"/>
                <w:color w:val="auto"/>
              </w:rPr>
            </w:pPr>
          </w:p>
        </w:tc>
        <w:tc>
          <w:tcPr>
            <w:tcW w:w="6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2460" w:type="dxa"/>
            <w:vAlign w:val="bottom"/>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   7.33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7.17</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7.25</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7.17</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 life(1)</w:t>
            </w:r>
          </w:p>
        </w:tc>
        <w:tc>
          <w:tcPr>
            <w:tcW w:w="1040" w:type="dxa"/>
            <w:vAlign w:val="bottom"/>
          </w:tcPr>
          <w:p>
            <w:pPr>
              <w:spacing w:after="0"/>
              <w:rPr>
                <w:sz w:val="18"/>
                <w:szCs w:val="18"/>
                <w:color w:val="auto"/>
              </w:rPr>
            </w:pPr>
          </w:p>
        </w:tc>
        <w:tc>
          <w:tcPr>
            <w:tcW w:w="1420" w:type="dxa"/>
            <w:vAlign w:val="bottom"/>
            <w:gridSpan w:val="2"/>
          </w:tcPr>
          <w:p>
            <w:pPr>
              <w:jc w:val="right"/>
              <w:ind w:right="752"/>
              <w:spacing w:after="0"/>
              <w:rPr>
                <w:sz w:val="20"/>
                <w:szCs w:val="20"/>
                <w:color w:val="auto"/>
              </w:rPr>
            </w:pPr>
            <w:r>
              <w:rPr>
                <w:rFonts w:ascii="Arial" w:cs="Arial" w:eastAsia="Arial" w:hAnsi="Arial"/>
                <w:sz w:val="18"/>
                <w:szCs w:val="18"/>
                <w:color w:val="auto"/>
                <w:w w:val="98"/>
              </w:rPr>
              <w:t>5 years</w:t>
            </w: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5 years</w:t>
            </w:r>
          </w:p>
        </w:tc>
        <w:tc>
          <w:tcPr>
            <w:tcW w:w="1420" w:type="dxa"/>
            <w:vAlign w:val="bottom"/>
            <w:gridSpan w:val="2"/>
          </w:tcPr>
          <w:p>
            <w:pPr>
              <w:jc w:val="right"/>
              <w:ind w:right="752"/>
              <w:spacing w:after="0"/>
              <w:rPr>
                <w:sz w:val="20"/>
                <w:szCs w:val="20"/>
                <w:color w:val="auto"/>
              </w:rPr>
            </w:pPr>
            <w:r>
              <w:rPr>
                <w:rFonts w:ascii="Arial" w:cs="Arial" w:eastAsia="Arial" w:hAnsi="Arial"/>
                <w:sz w:val="18"/>
                <w:szCs w:val="18"/>
                <w:color w:val="auto"/>
                <w:w w:val="98"/>
              </w:rPr>
              <w:t>5 years</w:t>
            </w:r>
          </w:p>
        </w:tc>
        <w:tc>
          <w:tcPr>
            <w:tcW w:w="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 years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24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1.2%</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14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Stock volatility(3)</w:t>
            </w:r>
          </w:p>
        </w:tc>
        <w:tc>
          <w:tcPr>
            <w:tcW w:w="2460" w:type="dxa"/>
            <w:vAlign w:val="bottom"/>
            <w:gridSpan w:val="3"/>
          </w:tcPr>
          <w:p>
            <w:pPr>
              <w:jc w:val="right"/>
              <w:ind w:right="612"/>
              <w:spacing w:after="0"/>
              <w:rPr>
                <w:sz w:val="20"/>
                <w:szCs w:val="20"/>
                <w:color w:val="auto"/>
              </w:rPr>
            </w:pPr>
            <w:r>
              <w:rPr>
                <w:rFonts w:ascii="Arial" w:cs="Arial" w:eastAsia="Arial" w:hAnsi="Arial"/>
                <w:sz w:val="18"/>
                <w:szCs w:val="18"/>
                <w:color w:val="auto"/>
              </w:rPr>
              <w:t>61%</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87%</w:t>
            </w:r>
          </w:p>
        </w:tc>
        <w:tc>
          <w:tcPr>
            <w:tcW w:w="1420" w:type="dxa"/>
            <w:vAlign w:val="bottom"/>
            <w:gridSpan w:val="2"/>
          </w:tcPr>
          <w:p>
            <w:pPr>
              <w:jc w:val="right"/>
              <w:ind w:right="592"/>
              <w:spacing w:after="0"/>
              <w:rPr>
                <w:sz w:val="20"/>
                <w:szCs w:val="20"/>
                <w:color w:val="auto"/>
              </w:rPr>
            </w:pPr>
            <w:r>
              <w:rPr>
                <w:rFonts w:ascii="Arial" w:cs="Arial" w:eastAsia="Arial" w:hAnsi="Arial"/>
                <w:sz w:val="18"/>
                <w:szCs w:val="18"/>
                <w:color w:val="auto"/>
              </w:rPr>
              <w:t>63%</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4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Arial" w:cs="Arial" w:eastAsia="Arial" w:hAnsi="Arial"/>
          <w:sz w:val="16"/>
          <w:szCs w:val="16"/>
          <w:color w:val="auto"/>
        </w:rPr>
      </w:pPr>
    </w:p>
    <w:p>
      <w:pPr>
        <w:ind w:left="460" w:right="10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the weighted-average key assumptions and fair value results for employees’ stock purchase rights during the three and six month periods ended December 31, 2010 and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01"/>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 value of stock purchase rights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4"/>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9"/>
                <w:szCs w:val="19"/>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Option life</w:t>
            </w:r>
          </w:p>
        </w:tc>
        <w:tc>
          <w:tcPr>
            <w:tcW w:w="80" w:type="dxa"/>
            <w:vAlign w:val="bottom"/>
          </w:tcPr>
          <w:p>
            <w:pPr>
              <w:spacing w:after="0"/>
              <w:rPr>
                <w:sz w:val="18"/>
                <w:szCs w:val="18"/>
                <w:color w:val="auto"/>
              </w:rPr>
            </w:pPr>
          </w:p>
        </w:tc>
        <w:tc>
          <w:tcPr>
            <w:tcW w:w="1540" w:type="dxa"/>
            <w:vAlign w:val="bottom"/>
            <w:gridSpan w:val="2"/>
          </w:tcPr>
          <w:p>
            <w:pPr>
              <w:jc w:val="right"/>
              <w:ind w:right="812"/>
              <w:spacing w:after="0"/>
              <w:rPr>
                <w:sz w:val="20"/>
                <w:szCs w:val="20"/>
                <w:color w:val="auto"/>
              </w:rPr>
            </w:pPr>
            <w:r>
              <w:rPr>
                <w:rFonts w:ascii="Arial" w:cs="Arial" w:eastAsia="Arial" w:hAnsi="Arial"/>
                <w:sz w:val="18"/>
                <w:szCs w:val="18"/>
                <w:color w:val="auto"/>
                <w:w w:val="86"/>
              </w:rPr>
              <w:t>6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w w:val="86"/>
              </w:rPr>
              <w:t>6 months</w:t>
            </w:r>
          </w:p>
        </w:tc>
        <w:tc>
          <w:tcPr>
            <w:tcW w:w="100" w:type="dxa"/>
            <w:vAlign w:val="bottom"/>
          </w:tcPr>
          <w:p>
            <w:pPr>
              <w:spacing w:after="0"/>
              <w:rPr>
                <w:sz w:val="18"/>
                <w:szCs w:val="18"/>
                <w:color w:val="auto"/>
              </w:rPr>
            </w:pPr>
          </w:p>
        </w:tc>
        <w:tc>
          <w:tcPr>
            <w:tcW w:w="1560" w:type="dxa"/>
            <w:vAlign w:val="bottom"/>
            <w:gridSpan w:val="2"/>
          </w:tcPr>
          <w:p>
            <w:pPr>
              <w:jc w:val="right"/>
              <w:ind w:right="832"/>
              <w:spacing w:after="0"/>
              <w:rPr>
                <w:sz w:val="20"/>
                <w:szCs w:val="20"/>
                <w:color w:val="auto"/>
              </w:rPr>
            </w:pPr>
            <w:r>
              <w:rPr>
                <w:rFonts w:ascii="Arial" w:cs="Arial" w:eastAsia="Arial" w:hAnsi="Arial"/>
                <w:sz w:val="18"/>
                <w:szCs w:val="18"/>
                <w:color w:val="auto"/>
                <w:w w:val="86"/>
              </w:rPr>
              <w:t>6 months</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 months</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Stock volatility</w:t>
            </w:r>
          </w:p>
        </w:tc>
        <w:tc>
          <w:tcPr>
            <w:tcW w:w="80" w:type="dxa"/>
            <w:vAlign w:val="bottom"/>
          </w:tcPr>
          <w:p>
            <w:pPr>
              <w:spacing w:after="0"/>
              <w:rPr>
                <w:sz w:val="18"/>
                <w:szCs w:val="18"/>
                <w:color w:val="auto"/>
              </w:rPr>
            </w:pPr>
          </w:p>
        </w:tc>
        <w:tc>
          <w:tcPr>
            <w:tcW w:w="1540" w:type="dxa"/>
            <w:vAlign w:val="bottom"/>
            <w:gridSpan w:val="2"/>
          </w:tcPr>
          <w:p>
            <w:pPr>
              <w:jc w:val="right"/>
              <w:ind w:right="652"/>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560" w:type="dxa"/>
            <w:vAlign w:val="bottom"/>
            <w:gridSpan w:val="2"/>
          </w:tcPr>
          <w:p>
            <w:pPr>
              <w:jc w:val="right"/>
              <w:ind w:right="69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363"/>
        </w:trPr>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ind w:left="5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N</w:t>
      </w:r>
      <w:r>
        <w:rPr>
          <w:rFonts w:ascii="Arial" w:cs="Arial" w:eastAsia="Arial" w:hAnsi="Arial"/>
          <w:sz w:val="14"/>
          <w:szCs w:val="14"/>
          <w:color w:val="auto"/>
        </w:rPr>
        <w:t>ET</w:t>
      </w:r>
      <w:r>
        <w:rPr>
          <w:rFonts w:ascii="Arial" w:cs="Arial" w:eastAsia="Arial" w:hAnsi="Arial"/>
          <w:sz w:val="18"/>
          <w:szCs w:val="18"/>
          <w:color w:val="auto"/>
        </w:rPr>
        <w:t xml:space="preserve"> S</w:t>
      </w:r>
      <w:r>
        <w:rPr>
          <w:rFonts w:ascii="Arial" w:cs="Arial" w:eastAsia="Arial" w:hAnsi="Arial"/>
          <w:sz w:val="14"/>
          <w:szCs w:val="14"/>
          <w:color w:val="auto"/>
        </w:rPr>
        <w:t>ETTLEMENT</w:t>
      </w:r>
      <w:r>
        <w:rPr>
          <w:rFonts w:ascii="Arial" w:cs="Arial" w:eastAsia="Arial" w:hAnsi="Arial"/>
          <w:sz w:val="18"/>
          <w:szCs w:val="18"/>
          <w:color w:val="auto"/>
        </w:rPr>
        <w:t xml:space="preserve"> P</w:t>
      </w:r>
      <w:r>
        <w:rPr>
          <w:rFonts w:ascii="Arial" w:cs="Arial" w:eastAsia="Arial" w:hAnsi="Arial"/>
          <w:sz w:val="14"/>
          <w:szCs w:val="14"/>
          <w:color w:val="auto"/>
        </w:rPr>
        <w:t>ROGRAM</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fiscal 2010, the Company discontinued the net share settlement practice for settling vested restricted stock awards. Prior to this discontinuation, the Company could net settle shares in connection with the surrender of shares to cover the minimum taxes on vesting of restricted stock. During fiscal 2010, 42 shares were net settled in such transactions for a total cost of $433.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Income Tax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recorded tax expense of $1,696 and $330 for the three months ended December 31, 2010 and 2009, respectively, on income from continuing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operations before taxes of $6,879 and $2,245 for the three months ended December 31, 2010 and 2009, respectively. The Company recorded tax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$3,773 and $1,236 for the six months ended December 31, 2010 and 2009, respectively, on income from continuing operations before taxes of $12,638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$7,576 for the six months ended December 31, 2010 and 2009, respectively. Income tax expense for the three and six months ended December 31, 2010 differed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from the federal statutory rate primarily due to the impact of research and development tax credits and the impact of a Section 199 Manufacturing Deduction.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Income tax expense for the three and six months ended December 31, 2009 differed from the federal statutory rate primarily due to research and development tax</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credits and a decrease in the valuation allowance on deferred tax assets.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material changes in the Company’s unrecognized tax positions occurred during the three and six months ended December 31, 2010. The Company does not expect there to be any material changes in its reserves for unrecognized tax benefits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Restructuring Expense</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July 2009, the Company announced a restructuring plan within the ACS business unit (the “Q1 FY10 Plan”). This plan was enacted following the completion of the Company’s divestitures as part of the Company’s reorganization of part of its business operations. There were no expenses recorded during three and six months ended December 31, 2010 against the plan. The Company had a reversal of $19 for unused outplacement costs in the three months ended December 31, 2009 and recorded expense of $254 in the six months ended December 31, 2009 against this plan. At December 31, 2010, the Company has no restructuring liability in the consolidated balance sheet.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Operating Segment, Geographic Information and Significant Customers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The Company is organized in two business segments. These reportable segments were determined based upon the nature of the products offered to customers, the market characteristics of each operating segment and the Company’s management structure:</w:t>
      </w:r>
    </w:p>
    <w:p>
      <w:pPr>
        <w:spacing w:after="0" w:line="26" w:lineRule="exact"/>
        <w:rPr>
          <w:sz w:val="20"/>
          <w:szCs w:val="20"/>
          <w:color w:val="auto"/>
        </w:rPr>
      </w:pPr>
    </w:p>
    <w:p>
      <w:pPr>
        <w:ind w:left="900" w:right="3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Advanced Computing Solutions (“ACS”). This business unit is focused on specialized, high performance computing solutions with key market segments, including defense, semiconductor, and commercial computing. This segment also provides software and customized design services to meet the specified requirements of military and commercial applications.</w:t>
      </w:r>
    </w:p>
    <w:p>
      <w:pPr>
        <w:spacing w:after="0" w:line="59"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Mercury Federal Systems (“MFS”)</w:t>
      </w:r>
      <w:r>
        <w:rPr>
          <w:rFonts w:ascii="Arial" w:cs="Arial" w:eastAsia="Arial" w:hAnsi="Arial"/>
          <w:sz w:val="18"/>
          <w:szCs w:val="18"/>
          <w:i w:val="1"/>
          <w:iCs w:val="1"/>
          <w:color w:val="auto"/>
        </w:rPr>
        <w:t>.</w:t>
      </w:r>
      <w:r>
        <w:rPr>
          <w:rFonts w:ascii="Arial" w:cs="Arial" w:eastAsia="Arial" w:hAnsi="Arial"/>
          <w:sz w:val="18"/>
          <w:szCs w:val="18"/>
          <w:color w:val="auto"/>
        </w:rPr>
        <w:t xml:space="preserve"> This business unit is focused on services and support work with the Department of Defense and federal intelligence and homeland security agencies, including designing and engineering new ISR capabilities to address present and emerging threats to U.S. forces.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B: Summary of Significant Accounting Policies.” The profitability measure employed by the Company and its chief operating decision maker (“CODM”) for making decisions about allocating resources to segments and assessing segment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performance was income (loss) from operations prior to stock compensation expense. As such, stock-based compensation expense has been excluded from each operating segments’ income (loss) from operations below and reported separately to reconcile the reported segment income (loss) from operations to the consolidated operating income reported in the consolidated statements of operations.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ACS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MFS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Expense</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31, 2010</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51,893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3,565</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53,256</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3,565</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(1,308)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(1,633)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31, 2009</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42,081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3,077</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(1,965)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43,780</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3,343</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(1,965)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(1,536)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1,651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31, 2010</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102,369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5,419</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105,140</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5,419</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(2,938)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(2,923)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3,598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31, 2009</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86,440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6,149</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89,033</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6,485</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(2,929)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(2,025)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4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revenues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U.S.</w:t>
            </w:r>
          </w:p>
        </w:tc>
        <w:tc>
          <w:tcPr>
            <w:tcW w:w="50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Europe</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Asia Pacific</w:t>
            </w:r>
          </w:p>
        </w:tc>
        <w:tc>
          <w:tcPr>
            <w:tcW w:w="5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50,642</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$1,308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3,563</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(2,965)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53,062</w:t>
            </w:r>
          </w:p>
        </w:tc>
        <w:tc>
          <w:tcPr>
            <w:tcW w:w="50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3,590</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(2,965)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38,450</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$2,598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4,110</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(4,316)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42,642</w:t>
            </w:r>
          </w:p>
        </w:tc>
        <w:tc>
          <w:tcPr>
            <w:tcW w:w="50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4,184</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(4,316)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101,305</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$2,362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3,954</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(5,158)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105,181</w:t>
            </w:r>
          </w:p>
        </w:tc>
        <w:tc>
          <w:tcPr>
            <w:tcW w:w="50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3,524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4,074</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(5,158)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82,988</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$4,351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5,250</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(6,310)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89,043</w:t>
            </w:r>
          </w:p>
        </w:tc>
        <w:tc>
          <w:tcPr>
            <w:tcW w:w="50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5,385</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(6,310)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580" w:type="dxa"/>
            <w:vAlign w:val="bottom"/>
          </w:tcPr>
          <w:p>
            <w:pPr>
              <w:spacing w:after="0"/>
              <w:rPr>
                <w:sz w:val="14"/>
                <w:szCs w:val="1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Europe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Asia Pacific</w:t>
            </w:r>
          </w:p>
        </w:tc>
        <w:tc>
          <w:tcPr>
            <w:tcW w:w="5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$14,947</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$15,623</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June 30, 2010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$13,384</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5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716</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$14,121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Identifiable long-lived assets exclude goodwill, intangible assets, deferred tax accounts, and investments in other entities.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8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c>
          <w:tcPr>
            <w:tcW w:w="44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96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6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9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Company</w:t>
            </w:r>
          </w:p>
        </w:tc>
        <w:tc>
          <w:tcPr>
            <w:tcW w:w="13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w:t>
            </w:r>
          </w:p>
        </w:tc>
        <w:tc>
          <w:tcPr>
            <w:tcW w:w="12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46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Lockheed Martin Corporation</w:t>
            </w: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15%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260" w:type="dxa"/>
            <w:vAlign w:val="bottom"/>
            <w:gridSpan w:val="2"/>
          </w:tcPr>
          <w:p>
            <w:pPr>
              <w:jc w:val="right"/>
              <w:ind w:right="692"/>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Northrop Grumman Corporation</w:t>
            </w:r>
          </w:p>
        </w:tc>
        <w:tc>
          <w:tcPr>
            <w:tcW w:w="13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ind w:right="692"/>
              <w:spacing w:after="0"/>
              <w:rPr>
                <w:sz w:val="20"/>
                <w:szCs w:val="20"/>
                <w:color w:val="auto"/>
              </w:rPr>
            </w:pPr>
            <w:r>
              <w:rPr>
                <w:rFonts w:ascii="Arial" w:cs="Arial" w:eastAsia="Arial" w:hAnsi="Arial"/>
                <w:sz w:val="18"/>
                <w:szCs w:val="18"/>
                <w:color w:val="auto"/>
              </w:rPr>
              <w:t>52%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Although the Company typically has several customers from which it derives 10% or more of its revenue, the sales to each of these customers are spread across multiple programs and platforms. For the three and six months ended December 31, 2010, only one program individually comprised 10% or more of the Company’s revenues, which was the Aegis program at 12% for both periods. For the three and six months ended December 31, 2009, no single program comprised 10% or more of the Company’s revenues.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Company is subject to legal proceedings, claims and tax audits that arise in the ordinary course of business. The Company does not believe the outcome of these matters will have a material adverse effect on its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divestitures of the Company’s former VI, VSG, Biotech and ES/PS businesses, the Company provided indemnification to the buyers of the respective businesses. The Company’s indemnification obligations generally cover the buyers for damages resulting from breaches of representations, warranties and covenants contained in the applicable purchase and sale agreement and generally cover pre-closing tax liabilities of the divested businesses. In addition, the Company also agreed to indemnify the buyer of the VI business for certain post-closing employee severance expenses. The Company’s indemnification obligations related to divested businesses are generally subject to caps and expire at various defined future 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In September 2006, the Company entered into a supply agreement with a third-party vendor to purchase certain inventory parts that went “end of life.” This supply agreement, as subsequently amended, commits the vendor to acquiring and storing approximately $6,500 of inventory until August 31, 2012 and allows the Company to place orders for the inventory four times a year. Upon the earlier of January 31, 2007 or completion of the wafer fabrication process, the Company was required to and paid approximately $1,900 of the $6,500. Further, upon expiration of the agreement on August 31, 2012, if the Company does not purchase the full $6,500 in inventory, it may be required to pay a penalty equal to 35% of the remaining inventory balance. As of December 31, 2010, the remaining minimum commitment related to this agreement was $1,665, which is the 35% penalty on the remaining inventory balance. While the Company expects to continue to purchase this inventory through the expiration of the agreement, it does not expect to purchase the full $6,500 noted above. As of December 31, 2010, the Company has recorded an accrued liability of approximately $500 for the 35% penalty it anticipates on paying for unpurchased inventory.</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purchase obligations typically represent open non-cancelable purchase commitments for certain inventory components and services used in normal operations. At December 31, 2010, the purchase commitments covered by these agreements were for less than one year and aggregated approximately $12,562.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Related Party Transactions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July 2008, the Company and the former CEO, James Bertelli, entered into an agreement for consulting services through June 30, 2010. The consideration for these services totaled $190. Additionally, in July 2008, the Company entered into a five year non-compete agreement with its former CEO. This agreement, which is carried as an intangible asset on the Company’s balance sheet, was valued at $500 and is being amortized over the life of the agreement. As of December 31, 2010, the Company had made payments of $500 under this non-compete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Subsequent Events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January 12, 2011, the Company entered into a stock purchase agreement (the “Stock Purchase Agreement”) with LNX Corporation (“LNX”), the holders of the equity interests of LNX, and Lamberto Raffaelli, as the sellers’ representative. Pursuant to the Stock Purchase Agreement, the Company completed its purchase of all of the outstanding equity interests in LNX, and LNX became a wholly-owned subsidiary of the Company. Based in Salem, NH, LNX designs and builds next generation radio frequency receivers for signal intelligence, communication intelligence as well as electronic attack applications.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acquired LNX for a purchase price of $31,000 paid in cash, plus an earnout of up to $5,000 payable in cash, based upon achievement of financial targets during calendar years 2011 and 2012. The purchase price is subject to post-closing adjustment based on a determination of LNX’s closing net working capital. In accordance with the Stock Purchase Agreement, $6,200 of the purchase price was placed into escrow to support the post-closing working capital adjustment and the sellers’ indemnification obligations. The Company funded the purchase price with cash on hand. The Company acquired LNX free of bank debt. Immediately prior to the consummation of the acquisition, LNX divested its non-defense global procurement business.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signed a two year consulting agreement with Lamberto Raffaelli, LNX’s founder.</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Following the acquisition, the Company’s LNX subsidiary became a guarantor under the Company’s Loan Agreement and granted a security interest in its assets in favor of the Lender.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“should,” “plan,” “expect,” “anticipate,” “continue,” “estimate,” “project,” “intend,”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continued funding of defense programs, the timing of such funding, changes in the U.S. Government’s interpretation of federal procurement rules and regulations, market acceptance of the Company’s products, shortages in components, production delays due to performance quality issues with outsourced components, inability to fully realize the expected benefits from acquisitions and divestitures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2010.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3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the context otherwise requires, all references to “Mercury,” “we,” “our,” “us” or “our company” in this report refer to Mercury Computer Systems, Inc., a Massachusetts corporation, and its consolidated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design, manufacture and market high-performance embedded, real-time digital signal and image processing systems and software for specialized defense and commercial computing markets. Our solutions play a critical role in a wide range of applications, transforming sensor data to information for analysis and interpretation. In military reconnaissance and surveillance platforms, our systems process real-time radar, video, sonar and signals intelligence data. Our systems are also used in semiconductor imaging applications, including photomask generation and wafer inspection. We also provide radio frequency products for enhanced communications capabilities in military and commercial applications. Additionally, we entered the defense prime contracting market space in fiscal 2008 through the creation of our wholly-owned subsidiary, Mercury Federal Systems, Inc. (“MFS”), to focus on reaching the federal intelligence and homeland security agencies.</w:t>
      </w:r>
    </w:p>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products and solutions address mission-critical requirements within the defense industry for C4ISR (command, control, communications, computers, intelligence, surveillance and reconnaissance) and electronic warfare, or EW, systems and services, which target several markets including maritime defense, airborne reconnaissance, ballistic missile defense, ground mobile and force protection systems, and tactical communications and network systems. Our products are deployed in over 300 different programs across 26 different prime defense contractors.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December 31, 2010, we had 549 employees and, for the three and six months ended December 31, 2010, we had revenues of $55.5 million and $107.6 million and income from continuing operations of $5.2 million and $8.9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organized in the following two business units:</w:t>
      </w:r>
    </w:p>
    <w:p>
      <w:pPr>
        <w:spacing w:after="0" w:line="171" w:lineRule="exact"/>
        <w:rPr>
          <w:sz w:val="20"/>
          <w:szCs w:val="20"/>
          <w:color w:val="auto"/>
        </w:rPr>
      </w:pPr>
    </w:p>
    <w:p>
      <w:pPr>
        <w:ind w:right="80" w:firstLine="464"/>
        <w:spacing w:after="0" w:line="290" w:lineRule="auto"/>
        <w:tabs>
          <w:tab w:leader="none" w:pos="737"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Advanced Computing Solutions (“ACS”). </w:t>
      </w:r>
      <w:r>
        <w:rPr>
          <w:rFonts w:ascii="Arial" w:cs="Arial" w:eastAsia="Arial" w:hAnsi="Arial"/>
          <w:sz w:val="16"/>
          <w:szCs w:val="16"/>
          <w:color w:val="auto"/>
        </w:rPr>
        <w:t>This business unit is focused on specialized, high performance signal processing solutions that encompass</w:t>
      </w:r>
      <w:r>
        <w:rPr>
          <w:rFonts w:ascii="Arial" w:cs="Arial" w:eastAsia="Arial" w:hAnsi="Arial"/>
          <w:sz w:val="16"/>
          <w:szCs w:val="16"/>
          <w:i w:val="1"/>
          <w:iCs w:val="1"/>
          <w:color w:val="auto"/>
        </w:rPr>
        <w:t xml:space="preserve"> </w:t>
      </w:r>
      <w:r>
        <w:rPr>
          <w:rFonts w:ascii="Arial" w:cs="Arial" w:eastAsia="Arial" w:hAnsi="Arial"/>
          <w:sz w:val="16"/>
          <w:szCs w:val="16"/>
          <w:color w:val="auto"/>
        </w:rPr>
        <w:t>signal acquisition, digitalization, computing, storage and communications, targeted to key market segments including defense, semiconductor, communications and other commercial computing. ACS’s open system architecture solutions span the full range of embedded technologies from board level products to fully integrated subsystems. Our products utilize leading-edge processor technologies architected to address highly data-intensive applications that include signal, sensor and image processing within environmentally constrained military and commercial applications. These products are highly optimized for size, weight and power, as well as for the performance and ruggedization requirements of our customers. Customized design and systems integration services extend our capabilities to tailor solutions to meet the specialized requirements of our customers. In fiscal 2010, ACS accounted for 95% of our total net revenues.</w:t>
      </w:r>
    </w:p>
    <w:p>
      <w:pPr>
        <w:spacing w:after="0" w:line="118" w:lineRule="exact"/>
        <w:rPr>
          <w:rFonts w:ascii="Arial" w:cs="Arial" w:eastAsia="Arial" w:hAnsi="Arial"/>
          <w:sz w:val="16"/>
          <w:szCs w:val="16"/>
          <w:color w:val="auto"/>
        </w:rPr>
      </w:pPr>
    </w:p>
    <w:p>
      <w:pPr>
        <w:ind w:firstLine="464"/>
        <w:spacing w:after="0" w:line="290" w:lineRule="auto"/>
        <w:tabs>
          <w:tab w:leader="none" w:pos="693"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Mercury Federal Systems (“MFS”). </w:t>
      </w:r>
      <w:r>
        <w:rPr>
          <w:rFonts w:ascii="Arial" w:cs="Arial" w:eastAsia="Arial" w:hAnsi="Arial"/>
          <w:sz w:val="16"/>
          <w:szCs w:val="16"/>
          <w:color w:val="auto"/>
        </w:rPr>
        <w:t>This business unit is focused on services and support work with the Department of Defense, or the DoD, and</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intelligence and homeland security agencies, including designing and engineering new intelligence, surveillance and reconnaissance, or ISR, capabilities to address present and emerging threats to U.S. forces. MFS is part of our long-term strategy to expand our software and services presence and pursue growth in platform-ready ISR subsystems, particularly those with classified intellectual property. MFS offers a wide range of engineering architecture and design services that enable clients to deploy leading edge computing capabilities for ISR systems on an accelerated time cycle. The business unit enables us to combine classified intellectual property with the commercially developed application-ready subsystems being developed by ACS, providing customers with platform-ready, affordable ISR subsystems. In fiscal 2010, MFS accounted for 5% of our total net revenues.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2010 compared to the three months ended December 31,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three month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a %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As a %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Total Net</w:t>
            </w:r>
          </w:p>
        </w:tc>
        <w:tc>
          <w:tcPr>
            <w:tcW w:w="600" w:type="dxa"/>
            <w:vAlign w:val="bottom"/>
          </w:tcPr>
          <w:p>
            <w:pPr>
              <w:spacing w:after="0"/>
              <w:rPr>
                <w:sz w:val="12"/>
                <w:szCs w:val="12"/>
                <w:color w:val="auto"/>
              </w:rPr>
            </w:pPr>
          </w:p>
        </w:tc>
        <w:tc>
          <w:tcPr>
            <w:tcW w:w="14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Total Net</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4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Revenue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Revenue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55,513</w:t>
            </w: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45,158</w:t>
            </w:r>
          </w:p>
        </w:tc>
        <w:tc>
          <w:tcPr>
            <w:tcW w:w="6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23,873</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19,293</w:t>
            </w:r>
          </w:p>
        </w:tc>
        <w:tc>
          <w:tcPr>
            <w:tcW w:w="6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25,865</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13,485</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10,479</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18.9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9,901</w:t>
            </w:r>
          </w:p>
        </w:tc>
        <w:tc>
          <w:tcPr>
            <w:tcW w:w="6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Impairment of long-lived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6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Restructuring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25,122</w:t>
            </w: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23,951</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6,518</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1,914</w:t>
            </w:r>
          </w:p>
        </w:tc>
        <w:tc>
          <w:tcPr>
            <w:tcW w:w="6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6,879</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2,245</w:t>
            </w:r>
          </w:p>
        </w:tc>
        <w:tc>
          <w:tcPr>
            <w:tcW w:w="6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5,183</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1,915</w:t>
            </w:r>
          </w:p>
        </w:tc>
        <w:tc>
          <w:tcPr>
            <w:tcW w:w="6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income taxes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6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7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7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4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4"/>
                <w:szCs w:val="14"/>
                <w:color w:val="auto"/>
              </w:rPr>
            </w:pPr>
          </w:p>
        </w:tc>
        <w:tc>
          <w:tcPr>
            <w:tcW w:w="720" w:type="dxa"/>
            <w:vAlign w:val="bottom"/>
            <w:gridSpan w:val="2"/>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740" w:type="dxa"/>
            <w:vAlign w:val="bottom"/>
            <w:gridSpan w:val="2"/>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51,893</w:t>
            </w:r>
          </w:p>
        </w:tc>
        <w:tc>
          <w:tcPr>
            <w:tcW w:w="80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42,081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MFS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3,565</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3,077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5780" w:type="dxa"/>
            <w:vAlign w:val="bottom"/>
            <w:gridSpan w:val="3"/>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55,513</w:t>
            </w:r>
          </w:p>
        </w:tc>
        <w:tc>
          <w:tcPr>
            <w:tcW w:w="800" w:type="dxa"/>
            <w:vAlign w:val="bottom"/>
            <w:gridSpan w:val="2"/>
          </w:tcPr>
          <w:p>
            <w:pPr>
              <w:ind w:left="7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45,158</w:t>
            </w: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Total revenues increased $10.4 million, or 23%, to $55.5 million during the three months ended December 31, 2010 as compared to the comparable period in fiscal 2010. International revenues represented approximately 9% and 15% of total revenues during the three months ended December 31, 2010 and 2009, respectively. The decrease in international revenues during the three months ended December 31, 2010 was primarily driven by sales to a commercial customer in the European region during the 2009 period whose sales are serviced by the U.S. region during the 2010 period, despite our overall commercial revenues increasing period over period.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Net ACS revenues increased $9.8 million, or 23%, to $51.9 million during the three months ended December 31, 2010 as compared to the same period in fiscal 2010. This increase was primarily driven by an increase in sales to defense customers of $8.6 million, mostly driven by an increase in the radar market, partially offset by a slight decrease in electro-optical applications. The increase was also due to a $1.2 million increase in sales to commercial customers, primarily relating an increase in the semiconductor market, slightly offset by a decrease in sales in the commercial computing market.</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Net MFS revenues increased $0.5 million, or 16%, to $3.6 million during the three months ended December 31, 2010 as compared to the same period in fiscal 2010. This change was primarily driven by a $0.7 million increase in revenue relating to a large intelligence, surveillance and reconnaissance (“ISR”) development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Gross margin was 57.0% for the three months ended December 31, 2010, a decrease of 30 basis points from the 57.3% gross margin achieved during the same period in fiscal 2010. The decrease in gross margin was primarily due to a $0.5 million increase in provisions for obsolete inventory as compared to the same period in fiscal 2010, partially offset by declines in warranty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Selling, general and administrative expenses increased $0.5 million, or 4%, to $14.0 million during the three months ended December 31, 2010 compared to $13.5 million during the same period in fiscal 2010. The increase was primarily due to a $0.7 million increase in employee compensation expense, including stock-based compensation expense, driven by a 13 person increase in headcount and company-wide pay increases. Additionally, there was a $0.2 million increase in business meeting and travel expense and a $0.2 million increase in depreciation expense. These increases were partially offset by a $0.3 million decrease in IT support expense and a $0.2 million decrease in recruiting expense. Selling, general and administrative expenses decreased as a percentage of revenues to 25.2% during the three months ended December 31, 2010 from 29.9% during the same period in fiscal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Research and development expenses increased $0.6 million, or 6%, to $10.5 million during the three months ended December 31, 2010 compared to $9.9 million during the same period in fiscal 2010. The increase was primarily the result of a $0.3 million increase in employee compensation expense driven by an 11 person increase in headcount and company-wide pay increases, an increase of $0.2 million in IT support expense, and a $0.1 million increase in investments on simulation equipment. Research and development continues to be a focus of our business with approximately 18.9% of our revenues dedicated to research and development activities during the three months ended December 31, 2010 and approximately 21.9% of our revenues dedicated to such activities during the same period in fiscal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MPAIRMENT OF</w:t>
      </w:r>
      <w:r>
        <w:rPr>
          <w:rFonts w:ascii="Arial" w:cs="Arial" w:eastAsia="Arial" w:hAnsi="Arial"/>
          <w:sz w:val="18"/>
          <w:szCs w:val="18"/>
          <w:color w:val="auto"/>
        </w:rPr>
        <w:t xml:space="preserve"> L</w:t>
      </w:r>
      <w:r>
        <w:rPr>
          <w:rFonts w:ascii="Arial" w:cs="Arial" w:eastAsia="Arial" w:hAnsi="Arial"/>
          <w:sz w:val="14"/>
          <w:szCs w:val="14"/>
          <w:color w:val="auto"/>
        </w:rPr>
        <w:t>ONG</w:t>
      </w:r>
      <w:r>
        <w:rPr>
          <w:rFonts w:ascii="Arial" w:cs="Arial" w:eastAsia="Arial" w:hAnsi="Arial"/>
          <w:sz w:val="18"/>
          <w:szCs w:val="18"/>
          <w:color w:val="auto"/>
        </w:rPr>
        <w:t>-</w:t>
      </w:r>
      <w:r>
        <w:rPr>
          <w:rFonts w:ascii="Arial" w:cs="Arial" w:eastAsia="Arial" w:hAnsi="Arial"/>
          <w:sz w:val="14"/>
          <w:szCs w:val="14"/>
          <w:color w:val="auto"/>
        </w:rPr>
        <w:t>LIVED</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Impairment of long-lived assets was $0.2 million in the three months ended December 31, 2009. We were required to perform an impairment test due to a reduced expectation of the fair value for the shares we received as compensation in the sale of our Biotech business. As a result, we recorded an impairment charge of $0.2 million.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impairment charges recorded in the three months ended December 31, 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Amortization of acquired intangible assets decreased slightly to $0.3 million during the three months ended December 31, 2010 compared to $0.4 million during the same period in fiscal 2010, due to certain assets becoming fully amortized during the first quarter of fiscal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restructuring expenses incurred during the three months ended December 31, 2010 and the comparable period in fiscal 2010.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incurred $0.3 million of acquisition costs and other related expenses during the three months ended December 31, 2010. The acquisition costs and other related expenses consist of transaction costs incurred in connection with the acquisition of LNX Corporation, which was concluded on January 12,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Interest income for the three months ended December 31, 2010 decreased by $0.2 million to nil compared to the same period in fiscal 2010. The decrease was attributable to sale of our marketable securities at the end of fiscal 2010. Our marketable securities held during fiscal 2010 yielded higher interest rates than the money market funds in which our cash was primarily invested during the three months ended December 2010. We held no marketable securities during the three months ended December 31,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Interest expense for the three months ended December 31, 2010 decreased by $0.1 million to nil compared to the same period in fiscal 2010. The decrease was the result of the repayment of our borrowings against our auction rate securities (“ARS”) at the end of fiscal 2010. We did not have any debt during the three months ended December 31, 2010, other than capital lease obligations.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xml:space="preserve"> (E</w:t>
      </w:r>
      <w:r>
        <w:rPr>
          <w:rFonts w:ascii="Arial" w:cs="Arial" w:eastAsia="Arial" w:hAnsi="Arial"/>
          <w:sz w:val="14"/>
          <w:szCs w:val="14"/>
          <w:color w:val="auto"/>
        </w:rPr>
        <w:t>XPENSE</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Other net income increased $0.1 million, or 44%, to $0.4 million during the three months ended December 31, 2010, as compared to the same period in fiscal 2010. Other income (expense) primarily consists of $0.3 million in amortization of the gain on the sale leaseback of our corporate headquarters located in Chelmsford, Massachusetts and foreign currency exchange gains and losses. The $0.1 million increase is primarily associated with a $0.1 million foreign currency exchange gain during the three months ended December 31, 2010 as compared to no foreign currency exchange gain or loss for the same period in fiscal 2010. The foreign currency exchange gain was largely driven by strengthening of the British pound and the Japanese yen against the U.S. dollar.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w:t>
      </w:r>
      <w:r>
        <w:rPr>
          <w:rFonts w:ascii="Arial" w:cs="Arial" w:eastAsia="Arial" w:hAnsi="Arial"/>
          <w:sz w:val="18"/>
          <w:szCs w:val="18"/>
          <w:color w:val="auto"/>
        </w:rPr>
        <w:t xml:space="preserve"> P</w:t>
      </w:r>
      <w:r>
        <w:rPr>
          <w:rFonts w:ascii="Arial" w:cs="Arial" w:eastAsia="Arial" w:hAnsi="Arial"/>
          <w:sz w:val="14"/>
          <w:szCs w:val="14"/>
          <w:color w:val="auto"/>
        </w:rPr>
        <w:t>ROVISION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recorded a provision for income taxes of $1.7 million during the three months ended December 31, 2010 as compared to $0.3 million during the same period in fiscal 2010. Our effective tax rate for the three months ended December 31, 2010 differed from the federal statutory tax rate of 35% primarily due to the impact of research and development tax credits. Our effective tax rate for the three months ended December 31, 2009 differed from the federal statutory rate primarily due to research and development tax credits and a partial release of the valuation allowance on deferred tax assets.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Operating profit for ACS increased $4.5 million during the three months ended December 31, 2010 to $7.6 million as compared to $3.1 million for the same period in fiscal 2010. The increase in operating profit was primarily driven by increased revenues of $9.8 million, which drove an improvement in gross margin. This improvement was partially offset by increases in operating expenses necessary to grow the business.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Results from operations of the MFS segment decreased $0.3 million during the three months ended December 31, 2010 to an operating profit of $0.1 million as compared to an operating profit of $0.4 million for the same period in fiscal 2010. This decrease in results from operations was primarily due to an unfavorable change in program mix and an increase of $0.2 million in operating expenses relating to an increase in MFS headcount. This decrease in results from operations was slightly offset by higher revenue.</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See Note M to our consolidated financial statements included in this report for more information regarding our operating segments and geographic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2010 compared to the six months ended December 31,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six month periods indicated, financial data from the consolidated statements of operations: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As a % of</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Total Net</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6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4"/>
                <w:szCs w:val="14"/>
                <w:color w:val="auto"/>
              </w:rPr>
            </w:pPr>
          </w:p>
        </w:tc>
        <w:tc>
          <w:tcPr>
            <w:tcW w:w="13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Revenue</w:t>
            </w:r>
          </w:p>
        </w:tc>
        <w:tc>
          <w:tcPr>
            <w:tcW w:w="16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107,621</w:t>
            </w: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92,589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45,321</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39,422</w:t>
            </w:r>
          </w:p>
        </w:tc>
        <w:tc>
          <w:tcPr>
            <w:tcW w:w="56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62,300</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53,167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28,216</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24,829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21,378</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20,097</w:t>
            </w:r>
          </w:p>
        </w:tc>
        <w:tc>
          <w:tcPr>
            <w:tcW w:w="56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636</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868</w:t>
            </w: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7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50,537</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46,198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gridSpan w:val="3"/>
            <w:vMerge w:val="continue"/>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11,763</w:t>
            </w: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6,969</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607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gridSpan w:val="3"/>
            <w:vMerge w:val="continue"/>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12,638</w:t>
            </w: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7,576</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1,236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gridSpan w:val="3"/>
            <w:vMerge w:val="continue"/>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8,865</w:t>
            </w: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6,340</w:t>
            </w: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(Loss) income from discontinued operations, net of income taxes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w:t>
            </w: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74</w:t>
            </w: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6,429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5"/>
              </w:rPr>
              <w:t>$ 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ACS</w:t>
            </w:r>
          </w:p>
        </w:tc>
        <w:tc>
          <w:tcPr>
            <w:tcW w:w="4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102,369</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$15,929</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MFS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6,149</w:t>
            </w:r>
          </w:p>
        </w:tc>
        <w:tc>
          <w:tcPr>
            <w:tcW w:w="2120" w:type="dxa"/>
            <w:vAlign w:val="bottom"/>
            <w:gridSpan w:val="3"/>
          </w:tcPr>
          <w:p>
            <w:pPr>
              <w:jc w:val="right"/>
              <w:ind w:right="660"/>
              <w:spacing w:after="0"/>
              <w:rPr>
                <w:sz w:val="20"/>
                <w:szCs w:val="20"/>
                <w:color w:val="auto"/>
              </w:rPr>
            </w:pPr>
            <w:r>
              <w:rPr>
                <w:rFonts w:ascii="Arial" w:cs="Arial" w:eastAsia="Arial" w:hAnsi="Arial"/>
                <w:sz w:val="18"/>
                <w:szCs w:val="18"/>
                <w:color w:val="auto"/>
              </w:rPr>
              <w:t>(730)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(167)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22"/>
        </w:trPr>
        <w:tc>
          <w:tcPr>
            <w:tcW w:w="518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107,621</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92,589</w:t>
            </w:r>
          </w:p>
        </w:tc>
        <w:tc>
          <w:tcPr>
            <w:tcW w:w="1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15,032</w:t>
            </w:r>
          </w:p>
        </w:tc>
        <w:tc>
          <w:tcPr>
            <w:tcW w:w="7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Total revenues increased $15.0 million, or 16%, to $107.6 million during the six months ended December 31, 2010 as compared to the same period in fiscal 2010. International revenues represented approximately 6% and 10% of total revenues during the six months ended December 31, 2010 and 2009, respectively. The decrease in international revenues during the six months ended December 31, 2010 were primarily driven by both the sales to a commercial customer in the European region during the 2009 period whose sales are serviced by the U.S. region during the 2010 period, and reduced sales to a commercial customer in the Asia Pacific region.</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Net ACS revenues increased $15.9 million, or 18%, to $102.4 million, during the six months ended December 31, 2010 as compared to the same period in fiscal 2010. This increase was primarily driven by an increase in sales to defense customers of $7.0 million, mostly driven by an increase in the sales in radar market, partially offset by a decrease in the sales in electro-optical and electronic warfare applications. The increase was also due to an $8.9 million increase in sales to commercial customers, primarily relating to an increase in sales in the semiconductor market, slightly offset by a decrease in the commercial computing market.</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Net MFS revenues decreased $0.7 million, or 12%, to $5.4 million, during the six months ended December 31, 2010 as compared to the same period in fiscal 2010. This change was primarily driven by the completion of fiscal 2010 development programs.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Gross margin was 57.9% for the six months ended December 31, 2010, an increase of 50 basis points from the 57.4% gross margin achieved during the same period in fiscal 2010. The increase in gross margin was primarily due to an increase in revenues and an increase in direct margin due to a favorable shift in product mix.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Selling, general and administrative expenses increased $3.4 million, or 14%, to $28.2 million during the six months ended December 31, 2010 compared to $24.8 million during the same period in fiscal 2010. The increase was primarily due to a $2.9 million increase in employee compensation expense, including stock-based compensation and bonus expense, driven by a 13 person increase in headcount and company-wide pay increases. Additionally, there was a $0.5 million increase in business meeting and travel expense, a $0.4 million increase in consultant expense, and a $0.3 million increase in depreciation expense. These increases were partially offset by a $0.5 million decrease in IT support expense and a $0.2 million decrease in facility expense. Selling, general and administrative expenses decreased as a percentage of revenues to 26.2% during the six months ended December 31, 2010 from 26.8% during the same period in fiscal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Research and development expenses increased $1.3 million, or 6%, to $21.4 million during the six months ended December 31, 2010 compared to $20.1 million during the same period in fiscal 2010. The increase was primarily the result of a $0.7 million increase in employee compensation expense, including stock-based compensation expense, driven by an 11 person increase in headcount and company-wide pay increases. Additionally, there was a $0.3 million increase in contractor expenses, a $0.3 million increase in IT support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expense, and a $0.2 million increase in efforts spent on technology developments. These increases were partially offset by a $0.4 million increases in the time spent by our engineers on billable projects. Research and development continues to be a focus of our business with approximately 19.9% of our revenues dedicated to research and development activities during the six months ended December 31, 2010 and approximately 21.7% of our revenues dedicated to such activities during the same period in fiscal 2010. It is our priority to continue to improve the leverage of our research and development investments in order to realize a more near-term return.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MPAIRMENT OF</w:t>
      </w:r>
      <w:r>
        <w:rPr>
          <w:rFonts w:ascii="Arial" w:cs="Arial" w:eastAsia="Arial" w:hAnsi="Arial"/>
          <w:sz w:val="18"/>
          <w:szCs w:val="18"/>
          <w:color w:val="auto"/>
        </w:rPr>
        <w:t xml:space="preserve"> L</w:t>
      </w:r>
      <w:r>
        <w:rPr>
          <w:rFonts w:ascii="Arial" w:cs="Arial" w:eastAsia="Arial" w:hAnsi="Arial"/>
          <w:sz w:val="14"/>
          <w:szCs w:val="14"/>
          <w:color w:val="auto"/>
        </w:rPr>
        <w:t>ONG</w:t>
      </w:r>
      <w:r>
        <w:rPr>
          <w:rFonts w:ascii="Arial" w:cs="Arial" w:eastAsia="Arial" w:hAnsi="Arial"/>
          <w:sz w:val="18"/>
          <w:szCs w:val="18"/>
          <w:color w:val="auto"/>
        </w:rPr>
        <w:t>-</w:t>
      </w:r>
      <w:r>
        <w:rPr>
          <w:rFonts w:ascii="Arial" w:cs="Arial" w:eastAsia="Arial" w:hAnsi="Arial"/>
          <w:sz w:val="14"/>
          <w:szCs w:val="14"/>
          <w:color w:val="auto"/>
        </w:rPr>
        <w:t>LIVED</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Impairment of long-lived assets was $0.2 million in six months ended December 31, 2009. We were required to perform an impairment test due to a reduced expectation of the fair value for the shares we received as compensation in the sale of our Biotech business. As a result, we recorded an impairment charge of $0.2 million.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impairment charges recorded in the six months ended December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Amortization of acquired intangible assets decreased $0.3 million or 27% to $0.6 million for the six months ended December 31, 2010 as compared to $0.9 million during the comparable period in fiscal 2010, due to certain assets becoming fully amortized during the first quarter of fiscal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Restructuring expense decreased $0.3 million to nil during the six months ended December 31, 2010 as compared to $0.3 million during the comparable period in fiscal 2010. Restructuring activities during the six months ended December 31, 2009, were primarily due to the elimination of four positions under our restructuring plan within the ACS business unit (the “Q1 FY10 Plan”), which was enacted in July 2009 following the completion of our divestitures as part of the reorganization of our business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incurred $0.3 million of acquisition costs and other related expenses during the six months ended December 31, 2010. The acquisition costs and other related expenses consist of transaction costs incurred in connection with the acquisition of LNX Corporation, which was concluded on January 12,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income for the six months ended December 31, 2010 decreased by $0.2 million to nil compared to the same period in fiscal 2010. The decrease was attributable to sale of our marketable securities at the end of fiscal 2010. Our marketable securities held during fiscal 2010 yielded higher interest rates than the money market funds in which our cash was primarily invested during the three months ended December 2010. We held no marketable securities during the six months ended December 31,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Interest expense for the six months ended December 31, 2010 decreased by $0.1 million to $0.1 million compared the same period in fiscal 2010. The decrease was the result of the repayment of our borrowings against our ARS at the end of fiscal 2010. We did not have any debt during the six months ended December 31, 2010, other than capital lease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xml:space="preserve"> (E</w:t>
      </w:r>
      <w:r>
        <w:rPr>
          <w:rFonts w:ascii="Arial" w:cs="Arial" w:eastAsia="Arial" w:hAnsi="Arial"/>
          <w:sz w:val="14"/>
          <w:szCs w:val="14"/>
          <w:color w:val="auto"/>
        </w:rPr>
        <w:t>XPENSE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net income increased $0.4 million, or 72%, to $0.9 million during the six months ended December 31, 2010, as compared to the same period in fiscal</w:t>
      </w:r>
    </w:p>
    <w:p>
      <w:pPr>
        <w:spacing w:after="0" w:line="50"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2010. Other income (expense) primarily consists of $0.6 million in amortization of the gain on the sale leaseback of our corporate headquarters located in Chelmsford, Massachusetts and foreign currency exchange gains and losses. The $0.4 million increase is primarily associated with a $0.3 million foreign currency exchange gain during the six months ended December 31, 2010 as compared to a $0.1 million foreign currency exchange loss for the same period in fiscal 2010. The foreign currency exchange gain was largely driven by strengthening of the British pound and the Japanese yen against the U.S. dollar.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w:t>
      </w:r>
      <w:r>
        <w:rPr>
          <w:rFonts w:ascii="Arial" w:cs="Arial" w:eastAsia="Arial" w:hAnsi="Arial"/>
          <w:sz w:val="18"/>
          <w:szCs w:val="18"/>
          <w:color w:val="auto"/>
        </w:rPr>
        <w:t xml:space="preserve"> P</w:t>
      </w:r>
      <w:r>
        <w:rPr>
          <w:rFonts w:ascii="Arial" w:cs="Arial" w:eastAsia="Arial" w:hAnsi="Arial"/>
          <w:sz w:val="14"/>
          <w:szCs w:val="14"/>
          <w:color w:val="auto"/>
        </w:rPr>
        <w:t>ROVISION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recorded a provision for income taxes of $3.8 million during the six months ended December 31, 2010 as compared to $1.2 million during the same period in fiscal 2010. Our effective tax rate for the six months ended December 31, 2010 differed from the federal statutory tax rate of 35% primarily due to the impact of research and development tax credits and the impact of a Section 199 Manufacturing Deduction. Our effective tax rate for the six months ended December 31, 2009 differed from the federal statutory rate primarily due to research and development tax credits and a partial release of the valuation allowance on deferred tax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Operating profit for ACS increased $6.8 million during the six months ended December 31, 2010 to $15.5 million as compared to $8.7 million for the same period in fiscal 2010. The increase in operating profit was primarily driven by increased revenues of $15.9 million, which drove an improvement in gross margin. This improvement was partially offset by increases in operating expenses necessary to grow the business.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Results from operations of the MFS segment decreased $0.7 million during the six months ended December 31, 2010 to an operating loss of $0.4 million as compared to an operating profit of $0.3 million for the same period in fiscal 2010. The decrease in results from operations was primarily driven by lower revenue and an increase in operating expense of $0.6 million relating to an increase in MFS headcount.</w:t>
      </w:r>
    </w:p>
    <w:p>
      <w:pPr>
        <w:spacing w:after="0" w:line="10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See Note M to our consolidated financial statements included in this report for more information regarding our operating segments and geographic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-GAAP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9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In our quarterly earnings press releases and conference calls, we discuss two important measures that are not calculated according to U.S. generally accepted accounting principles (“GAAP”). Adjusted EBITDA is defined as earnings from continuing operations before interest income and expense, income taxes, depreciation, amortization of acquired intangible assets, restructuring, impairment of long-lived assets, acquisition costs and other related expenses,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that adjusted EBITDA permits a comparative assessment of our operating performance relative to our performance based on our GAAP results, while isolating the effects of charges that may vary from period to period without direct correlation to underlying operating performance. We believe that these non-GAAP financial adjustments are useful to investors because they allow investors to evaluate the effectiveness of the methodology and information used by management in our financial and operational decision-making.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our adjusted EBITDA to the most directly comparable GAAP financial measure: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4"/>
                <w:szCs w:val="14"/>
                <w:color w:val="auto"/>
              </w:rPr>
            </w:pPr>
          </w:p>
        </w:tc>
        <w:tc>
          <w:tcPr>
            <w:tcW w:w="168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1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68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2010</w:t>
            </w:r>
          </w:p>
        </w:tc>
        <w:tc>
          <w:tcPr>
            <w:tcW w:w="11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1,552</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2,980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307</w:t>
            </w:r>
          </w:p>
        </w:tc>
        <w:tc>
          <w:tcPr>
            <w:tcW w:w="6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 cost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6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10,731</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5,520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19,529</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the Company’s presentation of this non-GAAP financial measure that these expenditures reflect all of the Company’s obligations which require cash.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free cash flow to its most directly comparable GAAP financial measure.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4"/>
                <w:szCs w:val="14"/>
                <w:color w:val="auto"/>
              </w:rPr>
            </w:pPr>
          </w:p>
        </w:tc>
        <w:tc>
          <w:tcPr>
            <w:tcW w:w="22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1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740" w:type="dxa"/>
            <w:vAlign w:val="bottom"/>
            <w:gridSpan w:val="3"/>
            <w:vMerge w:val="continue"/>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$ 8,103</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$ 5,167</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$17,453</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w:t>
            </w:r>
          </w:p>
        </w:tc>
        <w:tc>
          <w:tcPr>
            <w:tcW w:w="16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(2,003)</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(1,983)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(3,598)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$ 6,100</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$ 3,184</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13,855</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provided indemnification to the buyers of our divested businesses. Our indemnification obligations generally cover the buyers for damages resulting from breaches of representations, warranties and covenants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contained in the applicable purchase and sale agreement and generally cover pre-closing tax liabilities of the divested businesses. Our indemnification obligations regarding the divested businesses are generally subject to caps on our obligations.</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Other than the indemnification relating to the divestitures of our former businesses which have finite terms, our lease commitments incurred in the normal course of business and certain other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As of and 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2010</w:t>
            </w: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17,453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Net cash provided (used) in investing activities</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12,252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32,196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88,437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52,197</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cash and cash equivalents increased by $32.2 million from June 30, 2010 to December 31, 2010, primarily as the result of $17.5 million generated by operating activities, $18.0 million cash proceeds from sale of marketable securities and $2.6 million generated from stock related activities, offset by $3.6 million in capital expenditures, $2.2 million in payments for acquired intangible assets and $0.1 million in payments for capital lease obligations.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the six months ended December 31, 2010, we generated $17.5 million in cash from operating activities compared to $7.8 million generated from operating activities during the same period in fiscal 2010. The $9.7 million increase in cash generated from operations was largely driven by a higher comparative net income of $2.4 million, a $13.7 million increase in cash generated from accounts receivables, a $2.6 million increase in provision for deferred income taxes, a $1.6 million increase in cash generated from prepaid income taxes and income tax payable and a $1.2 million increase in stock-based compensation, depreciation and amortization expenses. These improvements were partially offset by a $5.1 million increase in cash used for accounts payable and accrued expenses, a $2.9 million increase in cash used for inventory, a $1.9 million increase in cash used for deferred revenue and other non-current liabilities, a $1.2 million increase in cash used for prepaid expenses and other current assets, and a $0.7 million increase in cash used for other assets. Our ability to generate cash from operations in future periods will depend in large part on profitability, the rate of collection of accounts receivable, our inventory turns and our ability to manage other areas of working capital.</w:t>
      </w:r>
    </w:p>
    <w:p>
      <w:pPr>
        <w:spacing w:after="0" w:line="12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During the six months ended December 31, 2010, we generated $12.3 million in cash in investing activities compared to $2.8 million used in investing activities during the same period in fiscal 2010. The $15.1 million increase in cash provided by investing activities was primarily driven by a $17.2 million increase in net sale of marketable securities and $0.7 million decrease in cash payments related to the sale of discontinued operations, offset by a $2.0 million increase in cash used for purchases of intangible assets and a $0.8 million increase in capital expenditures.</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six months ended December 31, 2010, we generated $2.5 million in cash from financing activities compared to $0.3 million generated from financing activities during the same period in fiscal 2010.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$2.2 million increase in cash generated from financing activities was primarily due to an increase of $1.5 million of cash generated from stock related activities, the absence of $0.6 million in payments under our line of credit with UBS, and a $0.1 million payment of deferred financing costs during the six months ended December 31, 2009.</w:t>
      </w:r>
    </w:p>
    <w:p>
      <w:pPr>
        <w:spacing w:after="0" w:line="14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During the six months ended December 31, 2010, our primary source of liquidity came from existing cash and cash generated from operations. Our near-term fixed commitments for cash expenditures consist primarily of payments under operating leases, a supply agreement and inventory purchase commitments with our contract manufacturers. We do not currently have any material commitments for capital expenditures.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January 12, 2011, we acquired the outstanding equity interests in LNX Corporation. The purchase price for the acquisition was approximately $31.0 million, subject to post-closing adjustments. We funded the purchase price with cash on hand. We acquired LNX Corporation free of bank debt. In addition to the $31.0 million cash purchase price, we also committed to pay up to $5.0 million upon the achievement of financial targets in calendar years 2011 and 2012.</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with Silicon Valley Bank and cash generated from operations will be sufficient to satisfy our anticipated cash requirements for at least the next twelve months.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fiscal 2010, we exercised the put option to sell our ARS balance to UBS at par. The transaction settled on July 1, 2010 when we received $18.0 million in cash.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Under UBS Line of Credit</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fiscal 2010, we repaid all of our borrowings under our line of credit with UBS. Upon the settlement of the put option for our ARS on July 1, 2010, the UBS line of credit terminated.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February 12, 2010, we entered into a loan and security agreement (the “Loan Agreement”) with Silicon Valley Bank (the “Lender”). The Loan Agreement provides for a $15.0 million revolving line of credit (the “Revolver”) and a $20.0 million acquisition line (the “Term Loan”). The Revolver is available for borrowing during a two-year period, with interest payable monthly and the principal due at the February 11, 2012 maturity of the Revolver. The Term Loan is available for up to three separate borrowings, with total borrowings not to exceed $20.0 million, until February 11, 2012. The Term Loan has interest and principal payments starting on the September 1, 2010 payment date through the February 11, 2014 maturity of the Term Loan. The Term Loan was not used for the January 12, 2011 acquisition of LNX Corporation.</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Loan Agreement bears interest, at our option, at a rate per annum equal to either: (i) the prime rate minus 0.25% to plus 0.25%; or (ii) the LIBOR rate plus 2.75% to 3.25% (in each case, based on our consolidated leverage ratio at the time of borrowing). For prime rate borrowings, the prime rate shall be the greater of: (i) 4.00%; or (ii) the Lender’s prime rate. We may not have LIBOR credit extensions having more than four different interest periods outstanding at any point in time. We are required to pay a fee on the daily unused portion of the Loan Agreement of 0.30% per annum. Borrowings under the Revolver are available for letters of credit, cash management services, working capital, general business purposes and foreign exchange. Borrowings under the Term Loan are available to fund acquisitions.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Borrowings under the Loan Agreement are secured by a first-priority security interest in all of our domestic assets, including intellectual property, but limited to 65% of the voting stock of foreign subsidiaries. Our MFS and LNX subsidiaries are guarantors and have granted a security interest in their assets in favor of the Lender. The Lender may require Mercury Computer Systems Limited, our United Kingdom subsidiary, or Nihon Mercury Computer Systems, K.K., our Japanese subsidiary, to provide guarantees in the future if the cash or assets of such subsidiary exceed specified levels.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Loan Agreement provides for conventional affirmative and negative covenants, including a minimum quick ratio of 1.5 to 1.0. If we have less than $10 million of cash equivalents in accounts with the Lender in excess of our borrowings under the Loan Agreement, we must also satisfy a $15 million minimum trailing-four-quarter cash-flow covenant. The minimum cash flow covenant is calculated as our trailing-four quarter adjusted EBITDA (as defined in the Loan Agreement; EBITDA adjusted to add back non-cash stock compensation expenses and other one-time non-cash expenses as approved by the Lender), minus our capital expenditures during such period, and minus taxes paid by us in cash during such period. In addition, the Loan Agreement contains certain customary representations and warranties and limits us and our subsidiaries’ ability to incur liens, dispose of assets, carry out certain mergers and acquisitions, make investments and capital expenditures and defines events of default and limitations on us and our subsidiaries to incur additional debt.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had no borrowings against our Term Loan and Revolver since inception and were in compliance with all covenants in the Loan Agreement as of December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April 28, 2009, we filed a shelf registration statement on Form S-3 with the SEC. The shelf registration statement, which has been declared effective by the SEC, registered up to $100 million of debt securities, preferred stock, common stock, warrants and units. We may sell any combination of these securities, either individually or in units, in one or more offerings. We intend to use the net proceeds from the sale of any securities under the shelf registration statement for general corporate purposes, which may include the following:</w:t>
      </w:r>
    </w:p>
    <w:p>
      <w:pPr>
        <w:spacing w:after="0" w:line="6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purposes as described in any prospectus supplement under the shelf registration statement.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sell the securities under a variety of methods including directly to investors, using an underwriting syndicate, through brokers, by block trade or by other methods described in the shelf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December 31,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3"/>
              </w:rPr>
              <w:t>Less Than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4"/>
                <w:szCs w:val="14"/>
                <w:b w:val="1"/>
                <w:bCs w:val="1"/>
                <w:color w:val="auto"/>
              </w:rPr>
              <w:t>2-3</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8"/>
              <w:spacing w:after="0"/>
              <w:rPr>
                <w:sz w:val="20"/>
                <w:szCs w:val="20"/>
                <w:color w:val="auto"/>
              </w:rPr>
            </w:pPr>
            <w:r>
              <w:rPr>
                <w:rFonts w:ascii="Arial" w:cs="Arial" w:eastAsia="Arial" w:hAnsi="Arial"/>
                <w:sz w:val="14"/>
                <w:szCs w:val="14"/>
                <w:b w:val="1"/>
                <w:bCs w:val="1"/>
                <w:color w:val="auto"/>
              </w:rPr>
              <w:t>4-5</w:t>
            </w:r>
          </w:p>
        </w:tc>
        <w:tc>
          <w:tcPr>
            <w:tcW w:w="5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jc w:val="right"/>
              <w:ind w:right="38"/>
              <w:spacing w:after="0"/>
              <w:rPr>
                <w:sz w:val="20"/>
                <w:szCs w:val="20"/>
                <w:color w:val="auto"/>
              </w:rPr>
            </w:pPr>
            <w:r>
              <w:rPr>
                <w:rFonts w:ascii="Arial" w:cs="Arial" w:eastAsia="Arial" w:hAnsi="Arial"/>
                <w:sz w:val="14"/>
                <w:szCs w:val="14"/>
                <w:b w:val="1"/>
                <w:bCs w:val="1"/>
                <w:color w:val="auto"/>
              </w:rPr>
              <w:t>1 Year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78"/>
              </w:rPr>
              <w:t>Years</w:t>
            </w:r>
          </w:p>
        </w:tc>
        <w:tc>
          <w:tcPr>
            <w:tcW w:w="80" w:type="dxa"/>
            <w:vAlign w:val="bottom"/>
          </w:tcPr>
          <w:p>
            <w:pPr>
              <w:spacing w:after="0"/>
              <w:rPr>
                <w:sz w:val="14"/>
                <w:szCs w:val="14"/>
                <w:color w:val="auto"/>
              </w:rPr>
            </w:pPr>
          </w:p>
        </w:tc>
        <w:tc>
          <w:tcPr>
            <w:tcW w:w="420" w:type="dxa"/>
            <w:vAlign w:val="bottom"/>
          </w:tcPr>
          <w:p>
            <w:pPr>
              <w:jc w:val="right"/>
              <w:ind w:right="18"/>
              <w:spacing w:after="0"/>
              <w:rPr>
                <w:sz w:val="20"/>
                <w:szCs w:val="20"/>
                <w:color w:val="auto"/>
              </w:rPr>
            </w:pPr>
            <w:r>
              <w:rPr>
                <w:rFonts w:ascii="Arial" w:cs="Arial" w:eastAsia="Arial" w:hAnsi="Arial"/>
                <w:sz w:val="14"/>
                <w:szCs w:val="14"/>
                <w:b w:val="1"/>
                <w:bCs w:val="1"/>
                <w:color w:val="auto"/>
                <w:w w:val="78"/>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3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$12,562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$ 12,562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440" w:type="dxa"/>
            <w:vAlign w:val="bottom"/>
            <w:gridSpan w:val="3"/>
          </w:tcPr>
          <w:p>
            <w:pPr>
              <w:jc w:val="right"/>
              <w:ind w:right="520"/>
              <w:spacing w:after="0"/>
              <w:rPr>
                <w:sz w:val="20"/>
                <w:szCs w:val="20"/>
                <w:color w:val="auto"/>
              </w:rPr>
            </w:pPr>
            <w:r>
              <w:rPr>
                <w:rFonts w:ascii="Arial" w:cs="Arial" w:eastAsia="Arial" w:hAnsi="Arial"/>
                <w:sz w:val="18"/>
                <w:szCs w:val="18"/>
                <w:color w:val="auto"/>
              </w:rPr>
              <w:t>15,735</w:t>
            </w:r>
          </w:p>
        </w:tc>
        <w:tc>
          <w:tcPr>
            <w:tcW w:w="600" w:type="dxa"/>
            <w:vAlign w:val="bottom"/>
          </w:tcPr>
          <w:p>
            <w:pPr>
              <w:jc w:val="right"/>
              <w:spacing w:after="0"/>
              <w:rPr>
                <w:sz w:val="20"/>
                <w:szCs w:val="20"/>
                <w:color w:val="auto"/>
              </w:rPr>
            </w:pPr>
            <w:r>
              <w:rPr>
                <w:rFonts w:ascii="Arial" w:cs="Arial" w:eastAsia="Arial" w:hAnsi="Arial"/>
                <w:sz w:val="18"/>
                <w:szCs w:val="18"/>
                <w:color w:val="auto"/>
              </w:rPr>
              <w:t>3,108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5,350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4,499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3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3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306</w:t>
            </w: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4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30,268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$ 17,520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5,471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4,499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a liability at December 31, 2010 of $2.0 million for uncertain tax positions that have been taken or are expected to be taken in various income tax returns. We do not know the ultimate resolutions of these uncertain tax positions and as such, do not know the ultimate timing of payments related to this liability. Accordingly, these amounts are not included in the above table.</w:t>
      </w:r>
    </w:p>
    <w:p>
      <w:pPr>
        <w:spacing w:after="0" w:line="14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Purchase obligations represent open non-cancelable purchase commitments for certain inventory components and services used in normal operations. The purchase commitments covered by these agreements are generally for less than one year and aggregated approximately $12.6 million at December 31, 2010.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September 2006, we entered into a supply agreement with a third-party vendor to purchase certain inventory parts that went “end of life.” This supply agreement, as subsequently amended, commits the vendor to acquiring and storing approximately $6.5 million of inventory until August 31, 2012 and allows us to place orders for the inventory four times a year. Upon the earlier of January 31, 2007 or completion of the wafer fabrication process, we were required to and paid approximately $1.9 million of the $6.5 million. Further, upon expiration of the agreement on August 31, 2012, if we do not purchase the full $6.5 million in inventory, we may be required to pay a penalty equal to 35% of the remaining inventory balance. As of December 31, 2010, the remaining minimum commitment related to this agreement was $1.7 million, which is the 35% “penalty” on the remaining inventory balance. While we expect to continue to purchase this inventory through the expiration of the agreement, we do not expect to purchase the full $6.5 million noted above. As of December 31, 2010, we have recorded an accrued liability of approximately $0.5 million for the 35% penalty we anticipate on paying for unpurchased inventory.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July 2008, we and our former CEO, James Bertelli, entered into an agreement for consulting services through June 30, 2010. The consideration for these services totaled $0.2 million. Additionally, in July 2008, we entered into a five year non-compete agreement with Mr. Bertelli. This agreement, which is carried as an intangible asset on our balance sheet, was valued at $0.5 million and is being amortized over the life of the agreement. As of December 31, 2010, we had made payments of $0.5 million under this non-compete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December 31, 2010, we did not engage in any related party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jc w:val="both"/>
        <w:ind w:right="280" w:firstLine="456"/>
        <w:spacing w:after="0" w:line="255" w:lineRule="auto"/>
        <w:rPr>
          <w:sz w:val="20"/>
          <w:szCs w:val="20"/>
          <w:color w:val="auto"/>
        </w:rPr>
      </w:pPr>
      <w:r>
        <w:rPr>
          <w:rFonts w:ascii="Arial" w:cs="Arial" w:eastAsia="Arial" w:hAnsi="Arial"/>
          <w:sz w:val="18"/>
          <w:szCs w:val="18"/>
          <w:color w:val="auto"/>
        </w:rPr>
        <w:t xml:space="preserve">In December 2010, the FASB issued ASU 2010-28, </w:t>
      </w:r>
      <w:r>
        <w:rPr>
          <w:rFonts w:ascii="Arial" w:cs="Arial" w:eastAsia="Arial" w:hAnsi="Arial"/>
          <w:sz w:val="18"/>
          <w:szCs w:val="18"/>
          <w:i w:val="1"/>
          <w:iCs w:val="1"/>
          <w:color w:val="auto"/>
        </w:rPr>
        <w:t>When to Perform Step 2 of the Goodwill Impairment Test for Reporting Units with Zero or Negative</w:t>
      </w:r>
      <w:r>
        <w:rPr>
          <w:rFonts w:ascii="Arial" w:cs="Arial" w:eastAsia="Arial" w:hAnsi="Arial"/>
          <w:sz w:val="18"/>
          <w:szCs w:val="18"/>
          <w:color w:val="auto"/>
        </w:rPr>
        <w:t xml:space="preserve"> </w:t>
      </w:r>
      <w:r>
        <w:rPr>
          <w:rFonts w:ascii="Arial" w:cs="Arial" w:eastAsia="Arial" w:hAnsi="Arial"/>
          <w:sz w:val="18"/>
          <w:szCs w:val="18"/>
          <w:i w:val="1"/>
          <w:iCs w:val="1"/>
          <w:color w:val="auto"/>
        </w:rPr>
        <w:t>Carrying Amounts</w:t>
      </w:r>
      <w:r>
        <w:rPr>
          <w:rFonts w:ascii="Arial" w:cs="Arial" w:eastAsia="Arial" w:hAnsi="Arial"/>
          <w:sz w:val="18"/>
          <w:szCs w:val="18"/>
          <w:color w:val="auto"/>
        </w:rPr>
        <w:t>, a consensus of the FASB Emerging Issues Task Force (Issue No. 10-A). The guidance modifies Step 1 of the goodwill impairment test for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with zero or negative carrying amounts. For those reporting units, an entity is required to perform Step 2 of the goodwill impairment test if it is more likely than not that a goodwill impairment exists. This guidance is effective for us on July 1, 2011 and it is not expected to have a material impact to our consolidated financial statements.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December 2010, the FASB issued ASU 2010-29, </w:t>
      </w:r>
      <w:r>
        <w:rPr>
          <w:rFonts w:ascii="Arial" w:cs="Arial" w:eastAsia="Arial" w:hAnsi="Arial"/>
          <w:sz w:val="16"/>
          <w:szCs w:val="16"/>
          <w:i w:val="1"/>
          <w:iCs w:val="1"/>
          <w:color w:val="auto"/>
        </w:rPr>
        <w:t>Business Combinations (Topic 805), Disclosure of Supplementary Pro Forma Information for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 consensus of the FASB Emerging Issues Task Force (Issue No. 10-G). This guidance specifies that if a public entity presents comparative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the entity (acquirer) should disclose revenue and earnings of the combined entity as though the business combination(s) that occurred during the current year had occurred as of the beginning of the comparable prior annual reporting period only. It also expands the supplemental pro forma disclosures under Topic 805 to include a description of the nature and amount of material, nonrecurring pro forma adjustments directly attributable to the business combination included in the reported pro forma revenue and earnings. This guidance is effective prospectively for material business combinations for which the acquisition date is on or after July 1,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There have been no material changes in our exposure to market risk from June 30, 2010 to December 31, 2010 as we disclosed in Item 7A of our 2010 Annual Report on Form 10-K filed on August 19, 2010 with the Securities and Exchange Commission.</w:t>
      </w:r>
    </w:p>
    <w:p>
      <w:pPr>
        <w:spacing w:after="0" w:line="4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December 31, 2010.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13a-15(f) and 15d-15(f) under the Exchange Act) that occurred during the quarter ended December 31, 2010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are subject to legal proceedings, claims and tax audits that arise in the ordinary course of business and in the opinion of management the outcome of these matters will not have a material adverse effect on our financial position, results of operations or cash flows.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2010 (“2010 Annual Report on Form 10-K”). There have been no material changes from the factors disclosed in our 2010 Annual Report on Form 10-K filed on August 19, 2010 with the Securities and Exchange Commission, although we may disclose changes to such factors or disclose additional factors from time to time in our future filings with the Securities and Exchange Commission.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34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00"/>
              <w:spacing w:after="0"/>
              <w:rPr>
                <w:sz w:val="20"/>
                <w:szCs w:val="20"/>
                <w:color w:val="auto"/>
              </w:rPr>
            </w:pPr>
            <w:r>
              <w:rPr>
                <w:rFonts w:ascii="Arial" w:cs="Arial" w:eastAsia="Arial" w:hAnsi="Arial"/>
                <w:sz w:val="18"/>
                <w:szCs w:val="18"/>
                <w:color w:val="auto"/>
              </w:rPr>
              <w:t>Certification of the Chief Executive Officer pursuant to Securities Exchange Act Rule</w:t>
            </w:r>
          </w:p>
        </w:tc>
      </w:tr>
      <w:tr>
        <w:trPr>
          <w:trHeight w:val="222"/>
        </w:trPr>
        <w:tc>
          <w:tcPr>
            <w:tcW w:w="84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13a-14(a)/15(d)-14(a), as adopted pursuant to Section 906 of the Sarbanes-Oxley Act of 2002.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200"/>
              <w:spacing w:after="0"/>
              <w:rPr>
                <w:sz w:val="20"/>
                <w:szCs w:val="20"/>
                <w:color w:val="auto"/>
              </w:rPr>
            </w:pPr>
            <w:r>
              <w:rPr>
                <w:rFonts w:ascii="Arial" w:cs="Arial" w:eastAsia="Arial" w:hAnsi="Arial"/>
                <w:sz w:val="18"/>
                <w:szCs w:val="18"/>
                <w:color w:val="auto"/>
              </w:rPr>
              <w:t>Certification of the Chief Financial Officer pursuant to Securities Exchange Act Rule</w:t>
            </w:r>
          </w:p>
        </w:tc>
      </w:tr>
      <w:tr>
        <w:trPr>
          <w:trHeight w:val="222"/>
        </w:trPr>
        <w:tc>
          <w:tcPr>
            <w:tcW w:w="84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13a-14(a)/15(d)-14(a), as adopted pursuant to Section 906 of the Sarbanes-Oxley Act of 2002.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200"/>
              <w:spacing w:after="0"/>
              <w:rPr>
                <w:sz w:val="20"/>
                <w:szCs w:val="20"/>
                <w:color w:val="auto"/>
              </w:rPr>
            </w:pPr>
            <w:r>
              <w:rPr>
                <w:rFonts w:ascii="Arial" w:cs="Arial" w:eastAsia="Arial" w:hAnsi="Arial"/>
                <w:sz w:val="18"/>
                <w:szCs w:val="18"/>
                <w:color w:val="auto"/>
                <w:w w:val="89"/>
              </w:rPr>
              <w:t>Certification of the Chief Executive Officer and Chief Financial Officer pursuant to 18 U.S.C. Section 1350, as adopted pursuant to Section 906 of</w:t>
            </w:r>
          </w:p>
        </w:tc>
      </w:tr>
      <w:tr>
        <w:trPr>
          <w:trHeight w:val="222"/>
        </w:trPr>
        <w:tc>
          <w:tcPr>
            <w:tcW w:w="84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February 3, 2011.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tabs>
          <w:tab w:leader="none" w:pos="838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Robert E. Hult</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00"/>
          </w:cols>
          <w:pgMar w:left="240" w:top="459" w:right="11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2011</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E. Hult, certify that:</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2011</w:t>
      </w:r>
    </w:p>
    <w:p>
      <w:pPr>
        <w:spacing w:after="0" w:line="21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ind w:left="11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connection with the Quarterly Report of Mercury Computer Systems, Inc. (the “Company”) on Form 10-Q for the period ended December 31, 2010 as filed with the Securities and Exchange Commission (the “Report”), each of, Mark Aslett, President and Chief Executive Officer of the Company, and Robert E. Hult, Senior Vice President, Chief Financial Officer and Treasurer of the Company, certify, pursuant to Section 1350 of Chapter 63 of Title 18, United States Code, that to his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2011</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81"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2019-12-10T17:00:36Z</dcterms:created>
  <dcterms:modified xsi:type="dcterms:W3CDTF">2019-12-10T17:00:36Z</dcterms:modified>
</cp:coreProperties>
</file>