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highlight w:val="black"/>
        </w:rPr>
      </w:pPr>
    </w:p>
    <w:p>
      <w:pPr>
        <w:ind w:left="460"/>
        <w:spacing w:after="0"/>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FOR THE QUARTERLY PERIOD ENDED MARCH 31, 2010</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w:t>
      </w:r>
    </w:p>
    <w:p>
      <w:pPr>
        <w:spacing w:after="0" w:line="220" w:lineRule="exact"/>
        <w:rPr>
          <w:sz w:val="24"/>
          <w:szCs w:val="24"/>
          <w:color w:val="auto"/>
        </w:rPr>
      </w:pPr>
    </w:p>
    <w:p>
      <w:pPr>
        <w:ind w:left="460"/>
        <w:spacing w:after="0"/>
        <w:tabs>
          <w:tab w:leader="none" w:pos="6100" w:val="left"/>
          <w:tab w:leader="none" w:pos="754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21"/>
          <w:szCs w:val="21"/>
          <w:b w:val="1"/>
          <w:bCs w:val="1"/>
          <w:color w:val="auto"/>
        </w:rPr>
        <w:t>.</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22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spacing w:after="0"/>
              <w:rPr>
                <w:sz w:val="19"/>
                <w:szCs w:val="19"/>
                <w:color w:val="auto"/>
              </w:rPr>
            </w:pPr>
          </w:p>
        </w:tc>
      </w:tr>
      <w:tr>
        <w:trPr>
          <w:trHeight w:val="177"/>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60" w:firstLine="456"/>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7" w:lineRule="exact"/>
        <w:rPr>
          <w:sz w:val="24"/>
          <w:szCs w:val="24"/>
          <w:color w:val="auto"/>
        </w:rPr>
      </w:pPr>
    </w:p>
    <w:p>
      <w:pPr>
        <w:ind w:left="460" w:right="166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May 1, 2010: 23,676,431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820" w:type="dxa"/>
            <w:vAlign w:val="bottom"/>
            <w:gridSpan w:val="15"/>
            <w:vMerge w:val="restart"/>
          </w:tcPr>
          <w:p>
            <w:pPr>
              <w:spacing w:after="0"/>
              <w:rPr>
                <w:sz w:val="20"/>
                <w:szCs w:val="20"/>
                <w:color w:val="auto"/>
              </w:rPr>
            </w:pPr>
            <w:r>
              <w:rPr>
                <w:rFonts w:ascii="Arial" w:cs="Arial" w:eastAsia="Arial" w:hAnsi="Arial"/>
                <w:sz w:val="18"/>
                <w:szCs w:val="18"/>
                <w:color w:val="auto"/>
              </w:rPr>
              <w:t>PART I. FINANCIAL INFORMATION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20" w:type="dxa"/>
            <w:vAlign w:val="bottom"/>
            <w:gridSpan w:val="15"/>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2010 and June 30, 2009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for the three and nine months ended March 31, 2010 and 2009</w:t>
              </w:r>
            </w:hyperlink>
          </w:p>
        </w:tc>
        <w:tc>
          <w:tcPr>
            <w:tcW w:w="2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5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nine months ended March 31, 2010 and 2009</w:t>
              </w:r>
            </w:hyperlink>
          </w:p>
        </w:tc>
        <w:tc>
          <w:tcPr>
            <w:tcW w:w="29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30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640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1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3"/>
          </w:tcPr>
          <w:p>
            <w:pPr>
              <w:spacing w:after="0"/>
              <w:rPr>
                <w:sz w:val="24"/>
                <w:szCs w:val="24"/>
                <w:color w:val="auto"/>
              </w:rPr>
            </w:pPr>
          </w:p>
        </w:tc>
        <w:tc>
          <w:tcPr>
            <w:tcW w:w="528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1"/>
        </w:trPr>
        <w:tc>
          <w:tcPr>
            <w:tcW w:w="1082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1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3640" w:type="dxa"/>
            <w:vAlign w:val="bottom"/>
            <w:tcBorders>
              <w:top w:val="single" w:sz="8" w:color="0000EE"/>
            </w:tcBorders>
            <w:gridSpan w:val="8"/>
          </w:tcPr>
          <w:p>
            <w:pPr>
              <w:spacing w:after="0"/>
              <w:rPr>
                <w:sz w:val="24"/>
                <w:szCs w:val="24"/>
                <w:color w:val="auto"/>
              </w:rPr>
            </w:pPr>
          </w:p>
        </w:tc>
        <w:tc>
          <w:tcPr>
            <w:tcW w:w="524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4160" w:type="dxa"/>
            <w:vAlign w:val="bottom"/>
            <w:gridSpan w:val="8"/>
          </w:tcPr>
          <w:p>
            <w:pPr>
              <w:jc w:val="right"/>
              <w:ind w:right="48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00" w:type="dxa"/>
            <w:vAlign w:val="bottom"/>
          </w:tcPr>
          <w:p>
            <w:pPr>
              <w:jc w:val="center"/>
              <w:ind w:left="1132"/>
              <w:spacing w:after="0"/>
              <w:rPr>
                <w:sz w:val="20"/>
                <w:szCs w:val="20"/>
                <w:color w:val="auto"/>
              </w:rPr>
            </w:pPr>
            <w:r>
              <w:rPr>
                <w:rFonts w:ascii="Arial" w:cs="Arial" w:eastAsia="Arial" w:hAnsi="Arial"/>
                <w:sz w:val="18"/>
                <w:szCs w:val="18"/>
                <w:color w:val="auto"/>
                <w:w w:val="85"/>
              </w:rPr>
              <w:t>(In thousands, except per share and share data)</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Accounts receivable, net of allowance for doubtful accounts of $375 and $425 at March 31, 2010 and June 30, 2009,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 to sell auction rate securities at par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225,365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8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Borrowings under line of credit and current capital lease obligations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Commitments and contingencies (Note 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$.01 par value; 85,000,000 shares authorized; 22,664,900 and 22,376,069 shares issued and outstanding at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March 31, 2010 and June 30, 2009, 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108,644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225,365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43,603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50,563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136,192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18,800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24,803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12,538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10,629</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23,651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24,439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74,335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(2,235)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3,276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22,627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23,152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9,705</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(10,218)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5,092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Impairment of goodwill and long-lived assets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Non-cash interest expense</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Gain on sale of discontinued operations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non-cash income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of businesses disposed of:</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(1,872)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(3,264)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Prepaid income taxes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(2,330)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3,996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revenues and customer advances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86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long term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163"/>
        </w:trPr>
        <w:tc>
          <w:tcPr>
            <w:tcW w:w="99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9"/>
              </w:rPr>
              <w:t>12,295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(138,583)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12,175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198,878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(4,948)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acquired intangible assets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life insurance policies redemption</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proceeds from sale of discontinued operations, net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63"/>
        </w:trPr>
        <w:tc>
          <w:tcPr>
            <w:tcW w:w="99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6,239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employee stock plans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1,266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borrowings under line of credit, net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(8,432)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Payments of deferred financing activities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of principal under notes payable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(119,688)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Proceeds (payments) of capital lease obligations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(6,900)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(85,940)</w:t>
            </w:r>
          </w:p>
        </w:tc>
        <w:tc>
          <w:tcPr>
            <w:tcW w:w="0" w:type="dxa"/>
            <w:vAlign w:val="bottom"/>
          </w:tcPr>
          <w:p>
            <w:pPr>
              <w:spacing w:after="0"/>
              <w:rPr>
                <w:sz w:val="1"/>
                <w:szCs w:val="1"/>
                <w:color w:val="auto"/>
              </w:rPr>
            </w:pPr>
          </w:p>
        </w:tc>
      </w:tr>
      <w:tr>
        <w:trPr>
          <w:trHeight w:val="163"/>
        </w:trPr>
        <w:tc>
          <w:tcPr>
            <w:tcW w:w="99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11,874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(18,461)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9"/>
              </w:rPr>
              <w:t>46,950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59,045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58,824</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40,584</w:t>
            </w:r>
          </w:p>
        </w:tc>
        <w:tc>
          <w:tcPr>
            <w:tcW w:w="0" w:type="dxa"/>
            <w:vAlign w:val="bottom"/>
          </w:tcPr>
          <w:p>
            <w:pPr>
              <w:spacing w:after="0"/>
              <w:rPr>
                <w:sz w:val="1"/>
                <w:szCs w:val="1"/>
                <w:color w:val="auto"/>
              </w:rPr>
            </w:pPr>
          </w:p>
        </w:tc>
      </w:tr>
      <w:tr>
        <w:trPr>
          <w:trHeight w:val="20"/>
        </w:trPr>
        <w:tc>
          <w:tcPr>
            <w:tcW w:w="9920" w:type="dxa"/>
            <w:vAlign w:val="bottom"/>
            <w:gridSpan w:val="2"/>
            <w:vMerge w:val="restart"/>
          </w:tcPr>
          <w:p>
            <w:pPr>
              <w:spacing w:after="0"/>
              <w:rPr>
                <w:sz w:val="20"/>
                <w:szCs w:val="20"/>
                <w:color w:val="auto"/>
              </w:rPr>
            </w:pPr>
            <w:r>
              <w:rPr>
                <w:rFonts w:ascii="Arial" w:cs="Arial" w:eastAsia="Arial" w:hAnsi="Arial"/>
                <w:sz w:val="14"/>
                <w:szCs w:val="14"/>
                <w:color w:val="auto"/>
              </w:rPr>
              <w:t>Cash paid (received) during the period for: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vMerge w:val="restart"/>
          </w:tcPr>
          <w:p>
            <w:pPr>
              <w:ind w:left="420"/>
              <w:spacing w:after="0"/>
              <w:rPr>
                <w:sz w:val="20"/>
                <w:szCs w:val="20"/>
                <w:color w:val="auto"/>
              </w:rPr>
            </w:pPr>
            <w:r>
              <w:rPr>
                <w:rFonts w:ascii="Arial" w:cs="Arial" w:eastAsia="Arial" w:hAnsi="Arial"/>
                <w:sz w:val="14"/>
                <w:szCs w:val="14"/>
                <w:color w:val="auto"/>
              </w:rPr>
              <w:t>Income benefit (taxes), net</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4"/>
                <w:szCs w:val="14"/>
                <w:color w:val="auto"/>
                <w:w w:val="96"/>
              </w:rPr>
              <w:t>2,504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9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disclosures—non-cash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ind w:left="420"/>
              <w:spacing w:after="0" w:line="149" w:lineRule="exact"/>
              <w:rPr>
                <w:sz w:val="20"/>
                <w:szCs w:val="20"/>
                <w:color w:val="auto"/>
              </w:rPr>
            </w:pPr>
            <w:r>
              <w:rPr>
                <w:rFonts w:ascii="Arial" w:cs="Arial" w:eastAsia="Arial" w:hAnsi="Arial"/>
                <w:sz w:val="14"/>
                <w:szCs w:val="14"/>
                <w:color w:val="auto"/>
              </w:rPr>
              <w:t>Issuance of restricted stock awards to employees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6,112</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embedded and other specialized computing markets. The Company’s solutions are involved in a wide range of applications, transforming sensor data to information for analysis and interpretation. In military reconnaissance and surveillance platforms, the Company’s systems process real-time radar,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agencies and homeland security programs. The Company’s primary markets are aerospace and defense, specifically in the Intelligence, Surveillance and Reconnaissance (“ISR”) space, which includes radar, electronic warfare, sonar and electro-optical markets; and commercial markets, which include semiconductor, commercial computing and homeland security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financial statements and related notes for the fiscal year ended June 30, 2009 which are contained in the Company’s Annual Report on Form 10-K filed with the Securities and Exchange Commission (“SEC”). The results for the three and nine months ended March 31, 2010 are not necessarily indicative of the results to be expected for the full fiscal year.</w:t>
      </w:r>
    </w:p>
    <w:p>
      <w:pPr>
        <w:spacing w:after="0" w:line="1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consolidated financial statements include the accounts of the Company and its wholly-owned subsidiaries. All intercompany transactions and balances have been eliminated. The fiscal 2009 consolidated financial statements, excluding the statement of cash flows, were reclassified to reflect the discontinuation and sale of the Biotech business (“Biotech”), the Visage Imaging (“VI”) business and the Visualization Sciences Group (“VSG”) business, in accordance with the Financial Accounting Standards Board (“FASB”) issued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(“FASB ASC 360”)</w:t>
      </w:r>
      <w:r>
        <w:rPr>
          <w:rFonts w:ascii="Arial" w:cs="Arial" w:eastAsia="Arial" w:hAnsi="Arial"/>
          <w:sz w:val="16"/>
          <w:szCs w:val="16"/>
          <w:i w:val="1"/>
          <w:iCs w:val="1"/>
          <w:color w:val="auto"/>
        </w:rPr>
        <w:t>,</w:t>
      </w:r>
      <w:r>
        <w:rPr>
          <w:rFonts w:ascii="Arial" w:cs="Arial" w:eastAsia="Arial" w:hAnsi="Arial"/>
          <w:sz w:val="16"/>
          <w:szCs w:val="16"/>
          <w:color w:val="auto"/>
        </w:rPr>
        <w:t xml:space="preserve"> previously SFAS No. 144 (see Note P).</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During the third quarter of fiscal 2010, the Company identified errors totaling $428 primarily related to deferred revenue, of which $108, $219 and $101 understated income in the fourth quarter of fiscal 2009, and the first and second quarters of fiscal 2010, respectively. The Company recorded an increase in revenue of $96 and a reduction to cost of goods sold of $332 in the third quarter of fiscal 2010 to adjust for the errors and correctly reflect the March 31, 2010 year-to-date period. The Company has concluded that the impact of these errors is not material to prior periods or the three and nine months ended March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assets and liabilities at the dates of the financial statements and the reported amounts of revenues and expenses during the reporting periods. Actual results could differ from those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In June 2009, the FASB issued Statement of Financial Accounting Standards (“SFAS”) No. 168, </w:t>
      </w:r>
      <w:r>
        <w:rPr>
          <w:rFonts w:ascii="Arial" w:cs="Arial" w:eastAsia="Arial" w:hAnsi="Arial"/>
          <w:sz w:val="16"/>
          <w:szCs w:val="16"/>
          <w:i w:val="1"/>
          <w:iCs w:val="1"/>
          <w:color w:val="auto"/>
        </w:rPr>
        <w:t>The FASB Accounting Standards Codification</w:t>
      </w:r>
      <w:r>
        <w:rPr>
          <w:rFonts w:ascii="Arial" w:cs="Arial" w:eastAsia="Arial" w:hAnsi="Arial"/>
          <w:sz w:val="10"/>
          <w:szCs w:val="10"/>
          <w:i w:val="1"/>
          <w:iCs w:val="1"/>
          <w:color w:val="auto"/>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and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Hierarchy of Generally Accepted Accounting Principles—a replacement of FASB Statement No. 162 </w:t>
      </w:r>
      <w:r>
        <w:rPr>
          <w:rFonts w:ascii="Arial" w:cs="Arial" w:eastAsia="Arial" w:hAnsi="Arial"/>
          <w:sz w:val="16"/>
          <w:szCs w:val="16"/>
          <w:color w:val="auto"/>
        </w:rPr>
        <w:t>(“FASB SFAS 168”). SFAS 168 establishes the</w:t>
      </w:r>
      <w:r>
        <w:rPr>
          <w:rFonts w:ascii="Arial" w:cs="Arial" w:eastAsia="Arial" w:hAnsi="Arial"/>
          <w:sz w:val="16"/>
          <w:szCs w:val="16"/>
          <w:i w:val="1"/>
          <w:iCs w:val="1"/>
          <w:color w:val="auto"/>
        </w:rPr>
        <w:t xml:space="preserve"> FASB Accounting Standards Codification</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as the source of authoritative U.S. GAAP for nongovernmental entities. The Codification does not change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 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Changes to the ASC subsequent to June 30, 2009 are referred to as Accounting Standards Updates (“ASU”).</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In conjunction with the issuance of FASB SFAS 168, the FASB also issued ASU No. 2009-1, </w:t>
      </w:r>
      <w:r>
        <w:rPr>
          <w:rFonts w:ascii="Arial" w:cs="Arial" w:eastAsia="Arial" w:hAnsi="Arial"/>
          <w:sz w:val="18"/>
          <w:szCs w:val="18"/>
          <w:i w:val="1"/>
          <w:iCs w:val="1"/>
          <w:color w:val="auto"/>
        </w:rPr>
        <w:t>Topic 105—Generally Accepted Accounting Principles</w:t>
      </w:r>
      <w:r>
        <w:rPr>
          <w:rFonts w:ascii="Arial" w:cs="Arial" w:eastAsia="Arial" w:hAnsi="Arial"/>
          <w:sz w:val="18"/>
          <w:szCs w:val="18"/>
          <w:color w:val="auto"/>
        </w:rPr>
        <w:t xml:space="preserve"> (“FASB ASU 2009-1”), which includes FASB SFAS 168 in its entirety as a transition to the ASC. FASB ASU 2009-1 is effective for interim and annual periods ending after September 15, 2009 and will not have an impact on the Company’s financial position or results of operations but will change the referencing system for accounting standards.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Effective February 2010, the Company adopted FASB ASU 2010-09,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ASU 2010-09”), which updated FASB ASC 855,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(“FASB ASC 855”). FASB ASU 2010-09 clarifies the date through which the Company is required to evaluate subsequent events. SEC filers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evaluate subsequent events through the date that the financial statements are issued. Such adoption had no impact on the Company’s financial position or results of operations as it only amends required disclosures.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Effective January 1, 2010, the Company adopted FASB ASU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xml:space="preserve"> (“FASB ASU 2010-06”). FASB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Such adoption did not have a material impact on the Company’s financial position or results of operation.</w:t>
      </w:r>
    </w:p>
    <w:p>
      <w:pPr>
        <w:spacing w:after="0" w:line="147"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 xml:space="preserve">Effective July 1, 2009, the Company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(“FASB ASU 2009-13”), which amends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for the Company July 1, 2010; however, the Company has elected to early adopt as permitted by the guidance. As such, the Company will prospectively apply the provisions of FASB ASU 2009-13 to all revenue arrangements entered into or materially modified after July 1, 2009. See Note C for disclosures regarding the adoption of FASB ASU 2009-13.</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Effective July 1, 2009, the Company adopted FASB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(“FASB ASU 2009-14”), which amends FASB ASC 985, </w:t>
      </w:r>
      <w:r>
        <w:rPr>
          <w:rFonts w:ascii="Arial" w:cs="Arial" w:eastAsia="Arial" w:hAnsi="Arial"/>
          <w:sz w:val="16"/>
          <w:szCs w:val="16"/>
          <w:i w:val="1"/>
          <w:iCs w:val="1"/>
          <w:color w:val="auto"/>
        </w:rPr>
        <w:t>Software</w:t>
      </w:r>
      <w:r>
        <w:rPr>
          <w:rFonts w:ascii="Arial" w:cs="Arial" w:eastAsia="Arial" w:hAnsi="Arial"/>
          <w:sz w:val="16"/>
          <w:szCs w:val="16"/>
          <w:color w:val="auto"/>
        </w:rPr>
        <w:t>. FASB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the Company July 1, 2010; however, the Company has elected to early adopt as permitted by the guidance. As such, the Company will prospectively apply the provisions of FASB ASU 2009-14 to all revenue arrangements entered into or materially modified after July 1, 2009. Such adoption did not have a material impact on the Company’s financial position or results of operations.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Effective July 1, 2009, the Company adopted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the Company had no acquisitions and as such, the adoption did not have a material impact on the Company’s financial position or results of operations.</w:t>
      </w:r>
    </w:p>
    <w:p>
      <w:pPr>
        <w:spacing w:after="0" w:line="14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Effective July 1, 2009, the Company adopted FASB Staff Position (“FSP”)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was primarily codified into FASB ASC 350—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the Company on July 1, 2009. Although future transactions involving intangible assets may be affected by this guidance, it did not impact the Company’s financial position or results of operations as the Company did not acquire any intangible assets during the three and nine months ended March 31, 2010.</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Effective July 1, 2009, the Company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the Company’s financial position or results of operations.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Effective August 2009, the Company adopted FASB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(“FASB ASU 2009-05”), which amends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FASB ASU 2009-05 provides clarification and guidance regarding how to value a liability when a quoted price in an active market is not available for that liability. The changes to the FASB ASC as a result of this update were effective for the Company on October 1, 2009. Such adoption did not have a material impact on the Company’s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I</w:t>
      </w:r>
      <w:r>
        <w:rPr>
          <w:rFonts w:ascii="Arial" w:cs="Arial" w:eastAsia="Arial" w:hAnsi="Arial"/>
          <w:sz w:val="14"/>
          <w:szCs w:val="14"/>
          <w:color w:val="auto"/>
        </w:rPr>
        <w:t>SSUED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2010, the FASB ratified ASU 2010-17, </w:t>
      </w:r>
      <w:r>
        <w:rPr>
          <w:rFonts w:ascii="Arial" w:cs="Arial" w:eastAsia="Arial" w:hAnsi="Arial"/>
          <w:sz w:val="18"/>
          <w:szCs w:val="18"/>
          <w:i w:val="1"/>
          <w:iCs w:val="1"/>
          <w:color w:val="auto"/>
        </w:rPr>
        <w:t>Revenue Recognition—Milestone Method (Topic 605): Milestone Method of Revenue Recognition</w:t>
      </w:r>
      <w:r>
        <w:rPr>
          <w:rFonts w:ascii="Arial" w:cs="Arial" w:eastAsia="Arial" w:hAnsi="Arial"/>
          <w:sz w:val="18"/>
          <w:szCs w:val="18"/>
          <w:color w:val="auto"/>
        </w:rPr>
        <w:t xml:space="preserve"> (“FASB ASU 2010-17”), which provides guidance related to revenue recognition that applies to arrangements with milestones relating to research or development deliverables. This guidance provides criteria that must be met to recognize consideration that is contingent upon achievement of a substantive milestone in its entirety in the period in which the milestone is achieved. This guidance is effective for the Company on July 1, 2010 and is not expected to have a material impact to its consolidated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Multiple-Deliverable Arrangements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and nine months ended March 31, 2010 was approximately 42% and 52% of total revenues, respectively. Revenue recognized under multiple-deliverable arrangements in the three and nine months ended March 31, 2009 was approximately 63% of total revenues. Typically, 80% to 90% of the Company’s multiple-deliverable revenue arrangements ship complete within the same quarter.</w:t>
      </w:r>
    </w:p>
    <w:p>
      <w:pPr>
        <w:spacing w:after="0" w:line="116" w:lineRule="exact"/>
        <w:rPr>
          <w:sz w:val="20"/>
          <w:szCs w:val="20"/>
          <w:color w:val="auto"/>
        </w:rPr>
      </w:pPr>
    </w:p>
    <w:p>
      <w:pPr>
        <w:jc w:val="both"/>
        <w:ind w:right="300" w:firstLine="456"/>
        <w:spacing w:after="0" w:line="283" w:lineRule="auto"/>
        <w:rPr>
          <w:sz w:val="20"/>
          <w:szCs w:val="20"/>
          <w:color w:val="auto"/>
        </w:rPr>
      </w:pPr>
      <w:r>
        <w:rPr>
          <w:rFonts w:ascii="Arial" w:cs="Arial" w:eastAsia="Arial" w:hAnsi="Arial"/>
          <w:sz w:val="16"/>
          <w:szCs w:val="16"/>
          <w:color w:val="auto"/>
        </w:rPr>
        <w:t xml:space="preserve">Effective July 1, 2009, the Company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eliminates the residual method of allocation for multiple-deliverable revenue arrangements and requires that arrangement consideration be allocated at the inception of an arrangement to all deliverables using the relative selling price method. FASB ASU 2009-13 also establishes a selling price hierarchy for determining the selling price of a deliverable, which includes: (1) vendor-specific objective evidence if available;</w:t>
      </w:r>
    </w:p>
    <w:p>
      <w:pPr>
        <w:spacing w:after="0" w:line="3" w:lineRule="exact"/>
        <w:rPr>
          <w:sz w:val="20"/>
          <w:szCs w:val="20"/>
          <w:color w:val="auto"/>
        </w:rPr>
      </w:pPr>
    </w:p>
    <w:p>
      <w:pPr>
        <w:ind w:right="100" w:firstLine="8"/>
        <w:spacing w:after="0" w:line="29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the Company on July 1, 2010; however, the Company elected to early adopt, as permitted by the guidance. As such, the Company has prospectively applied the provisions of FASB ASU 2009-13 to all revenue arrangements entered into or materially modified after July 1, 2009.</w:t>
      </w:r>
    </w:p>
    <w:p>
      <w:pPr>
        <w:spacing w:after="0" w:line="11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Per the provisions of FASB ASU 2009-13, the Company allocates arrangement consideration to each deliverable in an arrangement based on its relative selling price. The Company determines selling price using vendor specific objective evidence (“VSOE”), if it exists, otherwise third-party evidence (“TPE”). If neither VSOE nor TPE of selling price exists for a unit of accounting, the Company uses best estimated selling price (“BESP”). The Company generally expects that it will not be able to establish TPE due to the nature of the markets in which the Company competes, and, as such, the Company typically will determine selling price using VSOE or BESP.</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TPE is determined based on the prices charged by competitors of the Company for a similar deliverable when sold separately. As noted above, the Company typically is not able to use TPE as the Company is usually unable to obtain sufficient information on competitor pricing to substantiate TPE.</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Company is unable to establish selling price using VSOE or TPE, and the order was received or materially modified after the Company’s FASB ASU 2009-13 implementation date of July 1, 2009, the Company will use BESP in its allocation of arrangement consideration. The objective of BESP is to determine the price at which the Company would transact if the product or service were sold by the Company on a standalone basis.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the adoption of FASB ASU 2009-13 on July 1, 2009, the Company has primarily used its ongoing pricing strategy and policies to determine BESP. The Company has corroborated the BESP determined by ongoing pricing strategy and policies with the cost to produce the deliverable, the anticipated margin on the deliverable, the selling price and profit margin for similar parts and the characteristics of the varying markets in which the deliverables are sold. The Company will determine BESP for deliverables in future agreements based on the specific facts and circumstances of each arrangement.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plans to analyze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a result of implementing FASB ASU 2009-13, the Company recognized $3,138 and $7,487 in revenue in the three and nine months ended March 31, 2010, respectively, which would have been deferred under the previous guidance for multiple element arrangements. The Company anticipates that the effect of the adoption of this guidance on subsequent periods will be primarily based on the substance of the arrangements entered into or materially modified after the July 1, 2009 adoption date and the timing of the shipments of the deliverables within these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4,092 shares, which will be increased by any future cancellations, forfeitures, expirations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2,410 shares available for future grant under the 2005 Plan at March 31, 2010.</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remains in full force and effect in accordance with their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50 and 46 shares issued under the ESPP during the nine months ended March 31, 2010 and 2009, respectively. Shares available for future purchase under the ESPP totaled 298 at March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960" w:type="dxa"/>
            <w:vAlign w:val="bottom"/>
          </w:tcPr>
          <w:p>
            <w:pPr>
              <w:spacing w:after="0"/>
              <w:rPr>
                <w:sz w:val="14"/>
                <w:szCs w:val="14"/>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3,733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16.88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Grants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6.68</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7.68</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Cancellations(1)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19.57</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2,980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Grants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10.41</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7.72</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Cancellations</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17.69</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2,647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19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516"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Options cancelled as part of the Company’s shareholder-approved option exchange program, totaling 394 options, are included in the cancellation figure. The following table summarizes the status of the Company’s non-vested restricted stock awards since June 30,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860" w:type="dxa"/>
            <w:vAlign w:val="bottom"/>
            <w:gridSpan w:val="5"/>
          </w:tcPr>
          <w:p>
            <w:pPr>
              <w:ind w:left="360"/>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7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rPr>
              <w:t>866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Granted(1)</w:t>
            </w:r>
          </w:p>
        </w:tc>
        <w:tc>
          <w:tcPr>
            <w:tcW w:w="1780" w:type="dxa"/>
            <w:vAlign w:val="bottom"/>
            <w:gridSpan w:val="2"/>
          </w:tcPr>
          <w:p>
            <w:pPr>
              <w:jc w:val="right"/>
              <w:ind w:right="116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rPr>
              <w:t>666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116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2010</w:t>
            </w: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rPr>
              <w:t>1,013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Awards issued as a result of the Company’s shareholder-approved option exchange program, totaling 154 awards, at a weighted-average fair value of $8.71, are included in the granted figure.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The Company recognized the full impact of its share-based payment plans in the consolidated statements of operations for the three and nine months ended March 31, 2010 and 2009 in accordance with FASB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(“FASB ASC 718”), previously SFAS No. 123R, and did not capitalize any such expenses on the consolidated balance sheets, as expenses that qualified for capitalization were not material. Under the fair value recognition provisions of FASB ASC 718, stock-based compensation expense is measured at the grant date based on the fair value of the award and is recognized as expense over the service period. The following table presents share-based compensation expenses included in the Company’s consolidated statement of operations: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76"/>
              </w:rPr>
              <w:t>2010</w:t>
            </w: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3,391</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20" w:type="dxa"/>
            <w:vAlign w:val="bottom"/>
          </w:tcPr>
          <w:p>
            <w:pPr>
              <w:spacing w:after="0"/>
              <w:rPr>
                <w:sz w:val="18"/>
                <w:szCs w:val="18"/>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Share-based compensation expense before tax</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2,968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4,670</w:t>
            </w:r>
          </w:p>
        </w:tc>
      </w:tr>
      <w:tr>
        <w:trPr>
          <w:trHeight w:val="218"/>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compensation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2,968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4,670</w:t>
            </w: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stock options granted during the three and nine months ended March 31,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4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Option life(1)</w:t>
            </w: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5.5 years</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 years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5.5 years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Stock volatility(3)</w:t>
            </w:r>
          </w:p>
        </w:tc>
        <w:tc>
          <w:tcPr>
            <w:tcW w:w="10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and nine months ended March 31,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01"/>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stock purchase rights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4"/>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9"/>
                <w:szCs w:val="19"/>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Option life(1)</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 months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6 months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 months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 months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Stock volatility(3)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stock volatility for each grant is measured using the weighted average of historical daily price changes of the Company’s common stock over the most</w:t>
      </w:r>
    </w:p>
    <w:p>
      <w:pPr>
        <w:spacing w:after="0" w:line="32" w:lineRule="exact"/>
        <w:rPr>
          <w:sz w:val="20"/>
          <w:szCs w:val="20"/>
          <w:color w:val="auto"/>
        </w:rPr>
      </w:pPr>
    </w:p>
    <w:p>
      <w:pPr>
        <w:ind w:left="460" w:right="440"/>
        <w:spacing w:after="0" w:line="250" w:lineRule="auto"/>
        <w:rPr>
          <w:sz w:val="20"/>
          <w:szCs w:val="20"/>
          <w:color w:val="auto"/>
        </w:rPr>
      </w:pPr>
      <w:r>
        <w:rPr>
          <w:rFonts w:ascii="Arial" w:cs="Arial" w:eastAsia="Arial" w:hAnsi="Arial"/>
          <w:sz w:val="18"/>
          <w:szCs w:val="18"/>
          <w:color w:val="auto"/>
        </w:rPr>
        <w:t>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sz w:val="20"/>
          <w:szCs w:val="20"/>
          <w:color w:val="auto"/>
        </w:rPr>
      </w:pPr>
    </w:p>
    <w:p>
      <w:pPr>
        <w:ind w:left="460" w:right="2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 three months ended March 31, 2010. The Company granted 59 restricted stock awards during the three months ended March 31, 2010.</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10,039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3,276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8,150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9,705</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22,627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22,208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22,509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23,152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22,486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22,921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22,374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0.44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Weighted average equity instruments to purchase 1,679 and 1,925 shares of common stock were not included in the calculation of diluted net earnings per share for the three and nine months ended March 31, 2010, respectively, because the equity instruments were antidilutive. Weighted average equity instruments to purchase 3,626 and 3,923 shares of common stock were not included in the calculation of diluted net earnings (loss) per share for the three and nine months ended March 31, 2009, respectively, because the equity instruments were antidilutive. Additionally, the 1,715 and 3,328 shares which represent the securities that were contingently issuable under the Company’s outstanding Convertible Senior Notes (the “Notes”) were not included in the diluted net earnings (loss) per share for the three and nine months ended March 31, 2009, respectively, because the equity instruments were antidilutive. The Notes were repurchased in full in fiscal 2009.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Recognition of foreign currency gain</w:t>
            </w:r>
          </w:p>
        </w:tc>
        <w:tc>
          <w:tcPr>
            <w:tcW w:w="278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(3,894)</w:t>
            </w:r>
          </w:p>
        </w:tc>
        <w:tc>
          <w:tcPr>
            <w:tcW w:w="2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Change in unrealized gain (loss) on marketable securities</w:t>
            </w:r>
          </w:p>
        </w:tc>
        <w:tc>
          <w:tcPr>
            <w:tcW w:w="27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income (loss)</w:t>
            </w:r>
          </w:p>
        </w:tc>
        <w:tc>
          <w:tcPr>
            <w:tcW w:w="2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(4,378)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$ 3,364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9,723</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780" w:type="dxa"/>
            <w:vAlign w:val="bottom"/>
            <w:vMerge w:val="restart"/>
          </w:tcPr>
          <w:p>
            <w:pPr>
              <w:jc w:val="right"/>
              <w:ind w:right="1932"/>
              <w:spacing w:after="0"/>
              <w:rPr>
                <w:sz w:val="20"/>
                <w:szCs w:val="20"/>
                <w:color w:val="auto"/>
              </w:rPr>
            </w:pPr>
            <w:r>
              <w:rPr>
                <w:rFonts w:ascii="Arial" w:cs="Arial" w:eastAsia="Arial" w:hAnsi="Arial"/>
                <w:sz w:val="18"/>
                <w:szCs w:val="18"/>
                <w:color w:val="auto"/>
              </w:rPr>
              <w:t>13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Company’s investments consist mainly of student loan auction rate securities (“ARS”). The ARS are all highly rated investments with AAA/Aaa ratings and are supported by the federal government as part of the Federal Family Education Loan Program and by private insurance companies. The ARS have contractual terms from 30 to 40 years, but generally have interest rate reset dates that occur every seven to 30 days. The auction mechanism generally allows existing investors to roll over their holdings and continue to own their securities or liquidate their holdings by selling their securities at par value.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Beginning in mid-February 2008, auctions held for the ARS held by the Company failed. As a result, the Company was not able to access these funds, and therefore, the ARS were determined to lack short-term liquidity and were classified as non-current in the consolidated balance sheet. In October 2008, the Company received a rights offering from UBS (the “offering”) in which the Company elected to participate. By electing to participate in the offering, the Company (1) received the right (“put option”) to sell these ARS back to UBS at par plus interest, at the Company’s sole discretion, during a two-year period beginning on June 30, 2010, and (2) received an option to borrow up to 75% of the fair value of the ARS held by the Company. Upon borrowing against the ARS, the Company forgoes the interest income on the underlying ARS while the borrowings are outstanding and in return is not charged any interest expense. As the put option settlement date with UBS is within one year from the March 31, 2010 balance sheet date, and the Company intends to exercise the put option on June 30, 2010, the Company has classified the fair value of the ARS as current marketable securities. Following the repurchases of $12,175 of ARS by UBS at par value during the nine months ended March 31, 2010, the ARS had a par value of approximately $37,875 at March 31, 2010.</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At the time of the rights offering, the Company elected to measure the put option under the fair value option of FASB ASC 825-10 (“FASB ASC 825-10”), </w:t>
      </w:r>
      <w:r>
        <w:rPr>
          <w:rFonts w:ascii="Arial" w:cs="Arial" w:eastAsia="Arial" w:hAnsi="Arial"/>
          <w:sz w:val="16"/>
          <w:szCs w:val="16"/>
          <w:i w:val="1"/>
          <w:iCs w:val="1"/>
          <w:color w:val="auto"/>
        </w:rPr>
        <w:t>Financial Instruments</w:t>
      </w:r>
      <w:r>
        <w:rPr>
          <w:rFonts w:ascii="Arial" w:cs="Arial" w:eastAsia="Arial" w:hAnsi="Arial"/>
          <w:sz w:val="16"/>
          <w:szCs w:val="16"/>
          <w:color w:val="auto"/>
        </w:rPr>
        <w:t>, previously SFAS No. 159, and recorded income of $5,030, pre-tax, in fiscal 2009. The Company also transferred these 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available-for-sale to trading investment securities. As a result of this transfer, the Company recognized an impairment loss of $5,073, pre-tax, in fiscal 2009. The recording of the put option and the recognition of the impairment loss resulted in an immaterial impact to the consolidated statement of operations for fiscal 2009. The put option will continue to be measured at fair value utilizing Level 3 inputs, as described in FASB ASC 820 (“FASB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Disclosures, </w:t>
      </w:r>
      <w:r>
        <w:rPr>
          <w:rFonts w:ascii="Arial" w:cs="Arial" w:eastAsia="Arial" w:hAnsi="Arial"/>
          <w:sz w:val="16"/>
          <w:szCs w:val="16"/>
          <w:color w:val="auto"/>
        </w:rPr>
        <w:t>previously SFAS 157, until the earlier of its maturity or exercise (see Note H). Consistent with the ARS, the Company reclassified the put option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a non-current asset to current as of June 30, 2009. In accordance with FASB ASC 820, the Company re-measured the value of the put option at March 31, 2010. The resulting valuation decreased the put option’s value by $927 and $1,216 during the three and nine months ended March 31, 2010, respectively. The difference between the change in value of the put option and the change in value of the ARS resulted in an immaterial impact to the consolidated statement of operations for the three and nine months ended March 31, 2010. The following table summarizes the marketable securities of the Company as of March 31, 2010 and June 30, 2009: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49"/>
        </w:trPr>
        <w:tc>
          <w:tcPr>
            <w:tcW w:w="4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Recognized</w:t>
            </w:r>
          </w:p>
        </w:tc>
        <w:tc>
          <w:tcPr>
            <w:tcW w:w="5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Recognized</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w:t>
            </w:r>
          </w:p>
        </w:tc>
        <w:tc>
          <w:tcPr>
            <w:tcW w:w="2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31, 2010</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tcPr>
          <w:p>
            <w:pPr>
              <w:jc w:val="center"/>
              <w:ind w:left="2312"/>
              <w:spacing w:after="0"/>
              <w:rPr>
                <w:sz w:val="20"/>
                <w:szCs w:val="20"/>
                <w:color w:val="auto"/>
              </w:rPr>
            </w:pPr>
            <w:r>
              <w:rPr>
                <w:rFonts w:ascii="Arial" w:cs="Arial" w:eastAsia="Arial" w:hAnsi="Arial"/>
                <w:sz w:val="18"/>
                <w:szCs w:val="18"/>
                <w:color w:val="auto"/>
                <w:w w:val="88"/>
              </w:rPr>
              <w:t>$ 37,894</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(3,837)</w:t>
            </w:r>
          </w:p>
        </w:tc>
        <w:tc>
          <w:tcPr>
            <w:tcW w:w="880" w:type="dxa"/>
            <w:vAlign w:val="bottom"/>
            <w:gridSpan w:val="2"/>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34,057</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shd w:val="clear" w:color="auto" w:fill="CCEEFF"/>
          </w:tcPr>
          <w:p>
            <w:pPr>
              <w:jc w:val="center"/>
              <w:ind w:left="2312"/>
              <w:spacing w:after="0"/>
              <w:rPr>
                <w:sz w:val="20"/>
                <w:szCs w:val="20"/>
                <w:color w:val="auto"/>
              </w:rPr>
            </w:pPr>
            <w:r>
              <w:rPr>
                <w:rFonts w:ascii="Arial" w:cs="Arial" w:eastAsia="Arial" w:hAnsi="Arial"/>
                <w:sz w:val="18"/>
                <w:szCs w:val="18"/>
                <w:color w:val="auto"/>
                <w:w w:val="88"/>
              </w:rPr>
              <w:t>$ 50,062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(5,085)</w:t>
            </w:r>
          </w:p>
        </w:tc>
        <w:tc>
          <w:tcPr>
            <w:tcW w:w="8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44,977</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investments in marketable securities consisted entirely of ARS with maturities upwards of 40 years; however, as a result of the put option noted above, the anticipated liquidation of these securities will occur less than one year from March 31, 2010. For the fiscal year ended June 30, 2009, realized gains and losses from the sale of available-for-sale securities were immaterial.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measures at fair value certain financial assets and liabilities, including cash equivalents, restricted cash and ARS. FASB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 measurements as of March 31, 2010 for the Company’s financial instruments, including its 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4"/>
              </w:rPr>
              <w:t>Fair Value Measurements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8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1"/>
        </w:trPr>
        <w:tc>
          <w:tcPr>
            <w:tcW w:w="824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$ 50,886</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$50,886</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34,057</w:t>
            </w:r>
          </w:p>
        </w:tc>
        <w:tc>
          <w:tcPr>
            <w:tcW w:w="3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34,057</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 option to sell auction rate securities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$ 91,757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53,886</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37,871</w:t>
            </w:r>
          </w:p>
        </w:tc>
      </w:tr>
      <w:tr>
        <w:trPr>
          <w:trHeight w:val="20"/>
        </w:trPr>
        <w:tc>
          <w:tcPr>
            <w:tcW w:w="8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values of the Company’s cash equivalents and restricted cash are determined through market, observable and corroborated sources. The volume and level of activity for these sources has been determined to be sufficient primarily due to the market being active, the quantity of recent transactions, pricing being current and no significant recent increases to certain risk factors, and as such, no adjustments to these sources were needed. The following table provides a rollforward of the fair value of the Company’s ARS and put option, whose fair values were determined by Level 3 inputs: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$ 47,231</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Recognition of change in put option value in other 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losses included in other net income</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(5,073)</w:t>
            </w: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Redemption of ARS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temporary valuation adjustment included in comprehensive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Balance at June 30, 2009</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$ 50,007</w:t>
            </w:r>
          </w:p>
        </w:tc>
        <w:tc>
          <w:tcPr>
            <w:tcW w:w="100" w:type="dxa"/>
            <w:vAlign w:val="bottom"/>
          </w:tcPr>
          <w:p>
            <w:pPr>
              <w:spacing w:after="0"/>
              <w:rPr>
                <w:sz w:val="19"/>
                <w:szCs w:val="19"/>
                <w:color w:val="auto"/>
              </w:rPr>
            </w:pPr>
          </w:p>
        </w:tc>
      </w:tr>
      <w:tr>
        <w:trPr>
          <w:trHeight w:val="217"/>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Recognition of change in put option value in other net income</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w:t>
            </w: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Realized gains included in other 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ARS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(12,175)</w:t>
            </w: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Balance at March 31, 2010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$ 37,871</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carrying values of the ARS and related put option reflect changes in the fair value of the underlying securities, which is based on Level 3 unobservable inputs. These unobservable inputs consist of fair values that are provided by the Company’s broker, which are corroborated by a discounted cash flow analysis that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Company performs. The significant assumptions used by the Company in its analysis include interest rate spreads, credit quality, liquidity premiums and other inputs that are current as of the measurement date, including during periods of market dislocations, such as the illiquidity in the ARS market since February 2008. When performing this analysis the Company notes and analyzes for reasonableness any changes in assumptions. Factors that could cause assumptions to change include fluctuations in consumer confidence, which can vary the Company’s credit risk discount factor and cause changes to other rates used in the analysis, including the 3-month LIBOR rate. Since the October 2008 election to participate in the rights offering, there have been no material changes in the assumptions used by the Company in its discounted cash flow analysis.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$ 6,217</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5,591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$ 20,059</w:t>
            </w: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16,805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J. Property and Equipment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24"/>
                <w:szCs w:val="24"/>
                <w:color w:val="auto"/>
              </w:rPr>
            </w:pPr>
          </w:p>
        </w:tc>
        <w:tc>
          <w:tcPr>
            <w:tcW w:w="76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76"/>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49,073</w:t>
            </w:r>
          </w:p>
        </w:tc>
        <w:tc>
          <w:tcPr>
            <w:tcW w:w="1160" w:type="dxa"/>
            <w:vAlign w:val="bottom"/>
            <w:tcBorders>
              <w:right w:val="single" w:sz="8" w:color="CCEEFF"/>
            </w:tcBorders>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$ 64,954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6,788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32"/>
              <w:spacing w:after="0"/>
              <w:rPr>
                <w:sz w:val="20"/>
                <w:szCs w:val="20"/>
                <w:color w:val="auto"/>
              </w:rPr>
            </w:pPr>
            <w:r>
              <w:rPr>
                <w:rFonts w:ascii="Arial" w:cs="Arial" w:eastAsia="Arial" w:hAnsi="Arial"/>
                <w:sz w:val="18"/>
                <w:szCs w:val="18"/>
                <w:color w:val="auto"/>
                <w:w w:val="97"/>
              </w:rPr>
              <w:t>6,800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59,151</w:t>
            </w:r>
          </w:p>
        </w:tc>
        <w:tc>
          <w:tcPr>
            <w:tcW w:w="1160" w:type="dxa"/>
            <w:vAlign w:val="bottom"/>
            <w:tcBorders>
              <w:right w:val="single" w:sz="8" w:color="CCEEFF"/>
            </w:tcBorders>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74,435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(49,880)</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(66,475)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7,960</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the three and nine months ended March 31, 2010, the Company retired $9,458 and $20,310, respectively, of fully depreciated computer equipment and software assets that were no longer in use by the Company. This retirement was part of an on-going effort by the Company to review and identify all assets that are still in use by the Company, and to retire those that are not.</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March 31, 2010 was $1,312 and $3,790, respectively. Depreciation and amortization expense related to property and equipment for the three and nine months ended March 31, 2009 was $1,363 and $4,303,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Segments, Significant Customers and Geographic Information</w:t>
      </w:r>
    </w:p>
    <w:p>
      <w:pPr>
        <w:spacing w:after="0" w:line="177"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Following the discontinuation and sale of the Biotech business, the VI business and the VSG business, the Company was reorganized into two business units. These reportable segments were determined based upon the nature of the products offered to customers, the market characteristics of each operating segment and the Company’s management structure:</w:t>
      </w:r>
    </w:p>
    <w:p>
      <w:pPr>
        <w:spacing w:after="0" w:line="32" w:lineRule="exact"/>
        <w:rPr>
          <w:sz w:val="20"/>
          <w:szCs w:val="20"/>
          <w:color w:val="auto"/>
        </w:rPr>
      </w:pPr>
    </w:p>
    <w:p>
      <w:pPr>
        <w:ind w:left="900" w:right="8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computing solutions with key market segments, including aerospace and defense, semiconductor, and commercial computing. This segment also provides software and customized design services to meet the specified requirements of military and commercial applications.</w:t>
      </w:r>
    </w:p>
    <w:p>
      <w:pPr>
        <w:spacing w:after="0" w:line="140" w:lineRule="exact"/>
        <w:rPr>
          <w:rFonts w:ascii="Arial" w:cs="Arial" w:eastAsia="Arial" w:hAnsi="Arial"/>
          <w:sz w:val="18"/>
          <w:szCs w:val="18"/>
          <w:color w:val="auto"/>
        </w:rPr>
      </w:pPr>
    </w:p>
    <w:p>
      <w:pPr>
        <w:ind w:left="900" w:right="20" w:hanging="446"/>
        <w:spacing w:after="0" w:line="25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Formerly referred to as the “Emerging Business Unit” segment, this business unit has historically been focused on the cultivation of new business opportunities that benefit from the Company’s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the Department of Defense and federal intelligence and homeland security agencies, including designing and engineering new ISR capabilities to address present and emerging threats to U.S. forces.</w:t>
      </w:r>
    </w:p>
    <w:p>
      <w:pPr>
        <w:spacing w:after="0" w:line="14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for making decisions about allocating resources to segments and assessing segment performance is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does not produce such information internally. The following is a summary of the performance of the Company’s operations by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ACS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MFS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Expense</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31, 2010</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41,152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2,315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42,153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2,315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43,603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1,739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31, 2009</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48,677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1,886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49,413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1,964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(814)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50,563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1,855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ACS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MFS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jc w:val="center"/>
              <w:ind w:right="2872"/>
              <w:spacing w:after="0" w:line="201"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127,592</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8,464</w:t>
            </w: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(3,930)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131,186</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8,800</w:t>
            </w:r>
          </w:p>
        </w:tc>
        <w:tc>
          <w:tcPr>
            <w:tcW w:w="12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(3,794)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136,192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(2,968)</w:t>
            </w:r>
          </w:p>
        </w:tc>
        <w:tc>
          <w:tcPr>
            <w:tcW w:w="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5,071</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jc w:val="center"/>
              <w:ind w:right="287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31, 2009</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137,247</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3,250</w:t>
            </w: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138,038</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3,469</w:t>
            </w:r>
          </w:p>
        </w:tc>
        <w:tc>
          <w:tcPr>
            <w:tcW w:w="12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140,497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(4,670)</w:t>
            </w:r>
          </w:p>
        </w:tc>
        <w:tc>
          <w:tcPr>
            <w:tcW w:w="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6,239</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240" w:type="dxa"/>
            <w:vAlign w:val="bottom"/>
            <w:gridSpan w:val="14"/>
          </w:tcPr>
          <w:p>
            <w:pPr>
              <w:ind w:left="460"/>
              <w:spacing w:after="0"/>
              <w:rPr>
                <w:sz w:val="20"/>
                <w:szCs w:val="20"/>
                <w:color w:val="auto"/>
              </w:rPr>
            </w:pPr>
            <w:r>
              <w:rPr>
                <w:rFonts w:ascii="Arial" w:cs="Arial" w:eastAsia="Arial" w:hAnsi="Arial"/>
                <w:sz w:val="18"/>
                <w:szCs w:val="18"/>
                <w:color w:val="auto"/>
                <w:w w:val="89"/>
              </w:rPr>
              <w:t>The geographic distribution of the Company’s revenues from continuing operations is summarized as follows: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Asia Pacific</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38,466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$2,807</w:t>
            </w:r>
          </w:p>
        </w:tc>
        <w:tc>
          <w:tcPr>
            <w:tcW w:w="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43,012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2,347</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43,603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31, 2009</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46,933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$3,080</w:t>
            </w:r>
          </w:p>
        </w:tc>
        <w:tc>
          <w:tcPr>
            <w:tcW w:w="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49,507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3,387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(2,923)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50,563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jc w:val="center"/>
              <w:ind w:right="28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31, 2010</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$121,455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$7,157</w:t>
            </w:r>
          </w:p>
        </w:tc>
        <w:tc>
          <w:tcPr>
            <w:tcW w:w="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7,580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10,601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(11,064)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132,056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7,732</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(11,064)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136,192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jc w:val="center"/>
              <w:ind w:right="28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31, 2009</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$132,132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$6,715</w:t>
            </w:r>
          </w:p>
        </w:tc>
        <w:tc>
          <w:tcPr>
            <w:tcW w:w="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138,084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7,458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(6,921)</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140,497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w:t>
            </w:r>
          </w:p>
        </w:tc>
        <w:tc>
          <w:tcPr>
            <w:tcW w:w="52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Europe</w:t>
            </w:r>
          </w:p>
        </w:tc>
        <w:tc>
          <w:tcPr>
            <w:tcW w:w="5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Asia Pacific</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1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9"/>
              </w:rPr>
              <w:t>$12,369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$13,057</w:t>
            </w:r>
          </w:p>
        </w:tc>
        <w:tc>
          <w:tcPr>
            <w:tcW w:w="20" w:type="dxa"/>
            <w:vAlign w:val="bottom"/>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June 30, 2009</w:t>
            </w:r>
          </w:p>
        </w:tc>
        <w:tc>
          <w:tcPr>
            <w:tcW w:w="110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$10,906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620</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$11,571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deferred tax accounts, goodwill, intangible assets and investments in other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56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8"/>
              </w:rPr>
              <w:t>Three Months Ended</w:t>
            </w: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6"/>
              </w:rPr>
              <w:t>March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1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gridSpan w:val="3"/>
          </w:tcPr>
          <w:p>
            <w:pPr>
              <w:ind w:left="880"/>
              <w:spacing w:after="0"/>
              <w:rPr>
                <w:sz w:val="20"/>
                <w:szCs w:val="20"/>
                <w:color w:val="auto"/>
              </w:rPr>
            </w:pPr>
            <w:r>
              <w:rPr>
                <w:rFonts w:ascii="Arial" w:cs="Arial" w:eastAsia="Arial" w:hAnsi="Arial"/>
                <w:sz w:val="18"/>
                <w:szCs w:val="18"/>
                <w:color w:val="auto"/>
              </w:rPr>
              <w:t>11.4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gridSpan w:val="3"/>
          </w:tcPr>
          <w:p>
            <w:pPr>
              <w:ind w:left="880"/>
              <w:spacing w:after="0"/>
              <w:rPr>
                <w:sz w:val="20"/>
                <w:szCs w:val="20"/>
                <w:color w:val="auto"/>
              </w:rPr>
            </w:pPr>
            <w:r>
              <w:rPr>
                <w:rFonts w:ascii="Arial" w:cs="Arial" w:eastAsia="Arial" w:hAnsi="Arial"/>
                <w:sz w:val="18"/>
                <w:szCs w:val="18"/>
                <w:color w:val="auto"/>
              </w:rPr>
              <w:t>11.5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19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50.3%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Although the Company typically has several customers from which it derives 10% or more of its revenue, the sales to each of these customers are spread across multiple programs and platforms. In the three months ended March 31, 2010, only one program individually comprised 10% or more of the Company’s revenues, the JSF Radar program at 14%. In the nine months ended March 31, 2010, there were no programs that individually comprised 10% or more of the Company’s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Goodwill and Acquired Intangible Assets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carrying amount of goodwill at March 31, 2010 and June 30, 2009 was $57,653. In the nine months ended March 31, 2010, there were no triggering events, as defined by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which, following the divestiture of the VI and VSG operating segments, includes the ACS and the MFS operating segments. As of June 30, 2009, ACS was the only reporting unit that had a goodwill balance, and as such, the annual impairment analysis was performed for this reporting unit only.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tests goodwill for impairment annually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 For fiscal 2009,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the reporting unit was deemed to be in excess of the book value. The Company also compared the fair value per the discounted cash flow analysis to the Company’s market capitalization, noting the market capitalization was greater than the fair value of the reporting unit. As such, as of June 30, 2009, goodwill was determined to be appropriately valued, and no impairment charge was recorded.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74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7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31, 2010</w:t>
            </w: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(14,030)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555</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5.0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25,100</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(23,551)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1,549</w:t>
            </w:r>
          </w:p>
        </w:tc>
        <w:tc>
          <w:tcPr>
            <w:tcW w:w="6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1,685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3,506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806</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4.6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25,306</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(22,395)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2,911</w:t>
            </w:r>
          </w:p>
        </w:tc>
        <w:tc>
          <w:tcPr>
            <w:tcW w:w="6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impaired $61 of a licensing agreement which was terminated during the three months ended March 31, 2010.</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March 31, 2010 is $409 for fiscal 2010, $565 for fiscal 2011, $256 for fiscal 2012, $256 for fiscal 2013, and $63 for fiscal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33,364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(24,984)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(33,408)</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Total non-current capital lease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October 2008, the Company received a rights offering from UBS (the “offering”) in which the Company has elected to participate. By electing to participate in the offering, the Company (1) received the right to sell the ARS back to UBS at par plus interest, at the Company’s sole discretion, during a two-year period beginning on June 30, 2010, and (2) received an option to borrow up to 75% of the fair value of the ARS at no cost. Upon borrowing against the ARS, the Company would forgo the interest income on the underlying ARS, while the borrowings are outstanding. The line of credit included in the offering replaced the Company’s previous margin loan facility with UBS. As of March 31, 2010, the Company had $24,932 outstanding against this line of credit, collateralized by the $37,875 par value of the 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provides for a $15,000 revolving line of credit (the “Revolver”) and a $20,000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$20,000, until February 11, 2012. The Term Loan has interest payments only through the August 1, 2010 payment date, and converts to interest and principal payments starting on the September 1, 2010 payment date through the February 11, 2014 maturity of the Term Loan. As of March 31, 2010, there were no borrowings against the Revolver and Term Loans.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Loan Agreement bears interest, at the Company’s option, at a rate per annum equal to either: (i) the prime rate minus 0.25% to plus 0.25%; or (ii) the LIBOR rate plus 2.75% to 3.25% (in each case, based on the Company’s consolidated leverage ratio at the time of borrowing). For prime rate borrowings, the prime rate shall be the greater of: (i) 4.00%; or (ii) the Lender’s prime rate. The Company may not have LIBOR credit extensions having more than four different interest periods outstanding at any point in time. The Company is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Borrowings under the Loan Agreement are secured by a first-priority security interest in all of the Company’s domestic assets (other than the Company’s ARS), including intellectual property, but limited to 65% of the voting stock of foreign subsidiaries. The Company’s MFS subsidiary is a guarantor and has granted a security interest in its assets in favor of the Lender.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the Company has less than $10,000 of cash equivalents in accounts with the Lender in excess of the Company’s borrowings under the Loan Agreement, the Company must also satisfy a $15,000 minimum trailing-four-quarter cash-flow covenant. The minimum cash flow covenant is calculated as the Company’s trailing-four quarter adjusted EBITDA (as defined in the Loan Agreement; EBITDA adjusted to add back non-cash stock compensation expenses and other one-time non-cash expenses as approved by the Lender), minus the Company’s capital expenditures during such period, and minus taxes paid by the Company in cash during such period.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 The Loan Agreement requires the Company to exercise the put option for its ARS within 30 days of</w:t>
      </w:r>
    </w:p>
    <w:p>
      <w:pPr>
        <w:spacing w:after="0" w:line="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June 30, 2010, and to use the proceeds from the ARS to pay off the Company’s outstanding borrowings under the Company’s existing ARS credit facility with UBS.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was in compliance with all covenants in the Loan Agreement as of March 31,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agreed to indemnify the buyer of the VI business for certain post-closing employee severance expenses. The total paid to the buyer under this obligation was $344. As of March 31, 2010, this employee severance obligation is considered closed. The Company’s indemnification obligations regarding the divested businesses are generally subject to caps on the Company’s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9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As part of the sale of the VSG business reported as discontinued operations in fiscal 2009, the Company made certain guarantees to the buyer in regards to retention bonuses to be paid by the buyer if certain VSG employees remain employed with the buyer in accordance with the terms of their severance agreements, typically six months from the closing date. The Company estimated the obligation against this guarantee to be approximately $730 and accrued this amount as of June 30, 2009. The Company settled this obligation in December 2009, upon the remittance of $715 to the buyer. As of December 31, 2009, this retention bonus obligation was closed.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March 31, 2010, the purchase commitments covered by these agreements were for less than one year and aggregated approximately $27,916.</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March 31, 2010, the remaining minimum commitment related to this agreement was $1,795, which is the 35% penalty on the remaining inventory balance.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Shareholders’ Equity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may reacquire shares in connection with the surrender of shares to cover the minimum taxes on vesting of restricted stock. During the three and nine months ended March 31, 2010, 5 and 41 shares were reacquired, respectively, for a total cost of $61 and $428, respectively, while 17 and 58 shares were reacquired during the three and nine months ended March 31, 2009, respectively, for a total cost of $107 and $404, respectively. Effective May 1, 2010, the Company discontinued the net share settlement practice for settling restricted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Discontinued Operations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June 2009, the Company closed on the sale of the VSG operating segment for gross consideration of $12,000 in cash. The sale resulted in a gain of $6,406 on disposal of the discontinued operation. The gain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primarily comprised of cash proceeds of $8,231, net of transaction costs, and recognition of a cumulative foreign currency translation gain of $1,560, offset by net assets of approximately $3,385. There were no material adjustments to the gain on disposal during the three and nine months ended March 31, 2010.</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January 2009, the Company completed the sale of the VI operating segment for gross consideration of $3,000 in cash. Of the proceeds, a total of $1,100 was held back for general indemnification purposes and employee termination payments incurred by the buyer. Of the total held back, $344 was used for termination payments, $423 was used for general indemnification purposes and $333 was remitted back to the Company. The sale resulted in a gain of $4,207 on disposal of the discontinued operation. The gain was primarily comprised of expected cash proceeds, net of transaction costs, of $990 and the recognition of a cumulative foreign currency translation gain of $3,894, offset by net assets of the business of approximately $780. There were no material adjustments to the gain on disposal during the nine months ended March 31, 2010. In December 2008, the Company was required to perform an interim impairment test of goodwill and long-lived assets as a result of a triggering event: the Company’s perceived decline in the market value for the VI business. Based on this interim evaluation, the carrying amount of goodwill in the VI operating segment exceeded the implied fair value, resulting in a goodwill impairment charge of $13,016. In December 2008, the Company also recorded an impairment of the customer relationships intangible asset within the VI operating segment of $1,539.</w:t>
      </w:r>
    </w:p>
    <w:p>
      <w:pPr>
        <w:spacing w:after="0" w:line="12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September 2008, the Company completed an asset sale of the Biotech business for a $130 cash payment, which was received in the second quarter of fiscal 2009, and $300 of preferred shares in the acquiring entity. The Biotech business was previously reported in the results of the MFS operating segment, formerly referred to as the Emerging Business Unit. The sale resulted in a gain of $328 on disposal of the discontinued operation.</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all periods presented in the Company’s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in income (loss) from discontinued operations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VSG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2,737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income from discontinued operations before income taxes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VI</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7720" w:type="dxa"/>
            <w:vAlign w:val="bottom"/>
            <w:gridSpan w:val="2"/>
          </w:tcPr>
          <w:p>
            <w:pPr>
              <w:ind w:left="440"/>
              <w:spacing w:after="0"/>
              <w:rPr>
                <w:sz w:val="20"/>
                <w:szCs w:val="20"/>
                <w:color w:val="auto"/>
              </w:rPr>
            </w:pPr>
            <w:r>
              <w:rPr>
                <w:rFonts w:ascii="Arial" w:cs="Arial" w:eastAsia="Arial" w:hAnsi="Arial"/>
                <w:sz w:val="18"/>
                <w:szCs w:val="18"/>
                <w:color w:val="auto"/>
              </w:rPr>
              <w:t>(Loss) income from discontinued operations before income taxes</w:t>
            </w:r>
          </w:p>
        </w:tc>
        <w:tc>
          <w:tcPr>
            <w:tcW w:w="100" w:type="dxa"/>
            <w:vAlign w:val="bottom"/>
          </w:tcPr>
          <w:p>
            <w:pPr>
              <w:spacing w:after="0"/>
              <w:rPr>
                <w:sz w:val="18"/>
                <w:szCs w:val="18"/>
                <w:color w:val="auto"/>
              </w:rPr>
            </w:pP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(20,228)</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37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The amounts reported as liabilities of the discontinued operations were as follows: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compensation and warranty</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136"/>
              <w:spacing w:after="0"/>
              <w:rPr>
                <w:sz w:val="20"/>
                <w:szCs w:val="20"/>
                <w:color w:val="auto"/>
              </w:rPr>
            </w:pPr>
            <w:r>
              <w:rPr>
                <w:rFonts w:ascii="Arial" w:cs="Arial" w:eastAsia="Arial" w:hAnsi="Arial"/>
                <w:sz w:val="18"/>
                <w:szCs w:val="18"/>
                <w:color w:val="auto"/>
                <w:w w:val="90"/>
              </w:rPr>
              <w:t>$1,207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136"/>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56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 (Benefit) Expense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tax effect of temporary differences, primarily asset reserves and accrued liabilities, give rise to the Company’s deferred tax assets in the accompanying consolidated balance sheets; however, as management has determined that it is more likely than not that the domestic deferred tax assets would not be realized due to uncertainties surrounding the timing and amounts of future taxable income, a valuation allowance has been recorded.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Company has a full valuation allowance on its remaining deferred tax assets as the Company does not believe that it has met the “more likely than not” realization criteria under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(“FASB ASC 740”), previously SFAS No. 109. The Company will continue to monitor available information in determining whether there is sufficient evidence to consider releasing some or all of the valuation allowance. Should the Company determine any portion of the valuation allowance is no longer required, a tax benefit would be recorded in the financial period of the change in determination.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recorded a tax benefit for the three months ended March 31, 2010 of $2,235 on income from continuing operations before taxes of $1,464 as compared to $101 of tax expense on income from continuing operations before taxes of $4,803 during the same period in fiscal 2009. The Company recorded a tax benefit for the nine months ended March 31, 2010 of $999 on income from continuing operations before taxes of $9,040 as compared to $101 of tax expense on income from continuing operations before taxes of $4,939 during the same period in fiscal 2009. The tax benefits resulted from a change in the effective tax rate that resulted in a $500 benefit. In addition, during the third quarter the Company had several favorable discrete items which included a $900 benefit from our 2009 tax return filing concerning our ability to utilize certain net operating losses, a $400 decrease of our valuation allowance for uncertain tax positions, $300 due to the favorable settlement of issues regarding our 2006 through 2008 tax return filings and $100 for other items.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the changes in the Company’s reserves for unrecognized income tax benefits were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Years Ended June 30,</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0"/>
              </w:rPr>
              <w:t>March 31, 2010</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2009</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for previously recognized positions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previously recognized positions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for currently recognized positions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1,069</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the nine months ended March 31, 2010 was primarily the result of an increase in unrecognized tax positions associated with discontinued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Restructuring Provision</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July 2009, the Company announced a restructuring plan within the ACS business unit (the “Q1 FY10 Plan”), which was enacted following the completion of the Company’s divestitures as part of the Company’s reorganization of part of its business operations. The Company had a reversal of $11 for unused outplacement costs in the three months ended March 31, 2010 and recorded an expense of $243 in the nine months ended March 31, 2010 against this plan, which included severance costs associated with the elimination of four positions.</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fiscal 2008, the Company announced two restructuring plans, one within the ACS business unit (“ACS Plan”) and one within the former Emerging Businesses Unit (“AUSG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ACS Plan was enacted to reduce payroll and overhead costs to realign costs with the Company’s revenue base, particularly in regards to its commercial portfolio. In fiscal 2009, this plan was amended to include an increase in restructuring expense of $1,675. This plan included severance costs associated with the elimination of certain executive level positions and to shut down one of the Company’s California sites.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AUSG Plan was enacted in March 2008 to reduce the financial losses of the AUSG reporting unit and was amended to include an additional provision for restructuring charges in April 2008 following the shutdown of the AUSG reporting unit. A gross provision of $1,507 was recorded during fiscal 2008, primarily due to the elimination of 12 positions. The AUSG Plan was amended in fiscal 2009 to include a provision of $37 for additional restructuring expense.</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operating segment for the Company’s restructuring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2008</w:t>
            </w:r>
          </w:p>
        </w:tc>
        <w:tc>
          <w:tcPr>
            <w:tcW w:w="25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ACS provision</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(EBU) provision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Total provision</w:t>
            </w: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00" w:type="dxa"/>
            <w:vAlign w:val="bottom"/>
            <w:gridSpan w:val="2"/>
            <w:vMerge w:val="continue"/>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2009</w:t>
            </w:r>
          </w:p>
        </w:tc>
        <w:tc>
          <w:tcPr>
            <w:tcW w:w="25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color w:val="auto"/>
              </w:rPr>
              <w:t>ACS provision</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March 31, 2010</w:t>
            </w:r>
          </w:p>
        </w:tc>
        <w:tc>
          <w:tcPr>
            <w:tcW w:w="25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Related Party Transactions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July 2008, the Company and the former CEO, James Bertelli, entered into an agreement for consulting services through June 30, 2010. The consideration for these services totaled $190 and is being paid out over the service period. As of March 31, 2010, the Company had made payments of $162 for consulting services under this agreement. Additionally, in July 2008, the Company entered into a five year non-compete agreement with our former CEO. This agreement, which is carried as an intangible asset on the Company’s balance sheet, was valued at $500 and is being amortized over the life of the agreement. As of March 31, 2010, the Company had made payments of $308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Subsequent Events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financial statements were issued. In April and May 2010, UBS repurchased $3,700 of the Company’s outstanding ARS, at par, from the Company, which was applied against the outstanding ARS line of credit. The combination of the fair value of the ARS and corresponding put option approximates par value, and therefore, no gain or loss was recognized upon repurchase. The Company’s outstanding loan balance with UBS has been reduced by the full amount of the repurchase. In addition, the Company drew down the loan with UBS by $865 in May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inability to identify opportunities to rationalize our business portfolio in a timely manner or at all, difficulties in retaining key employees and customers, and various other factors beyond our control. These risks and uncertainties also include such additional risk factors as set forth under Part I-Item 1A (Risk Factors) in the Company’s Annual Report on Form 10-K for the fiscal year ended June 30, 2009.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high-performance embedded, real-time digital signal and image processing systems and software for embedded and other specialized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applications such as wafer inspection and fabrication. We also provide radio frequency products for enhanced communications capabilities in military and commercial applications. Additionally, we entered the defense prime contracting market space in fiscal 2008 through the creation of our wholly-owned subsidiary, MFS, to focus on reaching the federal intelligence agencies and homeland security programs.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2009, we closed on the sale of our former VSG operating segment for gross consideration of $12.0 million in cash.</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January 2009, we signed a definitive agreement and closed on the sale of our former VI operating segment for gross consideration of $3.0 million in cash. Of the proceeds, a total of $1.1 million was held back for general indemnification purposes and employee termination payments incurred by the buyer. Of the total held back, $0.3 million was used for termination payments, $0.4 million was used for general indemnification purposes and $0.3 million was remitted back to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September 2008, we closed on the sale of our former Biotech business for a $0.1 million cash payment, and $0.3 million of preferred shares in the acquiring entity.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accounting for these sales and the VSG and VI operating segments’ operating results are included in discontinued operations for fiscal 2009 (see Note P to the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divestiture of those businesses, we have organized our operations into the following two business units:</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Advanced Computing Solutions (“ACS”). </w:t>
      </w:r>
      <w:r>
        <w:rPr>
          <w:rFonts w:ascii="Arial" w:cs="Arial" w:eastAsia="Arial" w:hAnsi="Arial"/>
          <w:sz w:val="18"/>
          <w:szCs w:val="18"/>
          <w:color w:val="auto"/>
        </w:rPr>
        <w:t>This business unit is focused on specialized, high performance computing solutions with key market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aerospace and defense, semiconductor, and commercial computing. This segment also provides software and customized design services to meet the specified requirements of military and commercial applications.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Mercury Federal Systems (MFS)</w:t>
      </w:r>
      <w:r>
        <w:rPr>
          <w:rFonts w:ascii="Arial" w:cs="Arial" w:eastAsia="Arial" w:hAnsi="Arial"/>
          <w:sz w:val="16"/>
          <w:szCs w:val="16"/>
          <w:color w:val="auto"/>
        </w:rPr>
        <w:t>. Formerly referred to as the “Emerging Business Unit” segment, this business unit has historically been focused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cultivation of new business opportunities that benefit from our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the Department of Defense and federal intelligence and homeland security agencies, including designing and engineering new ISR capabilities to address present and emerging threats to U.S. forces.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of one customer do not necessarily correlate with the order patterns of another customer and, therefore, we generally cannot identify sequential quarterly trends, even within our business units.</w:t>
      </w:r>
    </w:p>
    <w:p>
      <w:pPr>
        <w:spacing w:after="0" w:line="10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third quarter of fiscal 2010, we identified errors totaling $0.4 million primarily related to deferred revenue, of which approximately $0.1 million, $0.2 million, and $0.1 million understated income in the fourth quarter of fiscal 2009, and the first and second quarters of fiscal 2010, respectively. We recorded an increase in revenue of $0.1 million and a reduction to cost of goods sold of $0.3 million in the third quarter of fiscal 2010 to adjust for the errors and correctly reflect the March 31, 2010 year-to-date period. Management has concluded that the impact of these errors is not material to prior periods or the three and nine months ended March 31,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certain financial data as a percentage of total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89"/>
              </w:rPr>
              <w:t>Three Months Ended</w:t>
            </w:r>
          </w:p>
        </w:tc>
        <w:tc>
          <w:tcPr>
            <w:tcW w:w="226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2010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w w:val="98"/>
              </w:rPr>
              <w:t>100.0%</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4"/>
              </w:rPr>
              <w:t>100.0%</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w w:val="96"/>
              </w:rPr>
              <w:t>43.1</w:t>
            </w:r>
          </w:p>
        </w:tc>
        <w:tc>
          <w:tcPr>
            <w:tcW w:w="2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42.3</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w w:val="96"/>
              </w:rPr>
              <w:t>56.9</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w w:val="96"/>
              </w:rPr>
              <w:t>28.8</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w w:val="96"/>
              </w:rPr>
              <w:t>24.4</w:t>
            </w:r>
          </w:p>
        </w:tc>
        <w:tc>
          <w:tcPr>
            <w:tcW w:w="2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w w:val="96"/>
              </w:rPr>
              <w:t>54.3</w:t>
            </w:r>
          </w:p>
        </w:tc>
        <w:tc>
          <w:tcPr>
            <w:tcW w:w="280" w:type="dxa"/>
            <w:vAlign w:val="bottom"/>
          </w:tcPr>
          <w:p>
            <w:pPr>
              <w:spacing w:after="0"/>
              <w:rPr>
                <w:sz w:val="19"/>
                <w:szCs w:val="19"/>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48.3</w:t>
            </w:r>
          </w:p>
        </w:tc>
        <w:tc>
          <w:tcPr>
            <w:tcW w:w="3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Income from continuing operations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2"/>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820" w:type="dxa"/>
            <w:vAlign w:val="bottom"/>
            <w:gridSpan w:val="3"/>
          </w:tcPr>
          <w:p>
            <w:pPr>
              <w:jc w:val="right"/>
              <w:ind w:right="252"/>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20" w:type="dxa"/>
            <w:vAlign w:val="bottom"/>
            <w:gridSpan w:val="3"/>
          </w:tcPr>
          <w:p>
            <w:pPr>
              <w:jc w:val="right"/>
              <w:ind w:right="25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Gain on sale of discontinued operations, net of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2"/>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19"/>
                <w:szCs w:val="19"/>
                <w:color w:val="auto"/>
              </w:rPr>
            </w:pPr>
          </w:p>
        </w:tc>
        <w:tc>
          <w:tcPr>
            <w:tcW w:w="820" w:type="dxa"/>
            <w:vAlign w:val="bottom"/>
            <w:gridSpan w:val="3"/>
          </w:tcPr>
          <w:p>
            <w:pPr>
              <w:jc w:val="right"/>
              <w:ind w:right="152"/>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9160" w:type="dxa"/>
            <w:vAlign w:val="bottom"/>
            <w:gridSpan w:val="17"/>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HREE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NDED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31, 2010 V</w:t>
            </w:r>
            <w:r>
              <w:rPr>
                <w:rFonts w:ascii="Arial" w:cs="Arial" w:eastAsia="Arial" w:hAnsi="Arial"/>
                <w:sz w:val="14"/>
                <w:szCs w:val="14"/>
                <w:b w:val="1"/>
                <w:bCs w:val="1"/>
                <w:color w:val="auto"/>
              </w:rPr>
              <w:t>S</w:t>
            </w:r>
            <w:r>
              <w:rPr>
                <w:rFonts w:ascii="Arial" w:cs="Arial" w:eastAsia="Arial" w:hAnsi="Arial"/>
                <w:sz w:val="18"/>
                <w:szCs w:val="18"/>
                <w:b w:val="1"/>
                <w:bCs w:val="1"/>
                <w:color w:val="auto"/>
              </w:rPr>
              <w:t>. T</w:t>
            </w:r>
            <w:r>
              <w:rPr>
                <w:rFonts w:ascii="Arial" w:cs="Arial" w:eastAsia="Arial" w:hAnsi="Arial"/>
                <w:sz w:val="14"/>
                <w:szCs w:val="14"/>
                <w:b w:val="1"/>
                <w:bCs w:val="1"/>
                <w:color w:val="auto"/>
              </w:rPr>
              <w:t>HREE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NDED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ARCH</w:t>
            </w:r>
            <w:r>
              <w:rPr>
                <w:rFonts w:ascii="Arial" w:cs="Arial" w:eastAsia="Arial" w:hAnsi="Arial"/>
                <w:sz w:val="18"/>
                <w:szCs w:val="18"/>
                <w:b w:val="1"/>
                <w:bCs w:val="1"/>
                <w:color w:val="auto"/>
              </w:rPr>
              <w:t xml:space="preserve"> 31, 2009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80" w:type="dxa"/>
            <w:vAlign w:val="bottom"/>
            <w:gridSpan w:val="4"/>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As a % of</w:t>
            </w:r>
          </w:p>
        </w:tc>
        <w:tc>
          <w:tcPr>
            <w:tcW w:w="10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As a %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Total Net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74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Revenue</w:t>
            </w:r>
          </w:p>
        </w:tc>
        <w:tc>
          <w:tcPr>
            <w:tcW w:w="2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48,677</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0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$(7,525)</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MFS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1,886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8"/>
                <w:szCs w:val="18"/>
                <w:color w:val="auto"/>
              </w:rPr>
            </w:pPr>
          </w:p>
        </w:tc>
        <w:tc>
          <w:tcPr>
            <w:tcW w:w="1180" w:type="dxa"/>
            <w:vAlign w:val="bottom"/>
            <w:gridSpan w:val="5"/>
          </w:tcPr>
          <w:p>
            <w:pPr>
              <w:jc w:val="right"/>
              <w:ind w:right="2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448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43,603</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50,563</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100%</w:t>
            </w:r>
          </w:p>
        </w:tc>
        <w:tc>
          <w:tcPr>
            <w:tcW w:w="1080" w:type="dxa"/>
            <w:vAlign w:val="bottom"/>
            <w:gridSpan w:val="4"/>
          </w:tcPr>
          <w:p>
            <w:pPr>
              <w:ind w:lef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(6,960)</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revenues decreased $7.0 million, or 13.8%, during the three months ended March 31, 2010 as compared to the same period in fiscal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revenues represented approximately 11.8% and 7.2% of total revenues during the three months ended March 31, 2010 and 2009, respectively.</w:t>
      </w:r>
    </w:p>
    <w:p>
      <w:pPr>
        <w:spacing w:after="0" w:line="1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ACS revenues decreased $7.5 million, or 15.5%, during the three months ended March 31, 2010 as compared to the same period in fiscal 2009. This decrease was primarily driven by a $3.6 million reduction in sales to commercial customers, primarily relating to medical markets. The decrease was also due to a reduction in sales to defense customers of $3.9 million, mostly driven by a decrease in sales to the electronic warfare market.</w:t>
      </w:r>
    </w:p>
    <w:p>
      <w:pPr>
        <w:spacing w:after="0" w:line="107"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Net MFS revenues increased $0.4 million during the three months ended March 31, 2010 as compared to the same period in fiscal 2009. This change was primarily driven by a $1.3 million increase in revenue relating to a large ISR development program, offset by the completion of other programs during the year.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Other revenues increased $0.1 million during the three months ended March 31, 2010 as compared to the same period in fiscal 2009. This increase is a result of revenues earned by the Company during the three months ended March 31, 2010 attributed to a development program, which are not allocable to our two business units under contract accounting.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As a %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As a % of</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4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Total Net</w:t>
            </w:r>
          </w:p>
        </w:tc>
        <w:tc>
          <w:tcPr>
            <w:tcW w:w="2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50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Total Net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March 31, 2010</w:t>
            </w:r>
          </w:p>
        </w:tc>
        <w:tc>
          <w:tcPr>
            <w:tcW w:w="4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March 31, 2009</w:t>
            </w:r>
          </w:p>
        </w:tc>
        <w:tc>
          <w:tcPr>
            <w:tcW w:w="50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2"/>
              </w:rPr>
              <w:t>Revenue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137,247</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MFS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5,214</w:t>
            </w:r>
          </w:p>
        </w:tc>
        <w:tc>
          <w:tcPr>
            <w:tcW w:w="6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58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136,192</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140,497</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Total revenues decreased $4.3 million, or 3.1%, during the nine months ended March 31, 2010 as compared to the same period in fiscal 2009. International revenues represented approximately 10.8% and 6.0% of total revenues during the nine months ended March 31, 2010 and 2009, respectively.</w:t>
      </w:r>
    </w:p>
    <w:p>
      <w:pPr>
        <w:spacing w:after="0" w:line="8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Net ACS revenues decreased $9.7 million, or 7.0%, to $127.6 million for the nine months ended March 31, 2010 as compared to the same period in fiscal year 2009. This decrease was primarily driven by a $9.1 million reduction in sales to commercial customers, primarily relating to the medical and semiconductor equipment markets. This decrease was also due to a decrease in sales to defense customers of $0.6 million, mostly driven by a decrease in sales to the electronic warfare market.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MFS revenues increased $5.2 million during the nine months ended March 31, 2010 as compared to the same period in fiscal 2009. This change was primarily driven by a $4.8 million increase in revenue relating to a large ISR development program.</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Other revenues increased $0.1 million during the nine months ended March 31, 2010 as compared to the same period in fiscal 2009. This increase is a result of revenues earned by the Company during the three months ended March 31, 2010 attributed to a development program, which are not allocable to our two business units under contract accounting.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Gross margin was 56.9% for the three months ended March 31, 2010, a decrease of 80 basis points from the 57.7% gross margin achieved during the same period in fiscal 2009. The decrease in gross margin was primarily due to an increase in service and systems integration revenue as a percentage of overall revenue, which tends to carry lower gross margins.</w:t>
      </w:r>
    </w:p>
    <w:p>
      <w:pPr>
        <w:spacing w:after="0" w:line="140"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Gross margin was 57.3% for the nine months ended March 31, 2010, an increase of 70 basis points from the 56.6% gross margin achieved during the same period in fiscal 2009. The increase in gross margin was primarily due to a $3.6 million decrease in provisions for obsolete inventory, a $2.9 million reduction in manufacturing costs due to improved efficiencies, a $1.5 million decrease in warranty expense and a $0.6 million decrease in scrap expenditures, as compared to the same period in fiscal 2009. This increase was partially offset by a decrease in direct margin due to an unfavorable shift in product and business</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mix. Significant reserves for inventory obsolescence were booked in the nine months ended March 31, 2009 largely due to lower demand in the commercial space.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Selling, general and administrative expenses decreased $0.1 million, or 0.4%, to $12.5 million during the three months ended March 31, 2010 as compared to $12.6 million during the same period in fiscal 2009. While revenue decreased $7.0 million during the three months ended March 31, 2010, selling, general and administrative expenses remained relatively flat primarily due to consistency in headcount.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Selling, general and administrative expenses decreased $1.3 million, or 3.4%, to $37.4 million during the nine months ended March 31, 2010 as compared to $38.7 million during the same period in fiscal 2009. The decrease was primarily due to a $0.7 million decrease in employee compensation expense, including stock-based compensation expense, driven by awards with historically high valuations becoming fully vested and being offset by new awards with lower valuations and an increase in our estimated forfeiture rate. Additionally, there was a $0.4 million decrease in consultant fees, a $0.4 million decrease in audit expense and a $0.5 million decrease in external legal expense, offset by a $0.2 million increase in recruiting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Research and development expenses decreased $0.5 million, or 4.4%, to $10.6 million during the three months ended March 31, 2010 as compared to $11.1 million during the same period in fiscal 2009. The decrease was primarily the result of a $1.6 million increase in the time spent by our engineers on billable projects. This decrease was partially offset by a $0.6 million increase in employee compensation expense, driven by a 14 person increase in headcount during the three months ended March 31, 2010 and a $0.4 million increase in outside development expenses related to new product development initiatives. Research and development continues to be a focus of our business with approximately 24.4% of our revenues dedicated to research and development activities during the three months ended March 31, 2010 and approximately 22.0% of our revenues dedicated to such activities during the same period in fiscal 2009.</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Research and development expenses decreased $2.3 million, or 6.9%, to $30.7 million during the nine months ended March 31, 2010 as compared to $33.0 million during the same period in fiscal 2009. The decrease was primarily the result of a $4.1 million increase in the time spent by our engineers on billable projects and a $0.3 million decrease in depreciation expense due to assets becoming fully depreciated. This decrease was partially offset by a $1.1 million increase in employee compensation expense, driven by a 14 person increase in headcount, and a $0.9 million increase in outside development expenses related to new product development initiatives. Research and development continues to be a focus of our business with approximately 22.5% of our revenues dedicated to research and development activities during the nine months ended March 31, 2010 and approximately 23.5% of our revenues dedicated to such activities during the same period in fiscal 2009. It is our priority to continue to improve the leverage of our research and development investments in order to realize a more near-term return.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Impairment of long-lived assets was $0.1 million and $0.2 million during the three and nine months ended March 31, 2010, respectively. These charges were the result of the impairment of the remaining value of a terminated license during the three months ended March 31, 2010 and the reduced expectation of the fair value for the shares we received as compensation in the sale of our Biotech business during the nine months ended March 31,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recorded in the nine months ended March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Amortization of acquired intangible assets decreased $0.1 million to $0.4 million for the three months ended March 31, 2010 as compared to $0.5 million during the same period in fiscal 2009. Amortization of acquired intangible assets decreased $0.7 million to $1.3 million for the nine months ended March 31, 2010 as compared to $2.0 million during the same period in fiscal 2009. The decreases in both periods were primarily attributable to assets becoming fully amortized.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Restructuring expense decreased $0.2 million to nil during the three months ended March 31, 2010 as compared to $0.2 million during the same period in fiscal 2009. During the three months ended March 31, 2009, the restructuring charges primarily related to the elimination of four positions and additional severance accruals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our ACS Plan, which was enacted in fiscal 2008 to reduce payroll and overhead costs to realign costs with our revenue base. There were no new restructuring events during the three months ended March 31, 2010.</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Restructuring expense decreased $0.5 million to $0.2 million during the nine months ended March 31, 2010 as compared to $0.7 million during the same period in fiscal 2009. Restructuring activities during the nine months ended March 31, 2010, were primarily due to the elimination of four positions under the Q1 FY10 Plan, which was enacted following the completion of our divestitures as part of the reorganization of our business operations. During the nine months ended March 31, 2009, the restructuring charges primarily related to the elimination of fifteen positions and severance accruals for our ACS Plan, which was enacted in fiscal 2008 to reduce payroll and overhead costs and to realign expenses with our revenue 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remained relatively flat at $0.2 million during the three months ended March 31, 2010 and 2009. Interest income decreased by $1.5 million to $0.4 million during the nine months ended March 31, 2010 as compared to the same period in fiscal 2009. The decreases during the nine months ended March 31, 2010 were primarily attributable to decreased rates of return on our marketable securities, as well as a decrease in the amount of cash invested in marketable securities as a result of the February 2009 and May 2009 repurchase of an aggregate of $125.0 million of our Convertible Senior Notes (the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Interest expense decreased $0.4 million to $0.1 million in the three months ended March 31, 2010 as compared to the same period in fiscal 2009. Interest expense decreased $2.0 million to $0.3 million during the nine months ended March 31, 2010 as compared to the same period in fiscal 2009. The decreases during both periods were primarily due to lower interest incurred as a result of the repayment of our Notes in February 2009 and May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 xml:space="preserve"> / E</w:t>
      </w:r>
      <w:r>
        <w:rPr>
          <w:rFonts w:ascii="Arial" w:cs="Arial" w:eastAsia="Arial" w:hAnsi="Arial"/>
          <w:sz w:val="14"/>
          <w:szCs w:val="14"/>
          <w:color w:val="auto"/>
        </w:rPr>
        <w:t>XPENSE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recorded a tax benefit of $2.2 million during the three months ended March 31, 2010 as compared to a $0.1 million expense during the same period in fiscal 2009. Our effective tax rate for the three months ended March 31, 2010 differed from the U.S. statutory tax rate of 35% primarily due to tax benefits resulting from a change in the effective tax rate that resulted in a $0.5 million benefit. In addition, during the third quarter we had several favorable discrete items which included a $0.9 million benefit from our 2009 tax return filing concerning our ability to utilize certain net operating losses, a $0.4 million decrease of our valuation allowance for uncertain tax positions, $0.3 million due to the favorable settlement of issues regarding our 2006 through 2008 tax return filings and $0.1 million for other items.</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recorded a tax benefit of $1.0 million during the nine months ended March 31, 2010 as compared to a $0.1 million expense during the same period in fiscal 2009. Our effective tax rate for the nine months ended March 31, 2010 differed from the U.S. statutory tax rate of 35% primarily due to tax benefits resulting from a change in the effective tax rate that reduced tax expense to $0.7 million. In addition, during the third quarter we had several favorable discrete items which included a $0.9 million benefit from our 2009 tax return filing concerning our ability to utilize certain net operating losses, a $0.4 million decrease of our valuation allowance for uncertain tax positions, $0.3 million due to the favorable settlement of issues regarding our 2006 through 2008 tax return filings and $0.1 million for 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profit for ACS decreased $3.3 million during the three months ended March 31, 2010 to $2.6 million as compared to $5.9 million for the same period in fiscal 2009. This decrease was largely attributable to lower revenues and gross margin. The decrease in operating profit was slightly offset by a reduction in operating expenses, primarily driven by a decrease in associate headcount as a result of fiscal 2009 restructuring and cost savings efforts.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profit for ACS increased $0.3 million during the nine months ended March 31, 2010 to $11.1 million as compared to $10.8 million for the same period in fiscal 2009. This improvement was largely attributable to a $3.6 million decrease in provisions for obsolete inventory, a $2.9 million reduction in manufacturing costs due to improved efficiencies, a $1.5 million decrease in warranty expense and a $0.6 million decrease in scrap expenditures, as compared to the same period in fiscal 2009 and a reduction in operating expenses, primarily driven by a decrease in associate headcount as a result of fiscal 2009 restructuring and cost savings efforts. This increase was offset by a decrease in revenue in the commercial and electronic warfare markets.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Results from operations of the MFS segment decreased $0.4 million during the three months ended March 31, 2010 to an operating loss of $0.3 million as compared to an operating profit of $0.1 million for the same period in fiscal 2009. The decrease in results from operations was primarily due to a decrease in gross margin due to a change in program mix. In addition, operating expenses increased $0.2 million relating to an increase in MFS headcount.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Results from operations of the MFS segment increased $0.8 million during the nine months ended March 31, 2010 to break-even as compared to an operating loss of $0.8 million for the same period in fiscal 2009. The increase in results from operations was primarily due to an increase in revenue relating to an ISR development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divestitures of our former VI, VSG, Biotech and ES/PS businesses, we provided indemnification to the buyers of the respective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Other than the indemnifications relating to the divestitures of our former VI, VSG, Biotech and ES/PS businesses, our lease commitments incurred in the normal course of business and certain other indemnification provisions (see Note N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80" w:type="dxa"/>
            <w:vAlign w:val="bottom"/>
            <w:tcBorders>
              <w:top w:val="single" w:sz="8" w:color="auto"/>
            </w:tcBorders>
          </w:tcPr>
          <w:p>
            <w:pPr>
              <w:spacing w:after="0"/>
              <w:rPr>
                <w:sz w:val="12"/>
                <w:szCs w:val="12"/>
                <w:color w:val="auto"/>
              </w:rPr>
            </w:pPr>
          </w:p>
        </w:tc>
        <w:tc>
          <w:tcPr>
            <w:tcW w:w="4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$12,295</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7,856</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6,239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58,757</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(85,940)</w:t>
            </w: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11,874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18,461</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cash and cash equivalents increased by $11.9 million from June 30, 2009 to March 31, 2010, primarily as the result of $12.3 million of cash provided by operating activities, $12.2 million cash proceeds from sale of marketable securities and $1.3 million cash proceeds received from employee stock plans, offset by the $8.4 million of payments to reduce our borrowings under our ARS line of credit with UBS and $4.9 million in capital expenditures.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Our cash and cash equivalents decreased by $18.5 million from June 30, 2008 to March 31, 2009, primarily as the result of the repurchase of $119.7 million of our Notes and $3.2 million in capital expenditures, offset by $60.3 million of higher net sales of marketable securities, a $33.3 million borrowing against our ARS and $7.9 million of cash provided by operating activities.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nine months ended March 31, 2010, we generated $12.3 million in cash from operating activities compared to $7.9 million generated from operating activities during the same period in fiscal 2009. The $4.4 million increase in cash generated from operations was largely driven by a $19.9 million increase in net income, a $8.3 million increase due to an increase in accounts payable and accrued expenses, a $4.8 million decrease due to a decrease in deferred revenue and other long-term liabilities and a $2.5 million decrease in cash due to an increase in accounts receivable, offset by a $14.8 million decrease in non-cash gains and losses, a $8.4 million increase in cash used from inventory, a $4.2 million decrease in cash due to an increase in prepaid expenses, a $3 million increase in cash paid for income taxes and a $0.5 million decrease in cash generated from other assets. Our ability to generate cash from operations in future periods will depend in large part on profitability, the rate of collection of accounts receivable, our inventory turns and our ability to manage other areas of working capital.</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the nine months ended March 31, 2010, we generated $6.2 million of cash from investing activities compared to $58.8 million provided by investing activities during the same period in fiscal 2009. The $52.6 million decrease in cash provided by investing activities was primarily driven by a $48.2 million decrease in cash generated from net sale of marketable securities, $1.8 million increase in capital expenditures, $1.6 increase in net cash used for sale of discontinuing operations and a $0.8 million decrease in proceeds from the redemption of life insurance policies.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nine months ended March 31, 2010, we used $6.9 million cash in financing activities compared to $85.9 million during the same period in fiscal 2009. The $79 million decrease in cash used in financing activities was primarily due to our February 4, 2009 repurchase of $119.7 million (face value) aggregate principal amount of our Notes from the holder of such Notes, offset by $8.4 million of payments made against our ARS line of credit during the nine months ended March 31, 2010 as compared to $33.3 million of borrowings under the ARS line of credit in the comparable period in fiscal 2009. In October 2008, we received a rights offering from UBS (the “offering”) in which we elected to participate. By electing to participate in the offering, we (1) received the right to sell these ARS back to UBS at par plus interest, at our sole discretion, during a two-year period beginning on June 30, 2010, and (2) received an option to borrow up to 75% of the fair value of the ARS. Upon borrowing against the ARS, we forgo the interest income on the underlying ARS while the borrowings are outstanding and in return are not charged any interest expense. The line of credit included in the offering replaced our previous margin loan facility with UBS. As of March 31, 2010, we had $24.9 million outstanding under this line of credit, collateralized by the $37.9 million par value of ARS.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nine months ended March 31, 2010, our primary source of liquidity came from existing cash and marketable securities, the cash generated from operations and the $24.9 million borrowing under our ARS line of credit.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marketable securities, available line of credit and cash generated from operations will be sufficient to satisfy our anticipated cash requirements for at least the next twelve months.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April and May 2010, UBS repurchased $3.7 million of our outstanding ARS, at par, from us, which was applied against the outstanding ARS line of credit. The combination of the fair value of the ARS and corresponding put option approximates par value, and therefore, no gain or loss was recognized upon repurchase. Our outstanding loan balance with UBS has been reduced by the full amount of the repurchase. In addition, we drew down the loan with UBS by $0.9 million in May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April 29, 2004, we completed a private offering of $125.0 million aggregate principal amount of Notes, which had an original maturity date of May 1, 2024, bearing interest at 2% per year, payable semiannually in arrears in May and November. The Notes were unsecured, ranked equally in right of payment to our existing and future unsecured senior debt, and did not subject us to any financial covenants.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February 4, 2009, we repurchased $119.7 million (face value) aggregate principal amount of our Notes from a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May 1, 2009, we repurchased the remaining aggregate principal amount outstanding of $5.3 million (face value) of our Notes from the holders of such Notes. We repurchased the Notes for aggregate consideration equal to the principal amount of the Notes plus accrued interest. We paid the consideration for the Notes from cash on hand. We have no further obligations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October 2008, we elected to participate in a rights offering from UBS with the option to borrow up to 75% of the fair value of our $37.9 million par value ARS. Upon borrowing against the ARS, the interest expense incurred by us will not exceed the interest income earned on the underlying ARS. As of March 31, 2010, we had $24.9 million outstanding against this line of credit.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April and May 2010, UBS repurchased $3.7 million of our outstanding ARS securities from us, which was applied against the outstanding ARS line of credit. In addition, we drew down the loan with UBS by $0.9 million in May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provides for a $15.0 million revolving line of credit (the “Revolver”) and a $20.0 million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 million, until February 11, 2012. The Term Loan has interest payments only through the August 1, 2010 payment date, and converts to interest and principal payments starting on the September 1, 2010 payment date through the February 11, 2014 maturity of the Term Loan. As of March 31, 2010, there were no borrowings against the Revolver and Term Loans.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Loan Agreement bears interest, at our option, at a rate per annum equal to either: (i) the prime rate minus 0.25% to plus 0.25%; or (ii) the LIBOR rate plus 2.75% to 3.25% (in each case, based on our consolidated leverage ratio at the time of borrowing). For prime rate borrowings, the prime rate shall be the greater of: (i) 4.00%; or (ii) the Lender’s prime rate. We may not have LIBOR credit extensions having more than four different interest periods outstanding at any point in time. We are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Borrowings under the Loan Agreement are secured by a first-priority security interest in all of our domestic assets (other than our ARS), including intellectual property, but limited to 65% of the voting stock of foreign subsidiaries. Our MFS subsidiary is a guarantor and has granted a security interest in its assets in favor of the Lender.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we have less than $10 million of cash equivalents in accounts with the Lender in excess of our borrowings under the Loan Agreement, we must also satisfy a $15 million minimum trailing-four-quarter cash-flow covenant. The minimum cash flow covenant is calculated as our trailing-four quarter adjusted EBITDA (as defined in the Loan Agreement; EBITDA adjusted to add back non-cash stock compensation expenses and other one-time non-cash expenses as approved by the Lender), minus our capital expenditures during such period, and minus taxes paid by us in cash during such period. In addition, the Loan Agreement contains certain customary representations and warranties and limits us and our subsidiaries’ ability to incur liens, dispose of assets, carry out certain mergers and acquisitions, make investments and capital expenditures and defines events of default and limitations on us and our subsidiaries to incur additional debt. The Loan Agreement requires us to exercise the put option for our ARS within 30 days of June 30, 2010, and to use the proceeds from the ARS to pay off our outstanding borrowings under our existing ARS credit facility with UBS.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 compliance with all covenants in the Loan Agreement as of 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4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8"/>
              </w:rPr>
              <w:t>Years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$24,932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27,916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27,916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17,879</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5,752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8"/>
              </w:rPr>
              <w:t>4,428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Supply agreement</w:t>
            </w:r>
          </w:p>
        </w:tc>
        <w:tc>
          <w:tcPr>
            <w:tcW w:w="580" w:type="dxa"/>
            <w:vAlign w:val="bottom"/>
          </w:tcPr>
          <w:p>
            <w:pPr>
              <w:jc w:val="right"/>
              <w:spacing w:after="0"/>
              <w:rPr>
                <w:sz w:val="20"/>
                <w:szCs w:val="20"/>
                <w:color w:val="auto"/>
              </w:rPr>
            </w:pPr>
            <w:r>
              <w:rPr>
                <w:rFonts w:ascii="Arial" w:cs="Arial" w:eastAsia="Arial" w:hAnsi="Arial"/>
                <w:sz w:val="18"/>
                <w:szCs w:val="18"/>
                <w:color w:val="auto"/>
              </w:rPr>
              <w:t>1,795</w:t>
            </w:r>
          </w:p>
        </w:tc>
        <w:tc>
          <w:tcPr>
            <w:tcW w:w="4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1,795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72,676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$ 55,896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7,649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4,428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$27.9 million at March 31, 2010.</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March 31, 2010, the remaining minimum commitment related to this agreement was $1.8 million, which is the 35% “penalty” on the remaining inventory balance.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July 2008, the Company and the former CEO, James Bertelli, entered into an agreement for consulting services through June 30, 2010. The consideration for these services totaled $0.2 million and is being paid out over the service period. As of March 31, 2010, the Company had made payments of $0.2 million for consulting services under this agreement. Additionally, in July 2008, the Company entered into a five year non-compete agreement with our former CEO. This agreement, which is carried as an intangible asset on the Company’s balance sheet, was valued at $0.5 million and is being amortized over the life of the agreement. As of March 31, 2010, the Company had made payments of $0.3 million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Standards Codification</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and the Hierarchy of Generally Accepted Accounting Principles—a replacement of FASB Statement No. 162 </w:t>
      </w:r>
      <w:r>
        <w:rPr>
          <w:rFonts w:ascii="Arial" w:cs="Arial" w:eastAsia="Arial" w:hAnsi="Arial"/>
          <w:sz w:val="16"/>
          <w:szCs w:val="16"/>
          <w:color w:val="auto"/>
        </w:rPr>
        <w:t>(“FASB 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168”). FASB SFAS 168 establishes the </w:t>
      </w:r>
      <w:r>
        <w:rPr>
          <w:rFonts w:ascii="Arial" w:cs="Arial" w:eastAsia="Arial" w:hAnsi="Arial"/>
          <w:sz w:val="16"/>
          <w:szCs w:val="16"/>
          <w:i w:val="1"/>
          <w:iCs w:val="1"/>
          <w:color w:val="auto"/>
        </w:rPr>
        <w:t>FASB Accounting Standards Codification</w:t>
      </w:r>
      <w:r>
        <w:rPr>
          <w:rFonts w:ascii="Arial" w:cs="Arial" w:eastAsia="Arial" w:hAnsi="Arial"/>
          <w:sz w:val="10"/>
          <w:szCs w:val="10"/>
          <w:i w:val="1"/>
          <w:iCs w:val="1"/>
          <w:color w:val="auto"/>
        </w:rPr>
        <w:t>TM</w:t>
      </w:r>
      <w:r>
        <w:rPr>
          <w:rFonts w:ascii="Arial" w:cs="Arial" w:eastAsia="Arial" w:hAnsi="Arial"/>
          <w:sz w:val="16"/>
          <w:szCs w:val="16"/>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 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Changes to the ASC subsequent to June 30, 2009 are referred to as Accounting Standards Updates (“ASU”).</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In conjunction with the issuance of FASB SFAS 168, the FASB also issued ASU No. 2009-1, </w:t>
      </w:r>
      <w:r>
        <w:rPr>
          <w:rFonts w:ascii="Arial" w:cs="Arial" w:eastAsia="Arial" w:hAnsi="Arial"/>
          <w:sz w:val="18"/>
          <w:szCs w:val="18"/>
          <w:i w:val="1"/>
          <w:iCs w:val="1"/>
          <w:color w:val="auto"/>
        </w:rPr>
        <w:t>Topic 105—Generally Accepted Accounting Principles</w:t>
      </w:r>
      <w:r>
        <w:rPr>
          <w:rFonts w:ascii="Arial" w:cs="Arial" w:eastAsia="Arial" w:hAnsi="Arial"/>
          <w:sz w:val="18"/>
          <w:szCs w:val="18"/>
          <w:color w:val="auto"/>
        </w:rPr>
        <w:t xml:space="preserve"> (“FASB ASU 2009-1”), which includes FASB SFAS 168 in its entirety as a transition to the ASC. FASB ASU 2009-1 is effective for interim and annual periods ending after September 15, 2009 and will not have an impact on our financial position or results of operations but will change the referencing system for accounting standards.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Effective February 2010, we adopted FASB ASU 2010-09,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ASU 2010-09”), which updated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ASC 855”). FASB ASU 2010-09 clarifies the date through which we are required to evaluate subsequent events. SEC filers will be required to evaluate subsequent events through the date that the financial statements are issued. Such adoption had no impact on our financial position or results of operations as it only amends required disclosures.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Effective January 1, 2010, we adopted FASB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(“FASB ASU 2010-06”). FASB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Such adoption did not have a material impact on our financial position or results of operation.</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Effective July 1, 2009, we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(“FASB ASU 2009-13”), which amends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us July 1, 2010; however, we have elected to early adopt as permitted by the guidance. As such, we have prospectively applied the provisions of FASB ASU 2009-13 to revenue arrangements entered into or materially modified after July 1, 2009. See Note C to the consolidated financial statements for disclosures regarding the adoption of FASB ASU 2009-13.</w:t>
      </w:r>
    </w:p>
    <w:p>
      <w:pPr>
        <w:spacing w:after="0" w:line="12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Effective July 1, 2009, we adopted FASB ASU No. 2009-14, </w:t>
      </w:r>
      <w:r>
        <w:rPr>
          <w:rFonts w:ascii="Arial" w:cs="Arial" w:eastAsia="Arial" w:hAnsi="Arial"/>
          <w:sz w:val="15"/>
          <w:szCs w:val="15"/>
          <w:i w:val="1"/>
          <w:iCs w:val="1"/>
          <w:color w:val="auto"/>
        </w:rPr>
        <w:t>Certain Revenue Arrangements That Include Software Elements</w:t>
      </w:r>
      <w:r>
        <w:rPr>
          <w:rFonts w:ascii="Arial" w:cs="Arial" w:eastAsia="Arial" w:hAnsi="Arial"/>
          <w:sz w:val="15"/>
          <w:szCs w:val="15"/>
          <w:color w:val="auto"/>
        </w:rPr>
        <w:t xml:space="preserve"> (“FASB ASU 2009-14”), which amends FASB ASC 985, </w:t>
      </w:r>
      <w:r>
        <w:rPr>
          <w:rFonts w:ascii="Arial" w:cs="Arial" w:eastAsia="Arial" w:hAnsi="Arial"/>
          <w:sz w:val="15"/>
          <w:szCs w:val="15"/>
          <w:i w:val="1"/>
          <w:iCs w:val="1"/>
          <w:color w:val="auto"/>
        </w:rPr>
        <w:t>Software</w:t>
      </w:r>
      <w:r>
        <w:rPr>
          <w:rFonts w:ascii="Arial" w:cs="Arial" w:eastAsia="Arial" w:hAnsi="Arial"/>
          <w:sz w:val="15"/>
          <w:szCs w:val="15"/>
          <w:color w:val="auto"/>
        </w:rPr>
        <w:t>. FASB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us July 1, 2010; however, we have elected to early adopt as permitted by the guidance. As such, we will prospectively apply the provisions of FASB ASU 2009-14 to revenue arrangements entered into or materially modified after July 1, 2009. Such adoption did not have a material impact on our financial position or results of operations.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Effective July 1, 2009, we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we had no acquisitions and as such, the adoption did not have a material impact on our financial position or results of operations.</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Effective July 1, 2009, we adopted FASB Staff Position (“FSP”) No.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which was primarily codified into FASB ASC 350—</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must be applied prospectively to all intangible assets acquired as of and subsequent to fiscal years beginning after December 15, 2008. This guidance became effective for us on July 1, 2009. Although future transactions involving intangible assets may be affected by this guidance, it did not impact our financial position or results of operations as we did not acquire any intangible assets during the three and nine months ended March 31, 2010.</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Effective July 1, 2009, we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our financial position or results of operations.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Effective August 2009, the we adopted FASB ASU No. 2009-05, </w:t>
      </w:r>
      <w:r>
        <w:rPr>
          <w:rFonts w:ascii="Arial" w:cs="Arial" w:eastAsia="Arial" w:hAnsi="Arial"/>
          <w:sz w:val="18"/>
          <w:szCs w:val="18"/>
          <w:i w:val="1"/>
          <w:iCs w:val="1"/>
          <w:color w:val="auto"/>
        </w:rPr>
        <w:t>Measuring Liabilities at Fair Value</w:t>
      </w:r>
      <w:r>
        <w:rPr>
          <w:rFonts w:ascii="Arial" w:cs="Arial" w:eastAsia="Arial" w:hAnsi="Arial"/>
          <w:sz w:val="18"/>
          <w:szCs w:val="18"/>
          <w:color w:val="auto"/>
        </w:rPr>
        <w:t xml:space="preserve"> (“FASB ASU 2009-05”), which amends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ASU 2009-05 provides clarification and guidance regarding how to value a liability when a quoted price in an active market is not available for that liability. The changes to the FASB ASC as a result of this update were effective for us on October 1, 2009. Such adoption did not have a material impact on our financial position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2010, the FASB ratified ASU 2010-17, </w:t>
      </w:r>
      <w:r>
        <w:rPr>
          <w:rFonts w:ascii="Arial" w:cs="Arial" w:eastAsia="Arial" w:hAnsi="Arial"/>
          <w:sz w:val="18"/>
          <w:szCs w:val="18"/>
          <w:i w:val="1"/>
          <w:iCs w:val="1"/>
          <w:color w:val="auto"/>
        </w:rPr>
        <w:t>Revenue Recognition – Milestone Method (Topic 605): Milestone Method of Revenue Recognition</w:t>
      </w:r>
      <w:r>
        <w:rPr>
          <w:rFonts w:ascii="Arial" w:cs="Arial" w:eastAsia="Arial" w:hAnsi="Arial"/>
          <w:sz w:val="18"/>
          <w:szCs w:val="18"/>
          <w:color w:val="auto"/>
        </w:rPr>
        <w:t xml:space="preserve"> (“FASB ASU 2010-17”), which provides guidance related to revenue recognition that applies to arrangements with milestones relating to research or development deliverables. This guidance provides criteria that must be met to recognize consideration that is contingent upon achievement of a substantive milestone in its entirety in the period in which the milestone is achieved. This guidance is effective for us on July 1, 2010 and is not expected to have a material impact to our consolidated financial position or results of operations.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2009 to March 31,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management has concluded that our disclosure controls and procedures are effective.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March 31, 2010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Part I—Item 1A (Risk Factors) in our Annual Report on Form 10-K for the fiscal year ended June 30, 2009. There have been no material changes from the factors disclosed in our 2009 Annual Report on Form 10-K, except as disclosed in our Quarterly Report on Form 10-Q for the quarter ended December 31, 2009.</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sets forth information about repurchases of our common stock for the three months ended March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jc w:val="right"/>
              <w:ind w:right="940"/>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Total Number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92"/>
              </w:rPr>
              <w:t>Paid Per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0" w:type="dxa"/>
            <w:vAlign w:val="bottom"/>
          </w:tcPr>
          <w:p>
            <w:pPr>
              <w:spacing w:after="0"/>
              <w:rPr>
                <w:sz w:val="1"/>
                <w:szCs w:val="1"/>
                <w:color w:val="auto"/>
              </w:rPr>
            </w:pPr>
          </w:p>
        </w:tc>
      </w:tr>
      <w:tr>
        <w:trPr>
          <w:trHeight w:val="16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Period of Repurchase</w:t>
            </w: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Shares Purchased(1)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Share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1-31, 2010</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17.55</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February 1-28, 2010</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3,407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940"/>
              <w:spacing w:after="0"/>
              <w:rPr>
                <w:sz w:val="20"/>
                <w:szCs w:val="20"/>
                <w:color w:val="auto"/>
              </w:rPr>
            </w:pPr>
            <w:r>
              <w:rPr>
                <w:rFonts w:ascii="Arial" w:cs="Arial" w:eastAsia="Arial" w:hAnsi="Arial"/>
                <w:sz w:val="18"/>
                <w:szCs w:val="18"/>
                <w:color w:val="auto"/>
              </w:rPr>
              <w:t>15.29</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2010</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12.53</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3"/>
            <w:vMerge w:val="continue"/>
          </w:tcPr>
          <w:p>
            <w:pPr>
              <w:spacing w:after="0"/>
              <w:rPr>
                <w:sz w:val="19"/>
                <w:szCs w:val="19"/>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4,929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reacquired in connection with the surrender of shares to cover the minimum taxes on vesting of restricted stock.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300"/>
              <w:spacing w:after="0"/>
              <w:rPr>
                <w:sz w:val="20"/>
                <w:szCs w:val="20"/>
                <w:color w:val="auto"/>
              </w:rPr>
            </w:pPr>
            <w:r>
              <w:rPr>
                <w:rFonts w:ascii="Arial" w:cs="Arial" w:eastAsia="Arial" w:hAnsi="Arial"/>
                <w:sz w:val="18"/>
                <w:szCs w:val="18"/>
                <w:color w:val="auto"/>
                <w:w w:val="88"/>
              </w:rPr>
              <w:t>Loan and Security Agreement dated February 12, 2010 between the Company and Silicon Valley Bank (incorporated herein by reference to Exhibit</w:t>
            </w:r>
          </w:p>
        </w:tc>
      </w:tr>
      <w:tr>
        <w:trPr>
          <w:trHeight w:val="222"/>
        </w:trPr>
        <w:tc>
          <w:tcPr>
            <w:tcW w:w="740" w:type="dxa"/>
            <w:vAlign w:val="bottom"/>
          </w:tcPr>
          <w:p>
            <w:pPr>
              <w:spacing w:after="0"/>
              <w:rPr>
                <w:sz w:val="19"/>
                <w:szCs w:val="19"/>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10.1 of the Company’s Current Report on Form 8-K filed on February 19, 2010)</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Rule 13a-14(a)/15(d)-14(a)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pursuant to Rule 13a-14(a)/15(d)-14(a)</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740" w:type="dxa"/>
            <w:vAlign w:val="bottom"/>
          </w:tcPr>
          <w:p>
            <w:pPr>
              <w:spacing w:after="0"/>
              <w:rPr>
                <w:sz w:val="19"/>
                <w:szCs w:val="19"/>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00"/>
          </w:cols>
          <w:pgMar w:left="240" w:top="459" w:right="11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March 31, 2010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2019-12-10T16:29:51Z</dcterms:created>
  <dcterms:modified xsi:type="dcterms:W3CDTF">2019-12-10T16:29:51Z</dcterms:modified>
</cp:coreProperties>
</file>