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-199390</wp:posOffset>
            </wp:positionV>
            <wp:extent cx="1646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323215</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720" w:right="880" w:hanging="685"/>
        <w:spacing w:after="0" w:line="278" w:lineRule="auto"/>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JUNE 30, 2016</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860" w:hanging="670"/>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32" w:lineRule="exact"/>
        <w:rPr>
          <w:sz w:val="24"/>
          <w:szCs w:val="24"/>
          <w:color w:val="auto"/>
        </w:rPr>
      </w:pPr>
    </w:p>
    <w:p>
      <w:pPr>
        <w:ind w:left="860"/>
        <w:spacing w:after="0"/>
        <w:tabs>
          <w:tab w:leader="none" w:pos="2900" w:val="left"/>
          <w:tab w:leader="none" w:pos="398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0-23599</w:t>
      </w:r>
    </w:p>
    <w:p>
      <w:pPr>
        <w:spacing w:after="0" w:line="270" w:lineRule="exact"/>
        <w:rPr>
          <w:sz w:val="24"/>
          <w:szCs w:val="24"/>
          <w:color w:val="auto"/>
        </w:rPr>
      </w:pPr>
    </w:p>
    <w:tbl>
      <w:tblPr>
        <w:tblLayout w:type="fixed"/>
        <w:tblInd w:w="340" w:type="dxa"/>
        <w:tblCellMar>
          <w:top w:w="0" w:type="dxa"/>
          <w:left w:w="0" w:type="dxa"/>
          <w:bottom w:w="0" w:type="dxa"/>
          <w:right w:w="0" w:type="dxa"/>
        </w:tblCellMar>
      </w:tblPr>
      <w:tr>
        <w:trPr>
          <w:trHeight w:val="25"/>
        </w:trPr>
        <w:tc>
          <w:tcPr>
            <w:tcW w:w="4080" w:type="dxa"/>
            <w:vAlign w:val="bottom"/>
            <w:gridSpan w:val="2"/>
          </w:tcPr>
          <w:p>
            <w:pPr>
              <w:spacing w:after="0"/>
              <w:rPr>
                <w:sz w:val="2"/>
                <w:szCs w:val="2"/>
                <w:color w:val="auto"/>
              </w:rPr>
            </w:pPr>
          </w:p>
        </w:tc>
        <w:tc>
          <w:tcPr>
            <w:tcW w:w="2620" w:type="dxa"/>
            <w:vAlign w:val="bottom"/>
            <w:tcBorders>
              <w:right w:val="single" w:sz="8" w:color="auto"/>
            </w:tcBorders>
            <w:shd w:val="clear" w:color="auto" w:fill="000000"/>
          </w:tcPr>
          <w:p>
            <w:pPr>
              <w:spacing w:after="0"/>
              <w:rPr>
                <w:sz w:val="2"/>
                <w:szCs w:val="2"/>
                <w:color w:val="auto"/>
              </w:rPr>
            </w:pPr>
          </w:p>
        </w:tc>
        <w:tc>
          <w:tcPr>
            <w:tcW w:w="1680" w:type="dxa"/>
            <w:vAlign w:val="bottom"/>
            <w:vMerge w:val="restart"/>
          </w:tcPr>
          <w:p>
            <w:pPr>
              <w:spacing w:after="0"/>
              <w:rPr>
                <w:sz w:val="20"/>
                <w:szCs w:val="20"/>
                <w:color w:val="auto"/>
              </w:rPr>
            </w:pPr>
            <w:r>
              <w:rPr>
                <w:rFonts w:ascii="Arial" w:cs="Arial" w:eastAsia="Arial" w:hAnsi="Arial"/>
                <w:sz w:val="29"/>
                <w:szCs w:val="29"/>
                <w:b w:val="1"/>
                <w:bCs w:val="1"/>
                <w:color w:val="auto"/>
              </w:rPr>
              <w:t>INC.</w:t>
            </w: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6700" w:type="dxa"/>
            <w:vAlign w:val="bottom"/>
            <w:gridSpan w:val="3"/>
          </w:tcPr>
          <w:p>
            <w:pPr>
              <w:ind w:left="3540"/>
              <w:spacing w:after="0" w:line="308" w:lineRule="exact"/>
              <w:rPr>
                <w:sz w:val="20"/>
                <w:szCs w:val="20"/>
                <w:color w:val="auto"/>
              </w:rPr>
            </w:pPr>
            <w:r>
              <w:rPr>
                <w:rFonts w:ascii="Arial" w:cs="Arial" w:eastAsia="Arial" w:hAnsi="Arial"/>
                <w:sz w:val="29"/>
                <w:szCs w:val="29"/>
                <w:b w:val="1"/>
                <w:bCs w:val="1"/>
                <w:color w:val="auto"/>
              </w:rPr>
              <w:t>MERCURY SYSTEMS,</w:t>
            </w:r>
          </w:p>
        </w:tc>
        <w:tc>
          <w:tcPr>
            <w:tcW w:w="1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380" w:type="dxa"/>
            <w:vAlign w:val="bottom"/>
            <w:gridSpan w:val="4"/>
          </w:tcPr>
          <w:p>
            <w:pPr>
              <w:jc w:val="center"/>
              <w:ind w:left="227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w w:val="99"/>
              </w:rPr>
              <w:t>MASSACHUSETTS</w:t>
            </w:r>
          </w:p>
        </w:tc>
        <w:tc>
          <w:tcPr>
            <w:tcW w:w="4560" w:type="dxa"/>
            <w:vAlign w:val="bottom"/>
            <w:gridSpan w:val="3"/>
          </w:tcPr>
          <w:p>
            <w:pPr>
              <w:jc w:val="right"/>
              <w:spacing w:after="0"/>
              <w:rPr>
                <w:sz w:val="20"/>
                <w:szCs w:val="20"/>
                <w:color w:val="auto"/>
              </w:rPr>
            </w:pPr>
            <w:r>
              <w:rPr>
                <w:rFonts w:ascii="Arial" w:cs="Arial" w:eastAsia="Arial" w:hAnsi="Arial"/>
                <w:sz w:val="16"/>
                <w:szCs w:val="16"/>
                <w:b w:val="1"/>
                <w:bCs w:val="1"/>
                <w:color w:val="auto"/>
              </w:rPr>
              <w:t>04-2741391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(State or other jurisdiction of</w:t>
            </w: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70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4"/>
              </w:rPr>
              <w:t>incorporation or organization)</w:t>
            </w: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70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3"/>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rPr>
              <w:t>201 RIVERNECK ROAD</w:t>
            </w: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rPr>
              <w:t>CHELMSFORD, MA</w:t>
            </w:r>
          </w:p>
        </w:tc>
        <w:tc>
          <w:tcPr>
            <w:tcW w:w="456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rPr>
              <w:t>01824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20" w:type="dxa"/>
            <w:vAlign w:val="bottom"/>
          </w:tcPr>
          <w:p>
            <w:pPr>
              <w:jc w:val="center"/>
              <w:ind w:left="9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gridSpan w:val="2"/>
            <w:vMerge w:val="restart"/>
          </w:tcPr>
          <w:p>
            <w:pPr>
              <w:jc w:val="center"/>
              <w:ind w:left="159"/>
              <w:spacing w:after="0"/>
              <w:rPr>
                <w:sz w:val="20"/>
                <w:szCs w:val="20"/>
                <w:color w:val="auto"/>
              </w:rPr>
            </w:pPr>
            <w:r>
              <w:rPr>
                <w:rFonts w:ascii="Arial" w:cs="Arial" w:eastAsia="Arial" w:hAnsi="Arial"/>
                <w:sz w:val="16"/>
                <w:szCs w:val="16"/>
                <w:b w:val="1"/>
                <w:bCs w:val="1"/>
                <w:color w:val="auto"/>
                <w:w w:val="92"/>
              </w:rPr>
              <w:t>978-256-1300</w:t>
            </w:r>
          </w:p>
        </w:tc>
        <w:tc>
          <w:tcPr>
            <w:tcW w:w="1680" w:type="dxa"/>
            <w:vAlign w:val="bottom"/>
          </w:tcPr>
          <w:p>
            <w:pPr>
              <w:jc w:val="center"/>
              <w:ind w:left="812"/>
              <w:spacing w:after="0"/>
              <w:rPr>
                <w:sz w:val="20"/>
                <w:szCs w:val="20"/>
                <w:color w:val="auto"/>
              </w:rPr>
            </w:pPr>
            <w:r>
              <w:rPr>
                <w:rFonts w:ascii="Arial" w:cs="Arial" w:eastAsia="Arial" w:hAnsi="Arial"/>
                <w:sz w:val="14"/>
                <w:szCs w:val="14"/>
                <w:b w:val="1"/>
                <w:bCs w:val="1"/>
                <w:color w:val="auto"/>
                <w:w w:val="95"/>
              </w:rPr>
              <w:t>(Zip Code)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80" w:type="dxa"/>
            <w:vAlign w:val="bottom"/>
            <w:gridSpan w:val="4"/>
          </w:tcPr>
          <w:p>
            <w:pPr>
              <w:jc w:val="center"/>
              <w:ind w:left="22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REGISTERED PURSUANT TO SECTION 12(b)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4560" w:type="dxa"/>
            <w:vAlign w:val="bottom"/>
            <w:gridSpan w:val="3"/>
          </w:tcPr>
          <w:p>
            <w:pPr>
              <w:jc w:val="center"/>
              <w:ind w:right="1372"/>
              <w:spacing w:after="0"/>
              <w:rPr>
                <w:sz w:val="20"/>
                <w:szCs w:val="20"/>
                <w:color w:val="auto"/>
              </w:rPr>
            </w:pPr>
            <w:r>
              <w:rPr>
                <w:rFonts w:ascii="Arial" w:cs="Arial" w:eastAsia="Arial" w:hAnsi="Arial"/>
                <w:sz w:val="16"/>
                <w:szCs w:val="16"/>
                <w:b w:val="1"/>
                <w:bCs w:val="1"/>
                <w:color w:val="auto"/>
              </w:rPr>
              <w:t>SECURITIES EXCHANGE ACT OF 1934: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Title of Each Class</w:t>
            </w:r>
          </w:p>
        </w:tc>
        <w:tc>
          <w:tcPr>
            <w:tcW w:w="260" w:type="dxa"/>
            <w:vAlign w:val="bottom"/>
          </w:tcPr>
          <w:p>
            <w:pPr>
              <w:spacing w:after="0"/>
              <w:rPr>
                <w:sz w:val="24"/>
                <w:szCs w:val="24"/>
                <w:color w:val="auto"/>
              </w:rPr>
            </w:pPr>
          </w:p>
        </w:tc>
        <w:tc>
          <w:tcPr>
            <w:tcW w:w="5320" w:type="dxa"/>
            <w:vAlign w:val="bottom"/>
            <w:gridSpan w:val="3"/>
          </w:tcPr>
          <w:p>
            <w:pPr>
              <w:jc w:val="center"/>
              <w:ind w:left="24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36"/>
        </w:trPr>
        <w:tc>
          <w:tcPr>
            <w:tcW w:w="3820" w:type="dxa"/>
            <w:vAlign w:val="bottom"/>
          </w:tcPr>
          <w:p>
            <w:pPr>
              <w:jc w:val="center"/>
              <w:ind w:left="978"/>
              <w:spacing w:after="0"/>
              <w:rPr>
                <w:sz w:val="20"/>
                <w:szCs w:val="20"/>
                <w:color w:val="auto"/>
              </w:rPr>
            </w:pPr>
            <w:r>
              <w:rPr>
                <w:rFonts w:ascii="Arial" w:cs="Arial" w:eastAsia="Arial" w:hAnsi="Arial"/>
                <w:sz w:val="16"/>
                <w:szCs w:val="16"/>
                <w:color w:val="auto"/>
                <w:w w:val="90"/>
              </w:rPr>
              <w:t>Common Stock, Par Value $.01 Per Share</w:t>
            </w: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gridSpan w:val="2"/>
          </w:tcPr>
          <w:p>
            <w:pPr>
              <w:jc w:val="center"/>
              <w:ind w:right="39"/>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411"/>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REGISTERED PURSUANT TO SECTION 12(g)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EXCHANGE ACT OF 1934: NONE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8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p>
        </w:tc>
        <w:tc>
          <w:tcPr>
            <w:tcW w:w="102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38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4"/>
              </w:rPr>
              <w:t>☐</w:t>
            </w:r>
          </w:p>
        </w:tc>
        <w:tc>
          <w:tcPr>
            <w:tcW w:w="10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right="5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189"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340"/>
        <w:spacing w:after="0" w:line="184" w:lineRule="exact"/>
        <w:tabs>
          <w:tab w:leader="none" w:pos="786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100" w:firstLine="324"/>
        <w:spacing w:after="0" w:line="281"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$639.6 million based upon the closing price of the Common Stock as reported on the Nasdaq Global Select Market on December 31, 2015, the last business day of the registrant’s most recently completed second fiscal quarter.</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Shares of Common Stock outstanding as of July 31, 2016: 40,360,389 shares</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left="4900" w:right="960" w:hanging="4557"/>
        <w:spacing w:after="0" w:line="257" w:lineRule="auto"/>
        <w:rPr>
          <w:sz w:val="20"/>
          <w:szCs w:val="20"/>
          <w:color w:val="auto"/>
        </w:rPr>
      </w:pPr>
      <w:r>
        <w:rPr>
          <w:rFonts w:ascii="Arial" w:cs="Arial" w:eastAsia="Arial" w:hAnsi="Arial"/>
          <w:sz w:val="16"/>
          <w:szCs w:val="16"/>
          <w:color w:val="auto"/>
        </w:rPr>
        <w:t>Portions of the registrant’s definitive Proxy Statement for its 2016 Annual Meeting of Shareholders are incorporated by reference into Part III of this report. Exhibit Index on Page 83</w:t>
      </w:r>
    </w:p>
    <w:p>
      <w:pPr>
        <w:sectPr>
          <w:pgSz w:w="11900" w:h="16838" w:orient="portrait"/>
          <w:cols w:equalWidth="0" w:num="1">
            <w:col w:w="11400"/>
          </w:cols>
          <w:pgMar w:left="240" w:top="459" w:right="259" w:bottom="1440" w:gutter="0" w:footer="0" w:header="0"/>
        </w:sect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5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w w:val="99"/>
              </w:rPr>
              <w:t>MERCURY SYSTEMS,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040" w:type="dxa"/>
            <w:vAlign w:val="bottom"/>
          </w:tcPr>
          <w:p>
            <w:pPr>
              <w:spacing w:after="0"/>
              <w:rPr>
                <w:sz w:val="17"/>
                <w:szCs w:val="17"/>
                <w:color w:val="auto"/>
              </w:rPr>
            </w:pPr>
          </w:p>
        </w:tc>
        <w:tc>
          <w:tcPr>
            <w:tcW w:w="9320" w:type="dxa"/>
            <w:vAlign w:val="bottom"/>
            <w:gridSpan w:val="24"/>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80" w:type="dxa"/>
            <w:vAlign w:val="bottom"/>
            <w:gridSpan w:val="2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6"/>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42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32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28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Mine Safety Disclosures</w:t>
              </w:r>
            </w:hyperlink>
          </w:p>
        </w:tc>
        <w:tc>
          <w:tcPr>
            <w:tcW w:w="75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4.1.</w:t>
            </w:r>
          </w:p>
        </w:tc>
        <w:tc>
          <w:tcPr>
            <w:tcW w:w="2600" w:type="dxa"/>
            <w:vAlign w:val="bottom"/>
            <w:gridSpan w:val="1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Executive Officers of the Registrant</w:t>
              </w:r>
            </w:hyperlink>
          </w:p>
        </w:tc>
        <w:tc>
          <w:tcPr>
            <w:tcW w:w="67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660" w:type="dxa"/>
            <w:vAlign w:val="bottom"/>
            <w:gridSpan w:val="3"/>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1940" w:type="dxa"/>
            <w:vAlign w:val="bottom"/>
            <w:gridSpan w:val="10"/>
          </w:tcPr>
          <w:p>
            <w:pPr>
              <w:spacing w:after="0"/>
              <w:rPr>
                <w:sz w:val="24"/>
                <w:szCs w:val="24"/>
                <w:color w:val="auto"/>
              </w:rPr>
            </w:pPr>
          </w:p>
        </w:tc>
        <w:tc>
          <w:tcPr>
            <w:tcW w:w="672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0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1"/>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Changes in and Disagreements with Accountants on Accounting and Financial Disclosure</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1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5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1300" w:type="dxa"/>
            <w:vAlign w:val="bottom"/>
            <w:gridSpan w:val="8"/>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III</w:t>
              </w:r>
            </w:hyperlink>
          </w:p>
        </w:tc>
        <w:tc>
          <w:tcPr>
            <w:tcW w:w="802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32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11"/>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Executive Compensation</w:t>
              </w:r>
            </w:hyperlink>
          </w:p>
        </w:tc>
        <w:tc>
          <w:tcPr>
            <w:tcW w:w="2280" w:type="dxa"/>
            <w:vAlign w:val="bottom"/>
            <w:gridSpan w:val="6"/>
          </w:tcPr>
          <w:p>
            <w:pPr>
              <w:spacing w:after="0"/>
              <w:rPr>
                <w:sz w:val="21"/>
                <w:szCs w:val="21"/>
                <w:color w:val="auto"/>
              </w:rPr>
            </w:pPr>
          </w:p>
        </w:tc>
        <w:tc>
          <w:tcPr>
            <w:tcW w:w="524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gridSpan w:val="2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204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Accounting Fees and Services</w:t>
              </w:r>
            </w:hyperlink>
          </w:p>
        </w:tc>
        <w:tc>
          <w:tcPr>
            <w:tcW w:w="388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720" w:type="dxa"/>
            <w:vAlign w:val="bottom"/>
            <w:gridSpan w:val="4"/>
          </w:tcPr>
          <w:p>
            <w:pPr>
              <w:spacing w:after="0"/>
              <w:rPr>
                <w:rFonts w:ascii="Arial" w:cs="Arial" w:eastAsia="Arial" w:hAnsi="Arial"/>
                <w:sz w:val="18"/>
                <w:szCs w:val="18"/>
                <w:b w:val="1"/>
                <w:bCs w:val="1"/>
                <w:color w:val="0000EE"/>
                <w:w w:val="95"/>
              </w:rPr>
            </w:pPr>
            <w:hyperlink w:anchor="page80">
              <w:r>
                <w:rPr>
                  <w:rFonts w:ascii="Arial" w:cs="Arial" w:eastAsia="Arial" w:hAnsi="Arial"/>
                  <w:sz w:val="18"/>
                  <w:szCs w:val="18"/>
                  <w:b w:val="1"/>
                  <w:bCs w:val="1"/>
                  <w:color w:val="0000EE"/>
                  <w:w w:val="95"/>
                </w:rPr>
                <w:t>PART IV</w:t>
              </w:r>
            </w:hyperlink>
          </w:p>
        </w:tc>
        <w:tc>
          <w:tcPr>
            <w:tcW w:w="2140" w:type="dxa"/>
            <w:vAlign w:val="bottom"/>
            <w:gridSpan w:val="10"/>
          </w:tcPr>
          <w:p>
            <w:pPr>
              <w:spacing w:after="0"/>
              <w:rPr>
                <w:sz w:val="24"/>
                <w:szCs w:val="24"/>
                <w:color w:val="auto"/>
              </w:rPr>
            </w:pPr>
          </w:p>
        </w:tc>
        <w:tc>
          <w:tcPr>
            <w:tcW w:w="646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5"/>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and Financial Statement Schedules</w:t>
              </w:r>
            </w:hyperlink>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gridSpan w:val="5"/>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Signatures</w:t>
              </w:r>
            </w:hyperlink>
          </w:p>
        </w:tc>
        <w:tc>
          <w:tcPr>
            <w:tcW w:w="2400" w:type="dxa"/>
            <w:vAlign w:val="bottom"/>
            <w:gridSpan w:val="10"/>
          </w:tcPr>
          <w:p>
            <w:pPr>
              <w:spacing w:after="0"/>
              <w:rPr>
                <w:sz w:val="21"/>
                <w:szCs w:val="21"/>
                <w:color w:val="auto"/>
              </w:rPr>
            </w:pPr>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 w:type="dxa"/>
            <w:vAlign w:val="bottom"/>
            <w:gridSpan w:val="7"/>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Exhibit Index</w:t>
              </w:r>
            </w:hyperlink>
          </w:p>
        </w:tc>
        <w:tc>
          <w:tcPr>
            <w:tcW w:w="834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507"/>
        </w:trPr>
        <w:tc>
          <w:tcPr>
            <w:tcW w:w="1040" w:type="dxa"/>
            <w:vAlign w:val="bottom"/>
          </w:tcPr>
          <w:p>
            <w:pPr>
              <w:spacing w:after="0"/>
              <w:rPr>
                <w:sz w:val="24"/>
                <w:szCs w:val="24"/>
                <w:color w:val="auto"/>
              </w:rPr>
            </w:pPr>
          </w:p>
        </w:tc>
        <w:tc>
          <w:tcPr>
            <w:tcW w:w="980" w:type="dxa"/>
            <w:vAlign w:val="bottom"/>
            <w:tcBorders>
              <w:top w:val="single" w:sz="8" w:color="0000EE"/>
            </w:tcBorders>
            <w:gridSpan w:val="7"/>
          </w:tcPr>
          <w:p>
            <w:pPr>
              <w:spacing w:after="0"/>
              <w:rPr>
                <w:sz w:val="24"/>
                <w:szCs w:val="24"/>
                <w:color w:val="auto"/>
              </w:rPr>
            </w:pPr>
          </w:p>
        </w:tc>
        <w:tc>
          <w:tcPr>
            <w:tcW w:w="4460" w:type="dxa"/>
            <w:vAlign w:val="bottom"/>
            <w:gridSpan w:val="12"/>
          </w:tcPr>
          <w:p>
            <w:pPr>
              <w:jc w:val="center"/>
              <w:ind w:left="27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When used in this report, the terms “Mercury,” “we,” “our,” “us,” and “the Company” refer to Mercury Systems, Inc. and its consolidated subsidiaries, except where the context otherwise requires or as otherwise indicated. The term “fiscal” with respect to a year refers to the period from July 1 to June 30. For example, fiscal 2016 refers to the period from July 1, 2015 to June 30, 2016.</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Mercury Systems, Inc. is a leading commercial provider of secure processing subsystems designed and made in the U.S.A. Optimized for customer and mission success, our solutions power a wide variety of critical defense and intelligence programs. Headquartered in Chelmsford, Massachusetts, we are pioneering a next-generation defense electronics business model specifically designed to meet the industry's current and emerging technology and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w:t>
      </w:r>
    </w:p>
    <w:p>
      <w:pPr>
        <w:spacing w:after="0" w:line="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technologies and capabilities include embedded processing modules and subsystems, radio frequency (“RF”) and microwave multi-function assemblies as well as subsystems, and RF and microwave components. We utilize leading edge, high performance computing technologies architected by leveraging open standards and open architectures to address highly data-intensive applications that include data signal, sensor and image processing; all of this while addressing the packaging challenges, often referred to as “SWaP” (size, weight, and power) that are common in military applications. In addition, we design and build RF and microwave components and subsystems to meet the needs of the electronic warfare (“EW”), signals intelligence (“SIGINT”) and other high bandwidth communications requirements and applications.</w:t>
      </w:r>
    </w:p>
    <w:p>
      <w:pPr>
        <w:spacing w:after="0" w:line="4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provide significant capabilities relating to pre-integrated, open, affordable EW,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4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deliver capabilities that combine technology building blocks, deep domain expertise in the defense sector and critical solution areas, and specialized skills in serving the DoD and the intelligence community.</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revenues, income from continuing operations and adjusted EBITDA for fiscal 2016 were $270.2 million, $19.7 million and $57.3 million, respectively. Our revenues, income from continuing operations and adjusted EBITDA for fiscal 2015 were $234.8 million, $14.4 million and $44.4 million, respectively. See the Non-GAAP Financial Measures section of this annual report for a reconciliation of our adjusted EBITDA to net income (loss) from continuing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2, 2016, we acquired the custom microelectronics, RF and microwave solutions, and embedded security operations from Microsemi Corporation (the “Carve-Out Business”), resulting in the entities comprising the Carve-Out Business becoming 100% owned direct or indirect subsidiaries of Mercury (the “Acquisition”). Under the terms of the Purchase Agreement, we paid $300.0 million in cash on a cash-free, debt-free basis, subject to working capital and other post-closing adjustments.</w:t>
      </w:r>
    </w:p>
    <w:p>
      <w:pPr>
        <w:spacing w:after="0" w:line="52"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color w:val="auto"/>
        </w:rPr>
        <w:t>Net sales for the Carve-Out Business were $99.4 million and $87.2 million for its fiscal years ended September 27, 2015 and September 28, 2014, respectively, net income (loss) were $6.4 million and ($3.1) million for its fiscal years ended September 27, 2015 and September 28, 2014, respectively.</w:t>
      </w:r>
    </w:p>
    <w:p>
      <w:pPr>
        <w:spacing w:after="0" w:line="1" w:lineRule="exact"/>
        <w:rPr>
          <w:sz w:val="20"/>
          <w:szCs w:val="20"/>
          <w:color w:val="auto"/>
        </w:rPr>
      </w:pPr>
    </w:p>
    <w:p>
      <w:pPr>
        <w:jc w:val="both"/>
        <w:ind w:firstLine="476"/>
        <w:spacing w:after="0" w:line="264" w:lineRule="auto"/>
        <w:rPr>
          <w:sz w:val="20"/>
          <w:szCs w:val="20"/>
          <w:color w:val="auto"/>
        </w:rPr>
      </w:pPr>
      <w:r>
        <w:rPr>
          <w:rFonts w:ascii="Arial" w:cs="Arial" w:eastAsia="Arial" w:hAnsi="Arial"/>
          <w:sz w:val="18"/>
          <w:szCs w:val="18"/>
          <w:color w:val="auto"/>
        </w:rPr>
        <w:t>The Carve-Out Business is a leader in the design, development, and production of sophisticated electronic subsystems and components for use in high-technology products for defense and aerospace markets. The Carve-Out Business’ defense electronics solutions include high-density memory modules, secure solid-state drives, secure GPS receiver modules, high-power RF amplifiers,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millimeter-wave modules and subsystems, and specialized software and firmware for anti-tamper applications. The Carve-Out Business’ customers, which include many significant defense prime contractors, outsource many of their electronic design and manufacturing requirements to the Carve-Out Business as a result of its specialized capabilities in packaging electronics for SWaP-constrained environments, its focus on security and the unique requirements of defense applications, and its expertise in RF and microwave technologies. The Carve-Out Business’ products and technologies are used in a variety of defense applications, including missiles and precision munitions, fighter and surveillance aircraft, airport security portals, and advanced electronic systems for radar and EW.</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Strategic Rationale for the Acquisition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the Acquisition will provide several significant strategic and operational benefits to us, including:</w:t>
      </w:r>
    </w:p>
    <w:p>
      <w:pPr>
        <w:spacing w:after="0" w:line="90" w:lineRule="exact"/>
        <w:rPr>
          <w:sz w:val="20"/>
          <w:szCs w:val="20"/>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creating the defense industry’s largest commercial embedded secure processing company;</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adding secure solid-state drive (“SSDs”) capabilities to our industry leading pre-integrated sensor processing subsystems;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existing RF and microwave business by approximately 66% and adding new capabilities, scale and synergies;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adding new capabilities in embedded security and custom microelectronics; and</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access to new high-growth markets, customers and programs, such as precision-guided munitions and missiles.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strategy to accomplish our continued growth objectives following the Acquisition include:</w:t>
      </w:r>
    </w:p>
    <w:p>
      <w:pPr>
        <w:spacing w:after="0" w:line="90" w:lineRule="exact"/>
        <w:rPr>
          <w:sz w:val="20"/>
          <w:szCs w:val="20"/>
          <w:color w:val="auto"/>
        </w:rPr>
      </w:pPr>
    </w:p>
    <w:p>
      <w:pPr>
        <w:jc w:val="both"/>
        <w:ind w:left="660" w:hanging="139"/>
        <w:spacing w:after="0" w:line="29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Achieve Design Wins on High-growth, High-priority Defense Programs. </w:t>
      </w:r>
      <w:r>
        <w:rPr>
          <w:rFonts w:ascii="Arial" w:cs="Arial" w:eastAsia="Arial" w:hAnsi="Arial"/>
          <w:sz w:val="16"/>
          <w:szCs w:val="16"/>
          <w:color w:val="auto"/>
        </w:rPr>
        <w:t>We believe our advanced embedded sensor processing solutions position us</w:t>
      </w:r>
      <w:r>
        <w:rPr>
          <w:rFonts w:ascii="Arial" w:cs="Arial" w:eastAsia="Arial" w:hAnsi="Arial"/>
          <w:sz w:val="16"/>
          <w:szCs w:val="16"/>
          <w:i w:val="1"/>
          <w:iCs w:val="1"/>
          <w:color w:val="auto"/>
        </w:rPr>
        <w:t xml:space="preserve"> </w:t>
      </w:r>
      <w:r>
        <w:rPr>
          <w:rFonts w:ascii="Arial" w:cs="Arial" w:eastAsia="Arial" w:hAnsi="Arial"/>
          <w:sz w:val="16"/>
          <w:szCs w:val="16"/>
          <w:color w:val="auto"/>
        </w:rPr>
        <w:t>well going forward to capture design wins on key high-growth, high-priority defense programs within our targeted segments of the C4ISR market. We have won designs in persistent ISR related signals intelligence-payloads on unmanned aerial vehicles (“UAVs”) and other aerial platforms. As a result of these successes, we now have significant content on major UAV platforms, including Global Hawk, Predator, Triton, Reaper and Gorgon Stare. Our ballistic missile defense wins include additional designs on the Aegis program, as well as wins on the Patriot missile program. In EW, we have won key designs related to the U.S. Navy’s SEWIP program and the Ships Signal Exploitation Equipment (“SSEE”) programs. Additional wins in the critical EW space include the Navy’s Filthy Badger and Filthy Buzzard programs, focusing on vulnerability assessment and training for manned aircraft. Together, these wins represent substantial opportunity for us in the years ahead.</w:t>
      </w:r>
    </w:p>
    <w:p>
      <w:pPr>
        <w:spacing w:after="0" w:line="31" w:lineRule="exact"/>
        <w:rPr>
          <w:rFonts w:ascii="Arial" w:cs="Arial" w:eastAsia="Arial" w:hAnsi="Arial"/>
          <w:sz w:val="16"/>
          <w:szCs w:val="16"/>
          <w:color w:val="auto"/>
        </w:rPr>
      </w:pPr>
    </w:p>
    <w:p>
      <w:pPr>
        <w:jc w:val="both"/>
        <w:ind w:left="660" w:hanging="139"/>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Continue to Provide Excellent Performance on Our Existing Programs. </w:t>
      </w:r>
      <w:r>
        <w:rPr>
          <w:rFonts w:ascii="Arial" w:cs="Arial" w:eastAsia="Arial" w:hAnsi="Arial"/>
          <w:sz w:val="18"/>
          <w:szCs w:val="18"/>
          <w:color w:val="auto"/>
        </w:rPr>
        <w:t>The foundation for our growth remains our continued involvement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programs that are in late-stage development or currently in production. Such programs include Aegis, SEWIP, the F-35 Joint Strike Fighter, Patriot missile, the F-16 and F-15 aircrafts, the Global Hawk, Predator and Reaper UAVs, the P-8 Multimission Maritime Aircraft as well as the Suite of Integrated Radio Frequency Countermeasures (“SIRFC”) program. As part of a long-term reprioritization, the DoD is shifting its emphasis from major new weapons systems development to upgrades of existing programs and platforms. We believe the upgrades on these programs focus on four key areas: improved sensors; more advanced on-board embedded computing; enhanced ISR algorithms; and better communications on and off the platform. A key element of our strategy is to continue to provide high-performance, cost-effective solutions on these programs and for these customers.</w:t>
      </w:r>
    </w:p>
    <w:p>
      <w:pPr>
        <w:spacing w:after="0" w:line="57" w:lineRule="exact"/>
        <w:rPr>
          <w:rFonts w:ascii="Arial" w:cs="Arial" w:eastAsia="Arial" w:hAnsi="Arial"/>
          <w:sz w:val="18"/>
          <w:szCs w:val="18"/>
          <w:color w:val="auto"/>
        </w:rPr>
      </w:pPr>
    </w:p>
    <w:p>
      <w:pPr>
        <w:jc w:val="both"/>
        <w:ind w:left="660" w:hanging="139"/>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Pursue Additional Strategic, Capability-Enhancing Acquisitions. </w:t>
      </w:r>
      <w:r>
        <w:rPr>
          <w:rFonts w:ascii="Arial" w:cs="Arial" w:eastAsia="Arial" w:hAnsi="Arial"/>
          <w:sz w:val="17"/>
          <w:szCs w:val="17"/>
          <w:color w:val="auto"/>
        </w:rPr>
        <w:t>We will continue to pursue strategic acquisitions to augment our businesses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strategies: adding technologies or products that expand our core business by competing more effectively in the C4I, Radar, EW, and missile-defense markets; adding content and services to the defense programs and platforms in which we currently participate or could participate in the future; and enhancing key customer relationships and forming relationships with potential new customers. Our acquisition strategy also focuses on scaling our operations and broadening our program and customer base.</w:t>
      </w:r>
    </w:p>
    <w:p>
      <w:pPr>
        <w:spacing w:after="0" w:line="37" w:lineRule="exact"/>
        <w:rPr>
          <w:rFonts w:ascii="Arial" w:cs="Arial" w:eastAsia="Arial" w:hAnsi="Arial"/>
          <w:sz w:val="17"/>
          <w:szCs w:val="17"/>
          <w:color w:val="auto"/>
        </w:rPr>
      </w:pPr>
    </w:p>
    <w:p>
      <w:pPr>
        <w:jc w:val="both"/>
        <w:ind w:left="660" w:hanging="139"/>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Outsourcing and Other Dynamics in the Defense Industry. </w:t>
      </w:r>
      <w:r>
        <w:rPr>
          <w:rFonts w:ascii="Arial" w:cs="Arial" w:eastAsia="Arial" w:hAnsi="Arial"/>
          <w:sz w:val="16"/>
          <w:szCs w:val="16"/>
          <w:color w:val="auto"/>
        </w:rPr>
        <w:t>We are well-positioned to take advantage of several changing dynamics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defense industry. Defense prime contractors are increasingly being awarded firm fixed-price contracts. These contracts shift risk to the defense prime contractors, and as a result they are beginning to outsource increasing levels of subsystem development and production and other higher value program content. In addition, the U.S. government is shifting toward shorter program timelines, which require increased flexibility and responsiveness from defense prime contractors. Finally, more programs are moving to open systems architectures that enable best-of-breed capabilities. We believe that these dynamics will result in defense prime contractors outsourcing increasing levels of program content to us as a provider of an increasingly wide array of differentiated products, subsystems engineering services and system integration.</w:t>
      </w:r>
    </w:p>
    <w:p>
      <w:pPr>
        <w:spacing w:after="0" w:line="32"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Research and Development Efforts to Anticipate Market Needs and Maintain our Technology Leadership. </w:t>
      </w:r>
      <w:r>
        <w:rPr>
          <w:rFonts w:ascii="Arial" w:cs="Arial" w:eastAsia="Arial" w:hAnsi="Arial"/>
          <w:sz w:val="18"/>
          <w:szCs w:val="18"/>
          <w:color w:val="auto"/>
        </w:rPr>
        <w:t>We devote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in order to anticipate the future requirements in our target defense markets,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60"/>
        <w:spacing w:after="0" w:line="319" w:lineRule="auto"/>
        <w:rPr>
          <w:sz w:val="20"/>
          <w:szCs w:val="20"/>
          <w:color w:val="auto"/>
        </w:rPr>
      </w:pPr>
      <w:r>
        <w:rPr>
          <w:rFonts w:ascii="Arial" w:cs="Arial" w:eastAsia="Arial" w:hAnsi="Arial"/>
          <w:sz w:val="17"/>
          <w:szCs w:val="17"/>
          <w:color w:val="auto"/>
        </w:rPr>
        <w:t>including monitoring and pioneering advances in advanced embedded computing hardware, security, and software, anticipating changes in U.S. government spending and procurement practices and leveraging insight from direct interaction with our customers. Our high-performance, quick reaction subsystems and capabilities require increasingly sophisticated hardware, software and middleware technology. In addition, as the defense industry shifts to products with open systems architectures, we believe that our software expertise will become increasingly important and differentiates us from many of our competitors as we have the ability to rapidly map complex algorithms onto SWaP-constrained on-board embedded sensor-processing solutions. We have invested in faster product development velocity, aligning with the U.S. government’s demands on the defense prime contractors for quick reaction capabilities. By shortening our product development times, we are able to quickly launch the products we need to win new designs from the defense prime contractor community. We intend to continue utilizing company and customer-funded research and development, as well as our acquisition strategy, to develop technologies, products and solutions that have significant potential for near-term and long-term value creation in the defense industry.</w:t>
      </w:r>
    </w:p>
    <w:p>
      <w:pPr>
        <w:spacing w:after="0" w:line="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to realize aggregate annualized cost synergies from the Acquisition of approximately $10.0 million per year by fiscal 2020. We expect to achieve approximately $2.0 million of those annualized cost savings by the end of fiscal 2017 and an aggregate of approximately $6.0 million of annualized savings by the end of fiscal 2018. Synergies are expected to be derived from sources such as manufacturing efficiencies, alignment of sales models and channel, and increased purchasing power.</w:t>
      </w:r>
    </w:p>
    <w:p>
      <w:pPr>
        <w:spacing w:after="0" w:line="5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During fiscal 2016, we completed a series of important internal organizational changes in order to integrate, align and scale ourselves into one business. In addition, over the past several years, we have completed several acquisitions, culminating with the Acquisition on May 2, 2016 to support our strategy of creating a better alternative for affordable, secure processing subsystems designed and made in the U.S.A. These strategic acquisitions and the associated operational and managerial changes finalized the transformation of the way the Company's executive management team, including the CEO as the chief operating decision maker (“CODM”), manage, evaluate and review the business, including how the CODM allocates resources and assesses performance. Therefore, during the fourth quarter ended June 30, 2016, we eliminated the use of Mercury Commercial Electronics ("MCE") and Mercury Defense Systems (“MDS”) as reportable segments because the analogous operating segments ceased to exist. We are now comprised of one operating and reportable segment. We utilized the management approach for determining our operating segment in accordance with Financial Accounting Standard Boards (“FASB”) Accounting Standards Codification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(“FASB ASC 280”).</w:t>
      </w:r>
    </w:p>
    <w:p>
      <w:pPr>
        <w:spacing w:after="0" w:line="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December 16, 2015, we acquired Lewis Innovative Technologies, Inc. (“LIT”) for $10.0 million in cash on a cash-free, debt-free basis, subject to working capital and other post-closing adjustments. Embedded systems security has become a requirement for new and emerging military programs, and LIT’s security solutions significantly extend our capabilities and leadership in secure embedded computing, a critical differentiator from our traditional competition. LIT’s solutions, combined with our next-generation secure Intel server-class product line, together with increasingly frequent mandates from the government to secure electronic systems for domestic and foreign military sales, position us well to capitalize on DoD program protection security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market opportunity is defined by the growing demand for domestically designed and manufactured secure sensor and mission processing capabilities for critical defense and intelligence applications. Historically, our primary market has been centered on bringing commercially available technologies to the defense sector, specifically C4ISR (command, control, communications, computers, intelligence, surveillance and reconnaissance), EW, and ballistic missile defense; and commercial markets, which include commercial communications and other commercial computing applications. We believe we are well-positioned in growing, sustainable market segments of the defense sector that rely on advanced technologies to improve warfighter capability and provide enhanced force protection capabilities. The Acquisition will further improve our ability to successfully compete in these market segments by allowing us to offer an even more comprehensive set of closely related capabilities.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there are a number of evolving trends that are reshaping our target markets and accordingly provide us with attractive growth opportunities.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trends include:</w:t>
      </w:r>
    </w:p>
    <w:p>
      <w:pPr>
        <w:spacing w:after="0" w:line="76" w:lineRule="exact"/>
        <w:rPr>
          <w:sz w:val="20"/>
          <w:szCs w:val="20"/>
          <w:color w:val="auto"/>
        </w:rPr>
      </w:pPr>
    </w:p>
    <w:p>
      <w:pPr>
        <w:jc w:val="both"/>
        <w:ind w:left="660" w:hanging="139"/>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The defense electronics market is expected to grow in government fiscal 2017 and beyond as requested in President Obama’s recent budget submission. </w:t>
      </w:r>
      <w:r>
        <w:rPr>
          <w:rFonts w:ascii="Arial" w:cs="Arial" w:eastAsia="Arial" w:hAnsi="Arial"/>
          <w:sz w:val="16"/>
          <w:szCs w:val="16"/>
          <w:color w:val="auto"/>
        </w:rPr>
        <w:t>According to The Teal Group, world defense electronics funding available to the U.S. was approximately $34.9 billion in fiscal 2016, or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6.7% of the government fiscal 2016 appropriated U.S. DoD base budget. The defense electronics market is projected to increase to $36.6 billion in government fiscal 2017. Within the context of the overall defense budget and spending for defense electronics specifically we believe ISR, EW and ballistic missile defense have a high priority for future DoD spending. We continue to build on our strengths in the design and development of performance optimized electronic subsystems for the ISR and EW markets. As a leader in these markets, we often team with multiple defense prime contractors as they bid for projects, thereby increasing our chance of a successful outcome.</w:t>
      </w:r>
    </w:p>
    <w:p>
      <w:pPr>
        <w:spacing w:after="0" w:line="32"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The rapidly expanding demand for tactical ISR is leading to significant growth in sensor data being generated, leading to even greater demand for the capability of our products to securely store and process data onboard platforms. </w:t>
      </w:r>
      <w:r>
        <w:rPr>
          <w:rFonts w:ascii="Arial" w:cs="Arial" w:eastAsia="Arial" w:hAnsi="Arial"/>
          <w:sz w:val="18"/>
          <w:szCs w:val="18"/>
          <w:color w:val="auto"/>
        </w:rPr>
        <w:t>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60"/>
        <w:spacing w:after="0" w:line="323" w:lineRule="auto"/>
        <w:rPr>
          <w:sz w:val="20"/>
          <w:szCs w:val="20"/>
          <w:color w:val="auto"/>
        </w:rPr>
      </w:pPr>
      <w:r>
        <w:rPr>
          <w:rFonts w:ascii="Arial" w:cs="Arial" w:eastAsia="Arial" w:hAnsi="Arial"/>
          <w:sz w:val="17"/>
          <w:szCs w:val="17"/>
          <w:color w:val="auto"/>
        </w:rPr>
        <w:t>increase in the prevalence and resolution of ISR sensors is generating significant growth in the associated data that needs to be stored and turned into information for the warfighter in a timely manner. In addition, several factors are driving the defense and intelligence industries to demand greater capability to collect, store, and process data onboard the aircraft, UAVs, ships and other vehicles, which we refer to collectively as platforms. These factors include the limited communications bandwidth of existing platforms, the need for platforms that can operate more autonomously and possibly in denied communications environments, the need for platforms with increased persistency to enable them to remain in or fly above the battlefield for extended periods, and the need for greater onboard processing capabilities.</w:t>
      </w:r>
    </w:p>
    <w:p>
      <w:pPr>
        <w:spacing w:after="0" w:line="15" w:lineRule="exact"/>
        <w:rPr>
          <w:sz w:val="20"/>
          <w:szCs w:val="20"/>
          <w:color w:val="auto"/>
        </w:rPr>
      </w:pPr>
    </w:p>
    <w:p>
      <w:pPr>
        <w:jc w:val="both"/>
        <w:ind w:left="660" w:hanging="139"/>
        <w:spacing w:after="0" w:line="297"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Rogue nations’ missile programs and threats from peer nations are causing greater investment in advanced new radar, EW and ballistic missile defense capabilities. </w:t>
      </w:r>
      <w:r>
        <w:rPr>
          <w:rFonts w:ascii="Arial" w:cs="Arial" w:eastAsia="Arial" w:hAnsi="Arial"/>
          <w:sz w:val="16"/>
          <w:szCs w:val="16"/>
          <w:color w:val="auto"/>
        </w:rPr>
        <w:t>There are a number of new and emerging threats, such as peer nations developing stealth technologies, including stealth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new anti-ship ballistic missiles that potentially threaten the U.S. naval fleet, and a variety of other advanced missile capabilities. Additionally, U.S. armed forces require enhanced signals intelligence and jamming capabilities. In response to these emerging threats, we have participated in key DoD programs, including Aegis, Patriot, SEWIP, LRDR, F-22 Raptor, F-35 Joint Strike Fighter and upgrade programs for the F-15 and F-16.</w:t>
      </w:r>
    </w:p>
    <w:p>
      <w:pPr>
        <w:spacing w:after="0" w:line="23" w:lineRule="exact"/>
        <w:rPr>
          <w:rFonts w:ascii="Arial" w:cs="Arial" w:eastAsia="Arial" w:hAnsi="Arial"/>
          <w:sz w:val="16"/>
          <w:szCs w:val="16"/>
          <w:color w:val="auto"/>
        </w:rPr>
      </w:pPr>
    </w:p>
    <w:p>
      <w:pPr>
        <w:jc w:val="both"/>
        <w:ind w:left="660" w:hanging="139"/>
        <w:spacing w:after="0" w:line="273"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The long-term DoD budget pressure is pushing more dollars toward upgrades of the electronic subsystems on existing platforms, which may increase demand for our products. </w:t>
      </w:r>
      <w:r>
        <w:rPr>
          <w:rFonts w:ascii="Arial" w:cs="Arial" w:eastAsia="Arial" w:hAnsi="Arial"/>
          <w:sz w:val="17"/>
          <w:szCs w:val="17"/>
          <w:color w:val="auto"/>
        </w:rPr>
        <w:t>The DoD is moving from major new weapons systems developments to upgrades of the electronic subsystems on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These upgrades are expected to include more sensors, signal processing, ISR algorithms, multi-intelligence fusion and exploitation, computing and communications. We believe that upgrades to provide new urgent war fighting capability, driven by combatant commanders, are occurring more rapidly than traditional defense prime contractors can easily react to. We believe these trends will cause defense prime contractors to increasingly seek out our high-performance, cost-effective open architecture products.</w:t>
      </w:r>
    </w:p>
    <w:p>
      <w:pPr>
        <w:spacing w:after="0" w:line="43" w:lineRule="exact"/>
        <w:rPr>
          <w:rFonts w:ascii="Arial" w:cs="Arial" w:eastAsia="Arial" w:hAnsi="Arial"/>
          <w:sz w:val="17"/>
          <w:szCs w:val="17"/>
          <w:color w:val="auto"/>
        </w:rPr>
      </w:pPr>
    </w:p>
    <w:p>
      <w:pPr>
        <w:jc w:val="both"/>
        <w:ind w:left="660" w:hanging="139"/>
        <w:spacing w:after="0" w:line="290"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Defense procurement reform is causing the defense prime contractors to outsource more work to commercial companies</w:t>
      </w:r>
      <w:r>
        <w:rPr>
          <w:rFonts w:ascii="Arial" w:cs="Arial" w:eastAsia="Arial" w:hAnsi="Arial"/>
          <w:sz w:val="16"/>
          <w:szCs w:val="16"/>
          <w:color w:val="auto"/>
        </w:rPr>
        <w:t>. According to the VDC</w:t>
      </w:r>
      <w:r>
        <w:rPr>
          <w:rFonts w:ascii="Arial" w:cs="Arial" w:eastAsia="Arial" w:hAnsi="Arial"/>
          <w:sz w:val="16"/>
          <w:szCs w:val="16"/>
          <w:i w:val="1"/>
          <w:iCs w:val="1"/>
          <w:color w:val="auto"/>
        </w:rPr>
        <w:t xml:space="preserve"> </w:t>
      </w:r>
      <w:r>
        <w:rPr>
          <w:rFonts w:ascii="Arial" w:cs="Arial" w:eastAsia="Arial" w:hAnsi="Arial"/>
          <w:sz w:val="16"/>
          <w:szCs w:val="16"/>
          <w:color w:val="auto"/>
        </w:rPr>
        <w:t>Webcast: Budgetary &amp; Strategic Shifts-Creating Opportunities for Merchant Embedded COTS Systems in Mil/Aero, the portion of the defense electronics market that is captive to the defense primes is estimated to be $35.1 billion and the portion in the merchant market is estimated to be $1.9 billion. The U.S. government is intensely focused on making systems more affordable and shortening their development time. As a company that provides commercial items to the defense industry, we believe our products and subsystem solutions are often more affordable than solutions with the same functionality developed by a defense prime contractor. Several DoD and prime contractor factors are providing incentives for defense prime contractors to outsource more work to subcontractors with significant expertise and cost-effective technology capabilities, and we have transformed our business model over the last several years to address these long-term outsourcing trends and other needs.</w:t>
      </w:r>
    </w:p>
    <w:p>
      <w:pPr>
        <w:spacing w:after="0" w:line="3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DoD security and program protection requirements are creating new opportunities for our advanced secure processing capabilities.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is focused on ensuring that the U.S. military protects its defense electronic systems and the information held within from nefarious activities such as tampering, reverse engineering, and other forms of advanced attacks. The requirement to add security comes at a time when the commercial technology world continues to offshore more of the design, development, manufacturing, and support of such capabilities, making it more difficult to protect against tampering, reverse engineering and other undesired activities. The DoD has a mandate to ensure both the provenance and integrity of the technology and its associated supply chain. These factors have created a unique opportunity for us to expand beyond sensor processing into the provision of advanced secure processing subsystems and capabilities for other on-board critical compute applications-all designed, developed, manufactured, and supported in the U.S.A. In addition, advanced systems sold to foreign military buyers also require protection so that the technologies, techniques and data associated with them do not become more widely available, which further enhances our market opportunity.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35" w:lineRule="exact"/>
        <w:rPr>
          <w:sz w:val="20"/>
          <w:szCs w:val="20"/>
          <w:color w:val="auto"/>
        </w:rPr>
      </w:pPr>
    </w:p>
    <w:p>
      <w:pPr>
        <w:jc w:val="both"/>
        <w:ind w:left="660" w:hanging="139"/>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Subsystem Solutions Provider for the C4ISR and EW Markets. </w:t>
      </w:r>
      <w:r>
        <w:rPr>
          <w:rFonts w:ascii="Arial" w:cs="Arial" w:eastAsia="Arial" w:hAnsi="Arial"/>
          <w:sz w:val="17"/>
          <w:szCs w:val="17"/>
          <w:color w:val="auto"/>
        </w:rPr>
        <w:t>Through our commercially developed, specialized processing subsystem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 We leverage our deep expertise in embedded multi-computing, embedded sensor processing, with the addition of our RF and microwave subsystems and components, along with strategic investments in research and development to provide solutions across the sensor processing chain.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Our deep domain knowledge within the Company rounds out our capabilities and services to our prime contractor and DoD customers. The Acquisition adds both depth and breadth to our capabilities and offerings, and also opens new market opportunities such as missiles, precision guided munitions and homeland security.</w:t>
      </w:r>
    </w:p>
    <w:p>
      <w:pPr>
        <w:spacing w:after="0" w:line="19" w:lineRule="exact"/>
        <w:rPr>
          <w:sz w:val="20"/>
          <w:szCs w:val="20"/>
          <w:color w:val="auto"/>
        </w:rPr>
      </w:pPr>
    </w:p>
    <w:p>
      <w:pPr>
        <w:jc w:val="both"/>
        <w:ind w:left="660" w:hanging="139"/>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Diverse Mix of Stable, Growth Programs Aligned with DoD Funding Priorities. </w:t>
      </w:r>
      <w:r>
        <w:rPr>
          <w:rFonts w:ascii="Arial" w:cs="Arial" w:eastAsia="Arial" w:hAnsi="Arial"/>
          <w:sz w:val="17"/>
          <w:szCs w:val="17"/>
          <w:color w:val="auto"/>
        </w:rPr>
        <w:t>Our products and solutions have been deployed on more than 300</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programs and over 25 different defense prime contractors. We serve high priority markets for the DoD and foreign militaries, such as UAVs, ballistic missile defense, airborne reconnaissance, EW, ECM, and have secured positions on mission-critical programs including Aegis, Predator and Reaper UAVs, F-35 Joint Strike Fighter, Patriot missile, and SEWIP. In addition, we consistently leverage our technology and capabilities across 15 to 20 programs on an annual basis, providing significant operating leverage and cost savings. The Acquisition allows us to participate in a broader array of programs, many with customers that are already key strategic customers of ours.</w:t>
      </w:r>
    </w:p>
    <w:p>
      <w:pPr>
        <w:spacing w:after="0" w:line="43" w:lineRule="exact"/>
        <w:rPr>
          <w:rFonts w:ascii="Arial" w:cs="Arial" w:eastAsia="Arial" w:hAnsi="Arial"/>
          <w:sz w:val="17"/>
          <w:szCs w:val="17"/>
          <w:color w:val="auto"/>
        </w:rPr>
      </w:pPr>
    </w:p>
    <w:p>
      <w:pPr>
        <w:jc w:val="both"/>
        <w:ind w:left="660" w:hanging="139"/>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We are a leading commercial provider of secure processing subsystems designed and made in the U.S.A. </w:t>
      </w:r>
      <w:r>
        <w:rPr>
          <w:rFonts w:ascii="Arial" w:cs="Arial" w:eastAsia="Arial" w:hAnsi="Arial"/>
          <w:sz w:val="16"/>
          <w:szCs w:val="16"/>
          <w:color w:val="auto"/>
        </w:rPr>
        <w:t>We have a portfolio of open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architecture (“OSA”) technology building blocks across the entire sensor processing chain. We offer embedded secure processing capabilities with advanced packaging and cooling technologies that ruggedize commercial technologies while allowing them to stay cool for reliable operation. These capabilities allow us to help our customers meet the demanding SWaP requirements of today’s defense platforms. Our pre-integrated subsystems improve affordability by substantially reducing customer system integration costs and time-to-market for our solutions. System integration costs are one of the more substantial costs our customers bear in developing and deploying technologies in defense programs and platforms. Our pre-integrated solutions approach allows for more rapid and affordable modernization of existing platforms and faster deployment of new platforms.</w:t>
      </w:r>
    </w:p>
    <w:p>
      <w:pPr>
        <w:spacing w:after="0" w:line="11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strengths in this area include our position as an early and leading advocate for OSA in defense, offering Intel server class processing form factors across 3/6U OpenVPX, ATCA and rack-mount architectures, and high density, secure solutions across multiple hardware architectures to seamlessly scale to meet our customer’s SWaP requirements. In addition, we have a 30-year legacy of system management and system integration expertise that allows us to reduce technical risk, while improving affordability and interoperability. Our system integration expertise is a cornerstone in helping us support our customers in deploying pre-integrated, OSA subsystems.</w:t>
      </w:r>
    </w:p>
    <w:p>
      <w:pPr>
        <w:spacing w:after="0" w:line="53" w:lineRule="exact"/>
        <w:rPr>
          <w:sz w:val="20"/>
          <w:szCs w:val="20"/>
          <w:color w:val="auto"/>
        </w:rPr>
      </w:pPr>
    </w:p>
    <w:p>
      <w:pPr>
        <w:jc w:val="both"/>
        <w:ind w:left="660" w:hanging="139"/>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provide advanced, integrated security features for our products and subsystems, addressing an increasingly prevalent requirement for DoD program security. </w:t>
      </w:r>
      <w:r>
        <w:rPr>
          <w:rFonts w:ascii="Arial" w:cs="Arial" w:eastAsia="Arial" w:hAnsi="Arial"/>
          <w:sz w:val="18"/>
          <w:szCs w:val="18"/>
          <w:color w:val="auto"/>
        </w:rPr>
        <w:t>We offer secure processing expertise that is built-in to our pre-integrated subsystems, not bolted on. By doing this we are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secure building blocks that allow our customers to incorporate their own security capabilities. This assists our customers in ensuring program protection as they deploy critical platforms and programs, all in support of DoD missions. The Acquisition will bring us new security technologies and also allow us to provide enhanced security capabilities in areas such as memory and storage devices. The Acquisition also provides us with a DMEA-(“Defense Micro-Electronics Association”) certified trusted manufacturing facility for microelectronics in the Carve-Out Business’ Phoenix, Arizona facility.</w:t>
      </w:r>
    </w:p>
    <w:p>
      <w:pPr>
        <w:spacing w:after="0" w:line="54" w:lineRule="exact"/>
        <w:rPr>
          <w:rFonts w:ascii="Arial" w:cs="Arial" w:eastAsia="Arial" w:hAnsi="Arial"/>
          <w:sz w:val="18"/>
          <w:szCs w:val="18"/>
          <w:color w:val="auto"/>
        </w:rPr>
      </w:pPr>
    </w:p>
    <w:p>
      <w:pPr>
        <w:jc w:val="both"/>
        <w:ind w:left="660" w:hanging="139"/>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 are pioneering a next generation business model. </w:t>
      </w:r>
      <w:r>
        <w:rPr>
          <w:rFonts w:ascii="Arial" w:cs="Arial" w:eastAsia="Arial" w:hAnsi="Arial"/>
          <w:sz w:val="17"/>
          <w:szCs w:val="17"/>
          <w:color w:val="auto"/>
        </w:rPr>
        <w:t>The defense industrial base is currently undergoing a major transformation. Domestic political</w:t>
      </w:r>
      <w:r>
        <w:rPr>
          <w:rFonts w:ascii="Arial" w:cs="Arial" w:eastAsia="Arial" w:hAnsi="Arial"/>
          <w:sz w:val="17"/>
          <w:szCs w:val="17"/>
          <w:i w:val="1"/>
          <w:iCs w:val="1"/>
          <w:color w:val="auto"/>
        </w:rPr>
        <w:t xml:space="preserve"> </w:t>
      </w:r>
      <w:r>
        <w:rPr>
          <w:rFonts w:ascii="Arial" w:cs="Arial" w:eastAsia="Arial" w:hAnsi="Arial"/>
          <w:sz w:val="17"/>
          <w:szCs w:val="17"/>
          <w:color w:val="auto"/>
        </w:rPr>
        <w:t>and budget uncertainty, geopolitical instability and evolving global threats have become constants. The defense budget, while stabilized in the short term, remains under pressure and R&amp;D and technology spending are often in budgetary competition with the increasing costs of military personnel requirements, health care costs, and other important elements within the DoD and the federal budget generally. Finally, defense acquisition reform, under the banner of Better Buying Power 3.0 calls for the continued drive for innovation and competition within the defense industrial base, while also driving down acquisition cost. Our approach is built around a few key pillars:</w:t>
      </w:r>
    </w:p>
    <w:p>
      <w:pPr>
        <w:spacing w:after="0" w:line="43" w:lineRule="exact"/>
        <w:rPr>
          <w:rFonts w:ascii="Arial" w:cs="Arial" w:eastAsia="Arial" w:hAnsi="Arial"/>
          <w:sz w:val="17"/>
          <w:szCs w:val="17"/>
          <w:color w:val="auto"/>
        </w:rPr>
      </w:pPr>
    </w:p>
    <w:p>
      <w:pPr>
        <w:ind w:left="1140" w:hanging="160"/>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continue to leverage our expertise in building pre-integrated subsystems in support of critical defense programs, driving out procurement costs by lowering integration expenses of our customers.</w:t>
      </w:r>
    </w:p>
    <w:p>
      <w:pPr>
        <w:spacing w:after="0" w:line="35" w:lineRule="exact"/>
        <w:rPr>
          <w:rFonts w:ascii="Arial" w:cs="Arial" w:eastAsia="Arial" w:hAnsi="Arial"/>
          <w:sz w:val="18"/>
          <w:szCs w:val="18"/>
          <w:color w:val="auto"/>
        </w:rPr>
      </w:pPr>
    </w:p>
    <w:p>
      <w:pPr>
        <w:ind w:left="1140" w:hanging="160"/>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have been a pioneer in driving open systems architectures.</w:t>
      </w:r>
    </w:p>
    <w:p>
      <w:pPr>
        <w:spacing w:after="0" w:line="90" w:lineRule="exact"/>
        <w:rPr>
          <w:rFonts w:ascii="Arial" w:cs="Arial" w:eastAsia="Arial" w:hAnsi="Arial"/>
          <w:sz w:val="18"/>
          <w:szCs w:val="18"/>
          <w:color w:val="auto"/>
        </w:rPr>
      </w:pPr>
    </w:p>
    <w:p>
      <w:pPr>
        <w:ind w:left="1140" w:hanging="160"/>
        <w:spacing w:after="0"/>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DoD has asked defense industry participants to invest their own resources into R&amp;D. This approach is a pillar of our business model.</w:t>
      </w:r>
    </w:p>
    <w:p>
      <w:pPr>
        <w:spacing w:after="0" w:line="113" w:lineRule="exact"/>
        <w:rPr>
          <w:rFonts w:ascii="Arial" w:cs="Arial" w:eastAsia="Arial" w:hAnsi="Arial"/>
          <w:sz w:val="16"/>
          <w:szCs w:val="16"/>
          <w:color w:val="auto"/>
        </w:rPr>
      </w:pPr>
    </w:p>
    <w:p>
      <w:pPr>
        <w:ind w:left="1140" w:hanging="160"/>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Security and program protection are now critical considerations for both program modernizations as well as for new program deployment. We are now in our third generation of building secure embedded processing solutions.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a next generation business model built to meet the emerging needs of the DoD.</w:t>
      </w:r>
    </w:p>
    <w:p>
      <w:pPr>
        <w:spacing w:after="0" w:line="90" w:lineRule="exact"/>
        <w:rPr>
          <w:sz w:val="20"/>
          <w:szCs w:val="20"/>
          <w:color w:val="auto"/>
        </w:rPr>
      </w:pPr>
    </w:p>
    <w:p>
      <w:pPr>
        <w:jc w:val="both"/>
        <w:ind w:left="660" w:hanging="139"/>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Value-Added Subsystem Solution Provider for Defense Prime Contractors. </w:t>
      </w:r>
      <w:r>
        <w:rPr>
          <w:rFonts w:ascii="Arial" w:cs="Arial" w:eastAsia="Arial" w:hAnsi="Arial"/>
          <w:sz w:val="18"/>
          <w:szCs w:val="18"/>
          <w:color w:val="auto"/>
        </w:rPr>
        <w:t>Because of the DoD’s shift towards a firm fixed price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model, an increasingly uncertain budgetary and procurement environment, and increased budget pressures from both the U.S. and allied governments, defense prime contractors are accelerating their move toward outsourcing opportunities to help mitigate the increased program and financial risk. Our differentiated advanced sensor processing solutions offer meaningful capabilities upgrades for our customers and enable the rapid, cost-effective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deployment of systems to the end customer. We believe our open architecture subsystems offer differentiated sensor processing and data analytics capabilities that cannot be easily replicated. Our solutions minimize program risk, maximize application portability, and accelerate customers’ time to market, all within a fixed-pricing contracting environment.</w:t>
      </w:r>
    </w:p>
    <w:p>
      <w:pPr>
        <w:spacing w:after="0" w:line="19" w:lineRule="exact"/>
        <w:rPr>
          <w:sz w:val="20"/>
          <w:szCs w:val="20"/>
          <w:color w:val="auto"/>
        </w:rPr>
      </w:pPr>
    </w:p>
    <w:p>
      <w:pPr>
        <w:jc w:val="both"/>
        <w:ind w:left="660" w:hanging="139"/>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Delivery of Platform-Ready Solutions for Classified Programs. </w:t>
      </w:r>
      <w:r>
        <w:rPr>
          <w:rFonts w:ascii="Arial" w:cs="Arial" w:eastAsia="Arial" w:hAnsi="Arial"/>
          <w:sz w:val="17"/>
          <w:szCs w:val="17"/>
          <w:color w:val="auto"/>
        </w:rPr>
        <w:t>We believe our integration work through our Cypress, California facility provides us</w:t>
      </w:r>
      <w:r>
        <w:rPr>
          <w:rFonts w:ascii="Arial" w:cs="Arial" w:eastAsia="Arial" w:hAnsi="Arial"/>
          <w:sz w:val="17"/>
          <w:szCs w:val="17"/>
          <w:i w:val="1"/>
          <w:iCs w:val="1"/>
          <w:color w:val="auto"/>
        </w:rPr>
        <w:t xml:space="preserve"> </w:t>
      </w:r>
      <w:r>
        <w:rPr>
          <w:rFonts w:ascii="Arial" w:cs="Arial" w:eastAsia="Arial" w:hAnsi="Arial"/>
          <w:sz w:val="17"/>
          <w:szCs w:val="17"/>
          <w:color w:val="auto"/>
        </w:rPr>
        <w:t>with critical insights as we implement and incorporate key classified government intellectual property, including critical intelligence and signal processing algorithms, into advanced systems. This integration work provides us the opportunity to directly combine and integrate our technology building blocks along with our intellectual property into our existing embedded processing products and solutions, enabling us to deliver more affordable, platform-ready integrated ISR subsystems that leverage our OSA and address key government technology and procurement concerns. Our operations in this environment also help us identify emerging needs and opportunities to influence our future product development, so that critical future needs can be met in a timely manner with commercially-developed products and solutions.</w:t>
      </w:r>
    </w:p>
    <w:p>
      <w:pPr>
        <w:spacing w:after="0" w:line="42" w:lineRule="exact"/>
        <w:rPr>
          <w:rFonts w:ascii="Arial" w:cs="Arial" w:eastAsia="Arial" w:hAnsi="Arial"/>
          <w:sz w:val="17"/>
          <w:szCs w:val="17"/>
          <w:color w:val="auto"/>
        </w:rPr>
      </w:pPr>
    </w:p>
    <w:p>
      <w:pPr>
        <w:jc w:val="both"/>
        <w:ind w:left="660" w:hanging="139"/>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Advanced Microelectronics Centers. </w:t>
      </w:r>
      <w:r>
        <w:rPr>
          <w:rFonts w:ascii="Arial" w:cs="Arial" w:eastAsia="Arial" w:hAnsi="Arial"/>
          <w:sz w:val="17"/>
          <w:szCs w:val="17"/>
          <w:color w:val="auto"/>
        </w:rPr>
        <w:t>Our Advanced Microelectronics Centers (“AMCs”) in Hudson, New Hampshire and West Caldwell, New</w:t>
      </w:r>
      <w:r>
        <w:rPr>
          <w:rFonts w:ascii="Arial" w:cs="Arial" w:eastAsia="Arial" w:hAnsi="Arial"/>
          <w:sz w:val="17"/>
          <w:szCs w:val="17"/>
          <w:i w:val="1"/>
          <w:iCs w:val="1"/>
          <w:color w:val="auto"/>
        </w:rPr>
        <w:t xml:space="preserve"> </w:t>
      </w:r>
      <w:r>
        <w:rPr>
          <w:rFonts w:ascii="Arial" w:cs="Arial" w:eastAsia="Arial" w:hAnsi="Arial"/>
          <w:sz w:val="17"/>
          <w:szCs w:val="17"/>
          <w:color w:val="auto"/>
        </w:rPr>
        <w:t>Jersey, design, build and test both RF and microwave components and subsystems in support of a variety of key customer programs. With our fiscal 2014 move into our new AMC in Hudson, New Hampshire, including the installation of integrated business systems into both our AMCs, we have a platform for scalable, continued growth in our RF and microwave product lines. Our scalable microelectronics manufacturing operations at our AMCs enable rapid, cost-effective deployment of RF and microwave solutions to our customers. The Acquisition will give us a west coast location providing similar advanced capabilities and better proximity to certain key customer locations.</w:t>
      </w:r>
    </w:p>
    <w:p>
      <w:pPr>
        <w:spacing w:after="0" w:line="43" w:lineRule="exact"/>
        <w:rPr>
          <w:rFonts w:ascii="Arial" w:cs="Arial" w:eastAsia="Arial" w:hAnsi="Arial"/>
          <w:sz w:val="17"/>
          <w:szCs w:val="17"/>
          <w:color w:val="auto"/>
        </w:rPr>
      </w:pPr>
    </w:p>
    <w:p>
      <w:pPr>
        <w:jc w:val="both"/>
        <w:ind w:left="660" w:hanging="139"/>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defense prime contractors, the U.S. government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key organizations in the defense industry over our 30 years in the defense electronics industry. Our customers include BAE Systems, the Boeing Company, Harris, Lockheed Martin Corporation, Northrop Grumman Corporation, and Raytheon Company. Over this period, we have become recognized for our ability to develop new technologies and meet stringent program requirements. We believe we are well-positioned to maintain these high-level customer engagements and enhance them through the additional relationships that the Carve-Out Business has with many of the same customers.</w:t>
      </w:r>
    </w:p>
    <w:p>
      <w:pPr>
        <w:spacing w:after="0" w:line="58" w:lineRule="exact"/>
        <w:rPr>
          <w:rFonts w:ascii="Arial" w:cs="Arial" w:eastAsia="Arial" w:hAnsi="Arial"/>
          <w:sz w:val="18"/>
          <w:szCs w:val="18"/>
          <w:color w:val="auto"/>
        </w:rPr>
      </w:pPr>
    </w:p>
    <w:p>
      <w:pPr>
        <w:jc w:val="both"/>
        <w:ind w:left="660" w:hanging="139"/>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Proven Management Team. </w:t>
      </w:r>
      <w:r>
        <w:rPr>
          <w:rFonts w:ascii="Arial" w:cs="Arial" w:eastAsia="Arial" w:hAnsi="Arial"/>
          <w:sz w:val="18"/>
          <w:szCs w:val="18"/>
          <w:color w:val="auto"/>
        </w:rPr>
        <w:t>Over the past several years, our senior management team has refocused the Company on its economic core, developed a</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compelling strategy for the defense markets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strategy is built around our key strengths as a leading commercial provider of secure and processing subsystems designed and made in the U.S.A. Optimized for customer and mission success, our solutions power a wide variety of critical defense and intelligence programs. We are pioneering a next-generation defense electronics business model specifically designed to meet the industry’s current and emerging technology needs. By driving this strategy consistently, we are able to help our customers, mostly defense prime contractors, reduce program cost, minimize technical risk, and stay on schedule and on budget. Tactically, we have a reputation of relentless execution on behalf of our customers that supports the successful evolution of our strategy.</w:t>
      </w:r>
    </w:p>
    <w:p>
      <w:pPr>
        <w:spacing w:after="0" w:line="2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intend to accelerate our strategic direction through continued investment in advanced new products and solutions development in the fields of radio frequency, analog-to-digital and digital to analog conversion, advanced multi- and many-core sensor processing systems including GPUs, embedded security, digital storage, and digital radio frequency memory (“DRFM”) solutions, software defined communications capabilities, and advanced security technologies and capabilities. We leverage our engineering development services including systems integration to accelerate our move to become a commercial outsourcing partner to the large defense prime contractors as they seek the more rapid design, development and delivery of affordable, commercially-developed, open sensor processing solutions within the markets we serve. Our services-led engagements can help lead to long-term production subsystem revenues that will continue long after the initial services are delivered. This business model positions us to be paid for non-recurring engineering work we would have previously expensed through our own income statement, to team concurrently with multiple defense prime contractors as they pursue new business with the unique solutions they develop and market to the government, and to engage with our customers much earlier in the design cycle and ahead of our competition. In fiscal 2016, we have substantially added to our technology portfolio by adding capabilities in secure embedded computing, with the acquisition of LIT and a variety of defense applications with the acquisition of the Carve-Out Businesses, including missiles and precision munitions, fighter and surveillance aircraft, airport security portals, and advanced electronic systems for radar and EW.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our strategy, we are focusing on being a commercial outsourcing partner to the large defense prime contractors as they seek the more rapid design, development and delivery of affordable, commercially developed, specialized processing solutions within the markets we serve. We deliver subsystem level engineering expertise as well as ongoing systems integration services addressing our strategy to capitalize on the multi-billion dollar subsystem market within the defense embedded electronics market segment.</w:t>
      </w:r>
    </w:p>
    <w:p>
      <w:pPr>
        <w:spacing w:after="0" w:line="5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defense prime contractor community towards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spacing w:after="0" w:line="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do not exceed 10 percent of total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The Virtual Multi-Computer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37"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90"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initiative with the goal of providing customers with multi-vendor interoperable hardware built to well-defined system standards. We continue to leverage our embedded high performance processing technologies with our Intel server-class processing products as well as graphics based processor ("GPGPU") products. While this multi-computing and embedded processing technology is a core skill of Mercury Systems, the size, weight, and power ("SWaP") constraints that occur concurrent with the high performance embedded processing create unique challenges. For example, with the heat build-up involved in small subsystems, we introduced a key innovation in fiscal 2013 designed to address this challenge. The technology is called Air-Flow-By</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and it allows previously unattainable levels of processing power within a small footprint by effectively removing heat so the server-class processors can perform at maximum designed power limits. In rugged environments where air is limited, such as high altitude operations, a technology developed in fiscal 2014 called Liquid-Flow-By</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has been successfully customer tested allowing maximum server-class processor performance in high altitude missions. These innovative cooling techniques for the first time allow full performance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server-class processing in rugged environments enabling new and advanced modes of operation that enhance the multi-intelligence, situational awareness and EW capabilities in military platforms.</w:t>
      </w:r>
    </w:p>
    <w:p>
      <w:pPr>
        <w:spacing w:after="0" w:line="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and intelligence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hardware products into the following categories:</w:t>
      </w:r>
    </w:p>
    <w:p>
      <w:pPr>
        <w:spacing w:after="0" w:line="90" w:lineRule="exact"/>
        <w:rPr>
          <w:sz w:val="20"/>
          <w:szCs w:val="20"/>
          <w:color w:val="auto"/>
        </w:rPr>
      </w:pPr>
    </w:p>
    <w:p>
      <w:pPr>
        <w:jc w:val="both"/>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signal and image processing, multi-computer and sensor interfaces, including embedded processing boards, switch fabric boards, high speed input/output boards, digital receiver boards, high-density memory modules, secure solid-state drives, secure GPS receiver modules, and chassis-based systems using air, conduction, and proprietary cooling technologies;</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RF and microwave assemblies, including tuners, converters, transceivers, and switch filters;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RF and microwave components, including power amplifiers and limiters, switches, oscillators, and equalizers.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address the current challenges facing the war fighter, our government and defense prime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5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Our open architecture is carried throughout our entire Ensemble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SWaP demands, as outlined above.</w:t>
      </w:r>
    </w:p>
    <w:p>
      <w:pPr>
        <w:spacing w:after="0" w:line="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Embedded systems security has become a requirement for new and emerging military programs, and our security solutions are a critical differentiator from our traditional competition. Our security solutions, combined with our next-generation secure Intel server-class product line, together with increasingly frequent mandates from the government to secure electronic systems for domestic and foreign military sales, position us well to capitalize on DoD program protection security requirements. In the defense market, examples of our hardware intellectual property include scalable anti-tamper and information assurance products such as EnforcIT, WhiteboxCRYPTO, and CodeSEAL. In the commercial market, examples of our hardware intellectual property products include our CANGuard product, which provides advanced security for the electronic communications and control architectures on a wide variety of automotive vehicles.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research and development efforts are focused on developing new products and systems as well as enhancing existing hardware and software products in mission, signal and image processing. Our research and development goal is to fully exploit and maintain our technological lead in the high-performance, real-time sensor processing industry. Expenditures for research and development amounted to $33.5 million, $32.6 million, and $35.7 million in fiscal 2016, 2015, and 2014, respectively. As of June 30, 2016, we had 313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complex chassis systems, and RF &amp; microwave components and subsystems.</w:t>
      </w:r>
    </w:p>
    <w:p>
      <w:pPr>
        <w:spacing w:after="0" w:line="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Phoenix, Arizona facility manufactures our custom microelectronics products in ISO, 9001:2008 and AS9100 quality system certified facilities. This is a DMEA certified trusted manufacturing facility and is primarily focused on advanced secure system-on-chip design, assembly, packaging, and test. Our Camarillo, California facility manufactures our radio frequency and microwave products in ISO 9001:2008 and AS9100 quality system certified facilities. This facility is primarily focused on millimeter wave RF products up to 100GHz, gallium nitride-based power amplifiers and subsystems, analog and digital mixed signal system-on-chip capabilities, and custom modules for active electronically scanned arrays.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rely on both subcontracting to contract manufacturers and vertical integration to meet our manufacturing needs. Our printed circuit board assemblies and chassis systems' manufacturing operations consist primarily of materials planning and procurement, final assembly and test and logistics (inventory and traffic management). We subcontract the assembly and testing of most embedded multi-computing products to contract manufacturers in the U.S. to build to our specifications. We currently rely primarily on one contract manufacturer. Our vertically integrated products rely on strong relationships with strategic suppliers to ensure on-time delivery and high quality products. We manage supplier performance and capability through quality audits and stringent source, incoming and/or first article inspection processes.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6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built out a new microelectronics facility in Hudson, New Hampshire that opened during fiscal 2014. This facility consolidated the former microelectronics operations in Salem, New Hampshire and Hudson, New Hampshire as well as the former facilities in Ewing, New Jersey and Monroe, Connecticut. This facility is specifically aimed at providing scalable manufacturing within our critical RF and microwave businesses. We leverage best practices in design, development, manufacturing and materials handling at this facility. The facility is part of our Advanced Microelectronics Centers, which includes our RF/microwave subsystems group in West Caldwell, New Jersey. The Advanced Microelectronics Centers design, build and test both RF and microwave components and subsystems in support of a variety of key customer programs.</w:t>
      </w:r>
    </w:p>
    <w:p>
      <w:pPr>
        <w:spacing w:after="0" w:line="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54"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also design, develop, and manufacture DRFM units for a variety of modern EW applications, as well as radar environment simulation and test systems for defense and intelligence applications. We develop high performance SIGINT payloads and electro-optical/infrared ("EO/IR") technologies for small UAV platforms as well as powerful onboard UAV processor systems for real-time Wide Area Motion Imagery ("WAMI").</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in a highly competitive marketplace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 We work with defense prime contractors as well as directly with the DoD. We help drive subsystem development and deployment in both classified and unclassified environments.</w:t>
      </w:r>
    </w:p>
    <w:p>
      <w:pPr>
        <w:spacing w:after="0" w:line="5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SWaP solution possible, our ability to rapidly respond to varied customer requirements, and a track record of successfully supporting many high profile programs in the defense market.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 standing subsystem expertise to provide this value to our customers.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we held 67 patents of varying duration issued in the United States. We file U.S. patent applications and, where appropriate, foreign patent applications. We also file continuations to cover both new and improved designs and products. At present, we have several U.S. and foreign patent applications in process.</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routinely enter into confidentiality and assignment of invention agreements with each of our employees and consultants and nondisclosure agreements with our key customers and vendors.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of June 30, 2016, we had a backlog of orders aggregating approximately $287.7 million, of which $239.2 million is expected to be delivered within the next twelve months. The backlog as of June 30, 2016 included $62.9 million from the Carve-Out Business. As of June 30, 2015, backlog was approximately $208.0 million.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2016, we employed a total of 965 people excluding contractors, including 313 in research and development, 77 in sales and marketing, 438 in manufacturing and customer support and 137 in general and administrative functions. We have five employees located in Europe, one located in Japan, and 959 located in the United States. We do not have any employees represented by a labor organization, and we believe that our relations with our employees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revenues are concentrated in three defense prime contractors including Lockheed Martin Corporation, Raytheon Company and Northrop Grumman Corporation for the years ended June 30, 2016, 2015 and 2014. These three defense prime contractors comprised an aggregate of 51%, 61% and 43% of our revenues in each of the years ended June 30, 2016, 2015 and 2014, respectively. While sales to these customers typically compose 10% or more of our revenue, the sales to each of these customers are spread across multiple programs and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www.mrcy.com</w:t>
      </w:r>
      <w:r>
        <w:rPr>
          <w:rFonts w:ascii="Arial" w:cs="Arial" w:eastAsia="Arial" w:hAnsi="Arial"/>
          <w:sz w:val="18"/>
          <w:szCs w:val="18"/>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EchoCore, Echotek, Ensemble, PowerStream, RACE++ and MultiCore Plus are registered trademarks, and Mercury Systems, Innovation that Matters, Air Flow-By, Liquid Flow-By, POET, CANGuard, WhiteboxCRYPTO, CodeSEAL, EnforcIT-S, and SecureBootFPGA are trademarks of Mercury Systems, Inc. OpenVPX is a trademark of the VMEbus International Trade Association. All other trademarks and registered trademarks are the property of their respective holders, and are hereby acknowledged.</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and services, which may be only partially funded and are subject to potential termination and reductions and delays in government spending.</w:t>
      </w:r>
    </w:p>
    <w:p>
      <w:pPr>
        <w:spacing w:after="0" w:line="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Sales of our products and related services, primarily as an indirect subcontractor or team member with defense prime contractors, and in some cases directly, to the U.S. government and its agencies, as well as foreign governments and agencies, accounted for approximately 98%, 94%, and 92% of our total net revenues in fiscal 2016, 2015, and 2014,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During fiscal 2014, the Presidential election, bipartisan gridlock in Congress, a continuing budget resolution, and the implementation of defense budget sequestration impacted our revenues and increased uncertainty in our business and financial planning. For fiscal 2017 and beyond, the potential for further bipartisan gridlock in Congress, another continuing budget resolution, and the defense industry operating under sequestration may continue to adversely impact our revenues and increase uncertainty in our business and financial planning. In addition, delays in the funding for new or existing programs, or of the defense appropriation generally could negatively impact our revenues and have a material adverse effect on our financial condition and results of operations for the period in which such revenues were originally anticipated. Further, oil price volatility and the decline in oil prices may negatively impact foreign military sales funding program size due to oil's impact on foreign budgets.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7"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defense budget sequestration, for the defense programs that use our defense electronics products and services. Reduced baseline defense budgets could reduce the number of funded programs in which we participate.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other risks and uncertainties associated with defense-related contracts, which may have a material adverse effect on our business.</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35" w:lineRule="exact"/>
        <w:rPr>
          <w:sz w:val="20"/>
          <w:szCs w:val="20"/>
          <w:color w:val="auto"/>
        </w:rPr>
      </w:pPr>
    </w:p>
    <w:p>
      <w:pPr>
        <w:jc w:val="both"/>
        <w:ind w:left="640" w:hanging="32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46"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40" w:hanging="321"/>
        <w:spacing w:after="0" w:line="273"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43"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46"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58" w:lineRule="exact"/>
        <w:rPr>
          <w:rFonts w:ascii="Arial" w:cs="Arial" w:eastAsia="Arial" w:hAnsi="Arial"/>
          <w:sz w:val="18"/>
          <w:szCs w:val="18"/>
          <w:color w:val="auto"/>
        </w:rPr>
      </w:pPr>
    </w:p>
    <w:p>
      <w:pPr>
        <w:jc w:val="both"/>
        <w:ind w:left="640" w:hanging="321"/>
        <w:spacing w:after="0" w:line="25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sell many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item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item supplier. In addition, growth in our defense sales relative to our commercial sales could adversely impact our status as a commercial supplier, which could adversely affect our business and operating results. Changes in our mix of business, in federal regulations, or in the interpretation of federal regulations, may subject us to audit by the Defense Contract Audit Agency ("DCAA") for certain of our products or services. Such changes may require us to implement a DCAA cost-accounting system at our commercial item business unit. Operating under a cost-accounting business model rather than our historical commercial item business model could adversely impact our revenues and profitability.</w:t>
      </w:r>
    </w:p>
    <w:p>
      <w:pPr>
        <w:spacing w:after="0" w:line="59"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qualify as a “small business” for government contracts purposes under the definition of that term in an applicable NAICS code because we have fewer than 1,250 employees. As we grow and potentially have over 1,250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and the flow down of certain FAR clauses may require us to implement a DCAA cost-accounting system at our commercial item business unit.</w:t>
      </w:r>
    </w:p>
    <w:p>
      <w:pPr>
        <w:spacing w:after="0" w:line="58" w:lineRule="exact"/>
        <w:rPr>
          <w:rFonts w:ascii="Arial" w:cs="Arial" w:eastAsia="Arial" w:hAnsi="Arial"/>
          <w:sz w:val="18"/>
          <w:szCs w:val="18"/>
          <w:color w:val="auto"/>
        </w:rPr>
      </w:pPr>
    </w:p>
    <w:p>
      <w:pPr>
        <w:jc w:val="both"/>
        <w:ind w:left="640" w:hanging="321"/>
        <w:spacing w:after="0" w:line="27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subject to the Defense Federal Acquisition Regulations Supplement, referred to as DFARS, in connection with our defense work for the U.S. government and defense prime contractors. Amendments to the DFARS, such as the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 Compliance with the new conflict minerals regulations enacted pursuant to the Dodd Frank legislation poses similar risks and increases our costs.</w:t>
      </w:r>
    </w:p>
    <w:p>
      <w:pPr>
        <w:spacing w:after="0" w:line="3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46" w:lineRule="exact"/>
        <w:rPr>
          <w:rFonts w:ascii="Arial" w:cs="Arial" w:eastAsia="Arial" w:hAnsi="Arial"/>
          <w:sz w:val="18"/>
          <w:szCs w:val="18"/>
          <w:color w:val="auto"/>
        </w:rPr>
      </w:pPr>
    </w:p>
    <w:p>
      <w:pPr>
        <w:jc w:val="both"/>
        <w:ind w:left="640" w:hanging="321"/>
        <w:spacing w:after="0" w:line="27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42"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anticipate that sales to our U.S. prime defense contractor customers as part of foreign military sales (“FMS”) programs will be an increasing part of our business going forward. These FMS sales combine several different types of risks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40" w:right="20"/>
        <w:spacing w:after="0" w:line="358" w:lineRule="auto"/>
        <w:rPr>
          <w:sz w:val="20"/>
          <w:szCs w:val="20"/>
          <w:color w:val="auto"/>
        </w:rPr>
      </w:pPr>
      <w:r>
        <w:rPr>
          <w:rFonts w:ascii="Arial" w:cs="Arial" w:eastAsia="Arial" w:hAnsi="Arial"/>
          <w:sz w:val="16"/>
          <w:szCs w:val="16"/>
          <w:color w:val="auto"/>
        </w:rPr>
        <w:t>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 For example, the decline in oil prices may negatively impact foreign defense budgets.</w:t>
      </w:r>
    </w:p>
    <w:p>
      <w:pPr>
        <w:jc w:val="both"/>
        <w:ind w:left="64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clearances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53"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need to invest additional capital to build out higher level security infrastructure at certain of our facilities to capture new design wins on defense programs with higher level security requirements. Failure to invest in such infrastructure may limit our ability to obtain new design wins on defense programs. In addition, we may need to invest in additional secure laboratory space to efficiently integrate subsystem level solutions and maintain quality assurance on current and future programs.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9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dependent on a small number of customers for a large portion of our revenues. A significant decrease in the sales to or loss of any of our major customers would have a material adverse effect on our business and results of operations. In fiscal 2016, Lockheed Martin Corporation accounted for 23% of our total net revenues, Raytheon Company accounted for 20% of our total net revenues, and Northrop Grumman Corporation accounted for 8% of our total net revenues. In fiscal 2015, Raytheon Company accounted for 37% of our total net revenues, Lockheed Martin Corporation accounted for 20% of our total net revenues, and Northrop Grumman Corporation accounted for 4% of our total net revenues. In fiscal 2014, Lockheed Martin Corporation accounted for 18% of our total net revenues, Raytheon Company accounted for 13% of our total net revenues, and Northrop Grumman Corporation accounted for 12%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dependent on sales for radar applications for a large portion of our revenues. Sales related to radar applications accounted for 52%, 61% and 53% of our total net revenues for fiscal 2016, 2015, and 2014, respectively. While our radar sales relate to multiple different platforms and defense programs, our revenues are largely dependent upon our customers incorporating our products into radar applications. For the fiscal year ended June 30, 2016, the Surface Electronic Warfare Improvement Program ("SEWIP") program individually comprised 12% of the Company's revenues. For the fiscal years ended June 30, 2016, 2015, and 2014, the Aegis program individually comprised 10%, 12% and 15% of the Company's revenues, respectively. For the fiscal year ended June 30, 2015, Patriot and F-35 accounted for 18% and 16% of the Company's revenue, respectively. Loss of a significant radar program could adversely affect our results of operations.</w:t>
      </w:r>
    </w:p>
    <w:p>
      <w:pPr>
        <w:spacing w:after="0" w:line="5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Going forward, we believe the SEWIP program and the Patriot missile defense program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We may be unable to keep pace with competitors’ marketing and the lack of visibility in the marketplace may negatively impact design wins, bookings, and revenues. Customers may also decide to reduce costs and accept the least costly technically acceptable alternative to our products or services. In addition, customers may decide to insource products that they have traditionally outsourced to us.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 Further, our lack of strong engagements with important government-funded laboratories (e.g. DARPA, MIT Lincoln Labs, MITRE) may inhibit our ability to become subsystem solution design partners with our defense prime customers. With the reduction in force in our engineering group during fiscal 2013 as part of our cost containment efforts, we have fewer engineering resources to deliver advanced, subsystem level products to satisfy our customers' demanding expectations.</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3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compete in highly competitive industries, and our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Our defense prime contractor customers could decide to pursue secure processing one of their core competencies and insource that technology development and production rather than purchase that capability from us as a supplier. This competition could result in fewer customer orders and a loss of market share.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spacing w:after="0" w:line="4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products in a more highly environmentally isolated setting. These developments could negatively impact our revenues and have a material adverse effect on our business and operating results.</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timing, length, and severity of the up-and-down cycles in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growth strategy includes developing new products, adding new customers within our existing markets, and entering new markets, as well as identifying and integrating acquisitions and achieving revenue and cost synergies and economies of scale. Our ability to compete in new markets will depend upon a number of factors including, among others:</w:t>
      </w:r>
    </w:p>
    <w:p>
      <w:pPr>
        <w:spacing w:after="0" w:line="46"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 and achieve revenue and cost synergies and economies of scale.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and/or customer support organizations.</w:t>
      </w:r>
    </w:p>
    <w:p>
      <w:pPr>
        <w:spacing w:after="0" w:line="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Growing our business, in particular by providing services and products such as sophisticated subsystems for major defense programs like Patriot, SEWIP and Aegis,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subsystem level products is a key driver of our growth strategy and the failure to properly scale our capabilities to support our customers at a subsystem level could result in lost opportunities and revenues. Failure to implement consistent management systems across our entire platform, to increase the level of automation to scale our operations and to establish a uniform program management process for lifecycle management could negatively impact our ability to generate efficiencies to achieve cost reduction objectives.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may adversely affect our financial condition.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part of our strategy for growth, we may continue to explore acquisitions or strategic alliances, which may not be completed or may not be ultimately beneficial to us.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Acquisitions may pose risks to our operations, including:</w:t>
      </w:r>
    </w:p>
    <w:p>
      <w:pPr>
        <w:spacing w:after="0" w:line="90" w:lineRule="exact"/>
        <w:rPr>
          <w:sz w:val="20"/>
          <w:szCs w:val="20"/>
          <w:color w:val="auto"/>
        </w:rPr>
      </w:pPr>
    </w:p>
    <w:p>
      <w:pPr>
        <w:ind w:left="640" w:hanging="321"/>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problems and increased costs in connection with the integration of the personnel, operations, technologies, or products of the acquired businesses;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101"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rationalize manufacturing capacity, locations, and operating models to achieve anticipated economies of scale, or disruptions to manufacturing and product design operations during the combination of facilities;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adversely affect our internal control over financial reporting before the acquiree's complete integration into the Company’s control environment.</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1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realize the expected benefits, including synergies, of the acquisition of the Carve-Out Business because of integration difficulties and other challenges.</w:t>
      </w:r>
    </w:p>
    <w:p>
      <w:pPr>
        <w:spacing w:after="0" w:line="3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March 23, 2016, we and Microsemi Corporation (“Microsemi”) entered into a Stock Purchase Agreement, pursuant to which, Microsemi agreed to sell all the membership interests in its custom microelectronics, RF and microwave solutions and embedded security operations from Microsemi (“the Carve-Out Business”) to us for $300.0 million in cash on a cash-free, debt-free basis, subject to a working capital adjustment. On May 2, 2016, the transaction closed and we acquired the Carve-Out Business. While we expect the acquisition of the Carve-Out Business (“Acquisition”) to result in synergies and other financial and operational benefits, we may be unable to realize these synergies or other benefits in the timeframe that we expect or at all. The success of the Acquisition will depend, in part, on our ability to realize the anticipated benefits from integrating the Carve-Out Business with our existing businesses. The integration process may be complex, costly and time consuming.</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difficulties of integrating the operations of the Carve-Out Business include, among others:</w:t>
      </w:r>
    </w:p>
    <w:p>
      <w:pPr>
        <w:spacing w:after="0" w:line="144" w:lineRule="exact"/>
        <w:rPr>
          <w:sz w:val="20"/>
          <w:szCs w:val="20"/>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failure to retain key employees;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failure to retain key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operating risks inherent in the Carve-Out Business and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impact of any assumed legal proceedings;</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unanticipated issues, expenses costs, charges and liabilities related to the Acquisition.</w:t>
      </w:r>
    </w:p>
    <w:p>
      <w:pPr>
        <w:spacing w:after="0" w:line="1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may not be able to maintain the levels of revenue, earnings or operating efficiency that each of Mercury and the Carve-Out Business had achieved or might achieve separately. In addition, we may not accomplish the integration of the Carve-Out Business smoothly, successfully or within the anticipated costs or timeframe. Further, we will incur implementation costs relative to these anticipated cost synergies, and our expectations with respect to integration or synergies as a result of the Acquisition may not materialize. Accordingly, you should not place undue reliance on our anticipated synergies.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decline as a result of the Acquisition.</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market price of our common stock may decline as a result of the Acquisition if, among other things, we are unable to achieve the expected growth in earnings, or if the operational cost savings estimates in connection with the integration of the Carve-Out Business are not realized. The market price of our common stock also may decline if we do not achieve the perceived benefits of the Acquisition as rapidly or to the extent anticipated by financial or industry analysts or if the effect of the Acquisition on our financial results is not consistent with the expectations of financial or industry analysts.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indebtedness could materially adversely affect our financial condition and prevent us from fulfilling our obligations.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Following the Acquisition, we have a significant amount of indebtedness, including a gross $200.0 million term loan and a $100.0 million undrawn (other than $5.5 million of outstanding letters of credit as of June 30, 2016) revolver. 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spacing w:after="0" w:line="3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increases in interest rates will increase the cost of servicing our financial instruments with exposure to interest rate risk and could materially reduce our profitability and cash flows. In December 2015, the U.S. Federal Reserve announced that it would gradually raise short-term interest rates over the next three years. Each one percentage point change in interest rates would result in an approximate $2.0 million change in the annual cash interest expense before any principal payment on our financial instruments with exposure to interest rate risk. We presently do not use fixed interest rate swaps.</w:t>
      </w:r>
    </w:p>
    <w:p>
      <w:pPr>
        <w:spacing w:after="0" w:line="1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Subject to the limits contained in the credit agreement that governs our new credit facilities, we may be able to incur substantial additional debt from time to time to finance working capital, capital expenditures, investments or acquisitions, or for other purposes. If we do so, the risks related to our high level of debt could intensify. Specifically, our high level of debt could have important consequences to our investors, including the following:</w:t>
      </w:r>
    </w:p>
    <w:p>
      <w:pPr>
        <w:spacing w:after="0" w:line="30" w:lineRule="exact"/>
        <w:rPr>
          <w:sz w:val="20"/>
          <w:szCs w:val="20"/>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 and if we fail to comply with these requirements, an event of default could result;</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35"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3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have variable interest rates, which could increase the cost of servicing our financial instruments and could materially reduce our profitability and cash flows;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the agreements governing our indebtedness contain restrictive covenants that limit our ability to engage in activities that may be in our long term best interest. Our failure to comply with those covenants could result in an event of default which, if not cured or waived, could result in the acceleration of all our debt. And, if we were unable to repay the amounts due and payable, the lenders under each facility could proceed against the collateral granted to them to secure that indebtedness.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a significant amount of goodwill and intangible assets on our consolidated financial statements that are subject to impairment based upon future adverse changes in our business or prospects.</w:t>
      </w:r>
    </w:p>
    <w:p>
      <w:pPr>
        <w:spacing w:after="0" w:line="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At June 30, 2016, the carrying values of goodwill and identifiable intangible assets on our balance sheet were $344.0 million and $116.7 million, respectively. We evaluate indefinite lived intangible assets and goodwill for impairment annually in the fourth quarter, or more frequently if events or changes in circumstances indicate that the asset might be impaired. Indefinite lived intangible assets are impaired and goodwill impairment is indicated when their book value exceeds fair value. 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The value of goodwill and intangible assets from the allocation of purchase price from the Acquisition will be derived from our business operating plans and is susceptible to an adverse change in demand, input costs or general changes in our business or industry and could require an impairment charge in the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Micron Technology, Inc. for specific memory products, and Benchmark Electronics, Inc. for board assembly, test and integration.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3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Benchmark Electronics, Inc.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4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With the expansion of our microelectronics and RF and microwave product lines in recent years, primarily related to the acquisition of the Carve-Out Business from Microsemi and our acquisitions of Micronetics, Inc., KOR Electronics, and LNX Corporation, the mix and volume of products that we manufacture in-house has increased. With the building of our Advanced Microelectronics Center in Hudson, New Hampshire during fiscal 2014, we are becoming more vertically integrated in our microwave and RF product lines. This vertical integration could lead to higher capital intensity, labor utilization rate volatility which could affect our profitability, and higher fixed costs. Also, the changes to business processes and IT systems required to combine two locations into a single site like our Advanced Microelectronics Center may interrupt our operations for a period of time resulting in higher costs, lower revenues and missed opportunities for design wins. In addition, Benchmark Electronics, Inc. notified us in 2016 that they would no longer contract manufacture certain of our digital processing products at their Huntsville, Alabama facility due to internal integration planning at Benchmark. As a result, we are currently exploring alternatives to replace the impacted products, including internally manufacturing the product 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market and sell products in international markets, and have established offices and subsidiaries in Europe and Japan. Revenues from international operations accounted for 4%, 2% and 4% of our total net revenues in fiscal 2016, 2015 and 2014, respectively. We also ship directly from our U.S. operations to international customers. There are inherent risks in transacting business internationally, including:</w:t>
      </w:r>
    </w:p>
    <w:p>
      <w:pPr>
        <w:spacing w:after="0" w:line="46"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must comply with the Foreign Corrupt Practices Act, or the FCPA. The FCPA generally requires companies to maintain adequate record-keeping and internal accounting practices to accurately reflect the transactions of the company and prohibits U.S. companies and their intermediaries from making corrupt payments to foreign officials for the purpose of obtaining or keeping business or otherwise obtaining favorable treatment.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1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3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Customers in our commercial markets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commercial equipment, or if selected, we may not generate any revenues for such design work.</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design-in process is typically lengthy and expensive, and there can be no assurance that we will be able to continue to meet the product specifications of customers in a timely and adequate manner. In addition, any failure to anticipate or respond 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time in completing products on a timely basis. If we are unable to design, develop or introduce competitive new products on a timely basis, our future operating results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are complex, and undetected defects may increase our costs, harm our reputation with customers or lead to costly litigation.</w:t>
      </w:r>
    </w:p>
    <w:p>
      <w:pPr>
        <w:spacing w:after="0" w:line="10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Our products are extremely complex and must operate successfully with complex products of our customers and their other vendors. Our products may contain undetected errors when first introduced or as we introduce product upgrades. The pressures we face to be the first to market new products or functionality and the 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warranty costs and costs to support our service contracts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3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 Further, with the reduction in force in our engineering group during fiscal 2013 as part of our cost containment efforts and with reduced levels of research and development spending in fiscal 2014 and 2015 compared with prior years, we have fewer engineering resources to deliver advanced, subsystem level products to satisfy our customers' demanding expectations.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subject to fluctuation from period to period and may not be an accurate indication of future performance.</w:t>
      </w:r>
    </w:p>
    <w:p>
      <w:pPr>
        <w:spacing w:after="0" w:line="10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products and services in relatively large dollar amounts to a relatively small number of customers. Customers specify delivery date requirements that coincide with their need for our products and services. Because these customers may use our products and services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High quarterly book-ship ratios may pressure inventory and cash flow management,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shipping hardware and software;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asset impairment, including goodwill and intangibles, or restructuring charges;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 Like our defense prime contractor customers, we face the potential for knowledge drain due to the impending retirement of the older members of our engineering workforce in the coming years.</w:t>
      </w:r>
    </w:p>
    <w:p>
      <w:pPr>
        <w:spacing w:after="0" w:line="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 unable to deliver subsystem level products and related services on time and on budget with our limited engineering resources. Without sufficient resources in hardware, software, and mechanical engineering and quality assurance we may be unable to adequately scale our business and deliver the subsystem solutions that our customers expect. We must also develop new engineering talent in our engineering base to contain high engineering costs to alleviate pressures on our margins and price points.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Increased workloads and responsibilities due to cost containment measures in recent years has led to a leaner employee base, increasing our risk of employee and organizational fatigue. Resulting lower morale and organizational disruption could lead to execution issues, missed commitments, and general employee attrition.</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attract and retain key personnel.</w:t>
      </w:r>
    </w:p>
    <w:p>
      <w:pPr>
        <w:spacing w:after="0" w:line="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4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from external sources or from an insider threat, we may have a loss in sales or increased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arising from the restoration or implementation of additional security measures, either of which could adversely affect our business and financial results. Other potential costs could include loss of brand value, incident response costs, loss of stock market value, regulatory inquiries, litigation, and management distraction. In addition, a security breach that involved classified information could subject us to civil or criminal penalties, loss of a government contract, loss of access to classified information, or debarment as a government contractor. Similarly, a breach that involved loss of customer-provided data could subject us to loss of a customer, loss of a contract, litigation costs and legal damages, and reputational harm.</w:t>
      </w:r>
    </w:p>
    <w:p>
      <w:pPr>
        <w:spacing w:after="0" w:line="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highly-publicized cyber-attack on Sony Pictures Entertainment demonstrates the vulnerability of companies to cyber-attacks and the severe impact these attacks can have. In addition to the potential costs discussed above, the Sony cyber-attack illustrates that such attacks can also damage physical infrastructure (e.g. corrupted servers) and destroy all copies of company intellectual property on a company's network.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to invest in new information technology systems and infrastructure to scale our operations.</w:t>
      </w:r>
    </w:p>
    <w:p>
      <w:pPr>
        <w:spacing w:after="0" w:line="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may need to adopt new information technology systems and infrastructure to scale our business and obtain the synergies from prior and future business acquisitions. Our older information technology systems and infrastructure could create product development or production work stoppages, negatively impact product delivery times and quality, and increase our compliance costs. Failure to invest in newer information technology systems and infrastructure may lead to operational inefficiencies and increased compliance costs and risks. In addition, an inability to maximize the utility and benefit of our current information technology tools could impact our ability to meet cost reduction and planned efficiency and operational improvement goals.</w:t>
      </w:r>
    </w:p>
    <w:p>
      <w:pPr>
        <w:spacing w:after="0" w:line="1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stock price, like that of other technology companies, has been volatile. The stock market in general and technology companies in particular may continue to experience volatility. The stock prices for companies in the defense technology industry may continue to remain volatile given the uncertainty and timing of funding for defense programs.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small cap status could hamper existing and new shareholders from gaining a meaningful position in our stock. In addition,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2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5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or detect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In addition, as part of our growth strategy, the Company may continue to explore acquisitions or strategic alliances that could adversely affect internal control over financial reporting during the integration period until the acquired business has been fully incorporated into the Company’s internal control environment. Because of the inherent limitations in a cost-effective control system, misstatements due to error or fraud may occur and may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4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larger credit facility. The sale of additional equity securities or securities convertible into our ordinary shares could result in additional dilution to our stockholders. The incurrence of additional indebtedness would result in increased debt service obligations and could result in operating and financing covenants that would restrict our operations.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defense technology companies;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6"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significant properties as of June 30,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Size in</w:t>
            </w:r>
          </w:p>
        </w:tc>
        <w:tc>
          <w:tcPr>
            <w:tcW w:w="5360" w:type="dxa"/>
            <w:vAlign w:val="bottom"/>
            <w:gridSpan w:val="3"/>
            <w:vMerge w:val="restart"/>
          </w:tcPr>
          <w:p>
            <w:pPr>
              <w:ind w:left="228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29"/>
        </w:trPr>
        <w:tc>
          <w:tcPr>
            <w:tcW w:w="458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3"/>
              </w:rPr>
              <w:t>Sq. Feet</w:t>
            </w:r>
          </w:p>
        </w:tc>
        <w:tc>
          <w:tcPr>
            <w:tcW w:w="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5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185,327</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 2 buildings</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Andover, MA</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145,262</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Leased, expiring 2029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Phoenix, AZ</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116,858</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2020</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Hudson, NH</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100,111</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Leased, expiring 2024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Cypress, CA</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42,770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2021</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Camarillo, CA</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25,195</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Leased, expiring 2020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Huntsville, AL</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25,950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2018</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West Caldwell, NJ</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Leased, expiring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Manteca, CA</w:t>
            </w:r>
          </w:p>
        </w:tc>
        <w:tc>
          <w:tcPr>
            <w:tcW w:w="13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20,750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San Jose, CA</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10,089</w:t>
            </w:r>
          </w:p>
        </w:tc>
        <w:tc>
          <w:tcPr>
            <w:tcW w:w="100" w:type="dxa"/>
            <w:vAlign w:val="bottom"/>
          </w:tcPr>
          <w:p>
            <w:pPr>
              <w:spacing w:after="0"/>
              <w:rPr>
                <w:sz w:val="21"/>
                <w:szCs w:val="21"/>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Leased, expiring 2016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actively manages its facilities and is in pursuit of lease extensions or alternative locations for facilities with expiration dates in 2016, 2017 or 2018. In addition, we lease a number of smaller offices around the world primarily for sales. For financial information regarding obligations under our leases, see Note K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1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48, joined Mercury in 2007 and has served as the President and Chief Executive Officer since then,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Christopher C. Cambria</w:t>
      </w:r>
      <w:r>
        <w:rPr>
          <w:rFonts w:ascii="Arial" w:cs="Arial" w:eastAsia="Arial" w:hAnsi="Arial"/>
          <w:sz w:val="18"/>
          <w:szCs w:val="18"/>
          <w:color w:val="auto"/>
        </w:rPr>
        <w:t>, age 58, joined Mercury in August 2016 as Senior Vice President, General Counsel and Secretary. Prior to joining Mercury, he</w:t>
      </w:r>
      <w:r>
        <w:rPr>
          <w:rFonts w:ascii="Arial" w:cs="Arial" w:eastAsia="Arial" w:hAnsi="Arial"/>
          <w:sz w:val="18"/>
          <w:szCs w:val="18"/>
          <w:i w:val="1"/>
          <w:iCs w:val="1"/>
          <w:color w:val="auto"/>
        </w:rPr>
        <w:t xml:space="preserve"> </w:t>
      </w:r>
      <w:r>
        <w:rPr>
          <w:rFonts w:ascii="Arial" w:cs="Arial" w:eastAsia="Arial" w:hAnsi="Arial"/>
          <w:sz w:val="18"/>
          <w:szCs w:val="18"/>
          <w:color w:val="auto"/>
        </w:rPr>
        <w:t>was Vice President, General Counsel, and Secretary of Aerojet Rocketdyne Holdings, Inc. from 2012 to 2016, and Vice President, General Counsel from 2011 to 2012. He was with L-3 Communications Holdings Inc. from 1997 through 2009 serving as Senior Vice President and Senior Counsel, Mergers and Acquisitions from 2006 to 2009, Senior Vice President, Secretary and General Counsel from 2001 to 2006, and Vice President, General Counsel and Secretary from 1997 to 2001.</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Gerald M. Haines II</w:t>
      </w:r>
      <w:r>
        <w:rPr>
          <w:rFonts w:ascii="Arial" w:cs="Arial" w:eastAsia="Arial" w:hAnsi="Arial"/>
          <w:sz w:val="17"/>
          <w:szCs w:val="17"/>
          <w:color w:val="auto"/>
        </w:rPr>
        <w:t>, age 53, joined as Senior Vice President of Corporate Development and in 2014 was appointed Executive Vice President, CFO and</w:t>
      </w:r>
      <w:r>
        <w:rPr>
          <w:rFonts w:ascii="Arial" w:cs="Arial" w:eastAsia="Arial" w:hAnsi="Arial"/>
          <w:sz w:val="17"/>
          <w:szCs w:val="17"/>
          <w:i w:val="1"/>
          <w:iCs w:val="1"/>
          <w:color w:val="auto"/>
        </w:rPr>
        <w:t xml:space="preserve"> </w:t>
      </w:r>
      <w:r>
        <w:rPr>
          <w:rFonts w:ascii="Arial" w:cs="Arial" w:eastAsia="Arial" w:hAnsi="Arial"/>
          <w:sz w:val="17"/>
          <w:szCs w:val="17"/>
          <w:color w:val="auto"/>
        </w:rPr>
        <w:t>Treasurer. Prior to Mercury, from 2008 to 2010 he served as Executive Vice President at Verenium Corporation, a publicly traded company engaged in the development and commercialization of biofuels and specialty enzymes, where he oversaw various corporate development, corporate finance, and joint venturing activities. Previously, Mr. Haines served as Executive Vice President of Strategic Affairs of Enterasys Networks, Inc., a publicly traded network communications company, Senior Vice President of Cabletron Systems, Inc., the predecessor of Enterasys Networks, and Vice President of Applied Extrusion Technologies, a large manufacturer of plastic films and packaging. He began his career at J.P. Morgan. Mr. Haines holds a bachelor's degree in Business Administration, magna cum laude, from Boston University, and a law degree from Cornell Law School.</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57, joined Mercury in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software product company, from 1996 to 2001. Prior to Cerulean, Mr. Speicher held positions with Wyman-Gordon Company, Wang Laboratories Inc. and Arthur Andersen &amp; Company, LLP. Mr. Speicher is a CPA licensed in Massachusetts.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Didier M.C. Thibaud</w:t>
      </w:r>
      <w:r>
        <w:rPr>
          <w:rFonts w:ascii="Arial" w:cs="Arial" w:eastAsia="Arial" w:hAnsi="Arial"/>
          <w:sz w:val="18"/>
          <w:szCs w:val="18"/>
          <w:color w:val="auto"/>
        </w:rPr>
        <w:t>, age 55, joined Mercury in 1995, and has served as our Executive Vice President, Chief Operating Officer since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Prior to that he was President of our Mercury Commercial Electronics business unit since 2012. Prior to that, he was President of our Advanced Computing Solutions business unit since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Low</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Fourth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15.67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10.47</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2016, we had 309 record shareholders. As of July 14, 2016, we had 11,302 nominee 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never declared or paid cash dividends on shares of our common stock. We currently intend to retain any earnings for future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that any cash dividends will be declared or paid on our common stock in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includes information with respect to net share settlements we made of our common stock during the fiscal year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Period of Net Share Settlement</w:t>
            </w:r>
          </w:p>
        </w:tc>
        <w:tc>
          <w:tcPr>
            <w:tcW w:w="38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 Number of Shares Net Settled (1)</w:t>
            </w:r>
          </w:p>
        </w:tc>
        <w:tc>
          <w:tcPr>
            <w:tcW w:w="540" w:type="dxa"/>
            <w:vAlign w:val="bottom"/>
          </w:tcPr>
          <w:p>
            <w:pPr>
              <w:spacing w:after="0"/>
              <w:rPr>
                <w:sz w:val="14"/>
                <w:szCs w:val="14"/>
                <w:color w:val="auto"/>
              </w:rPr>
            </w:pPr>
          </w:p>
        </w:tc>
        <w:tc>
          <w:tcPr>
            <w:tcW w:w="2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Average Price Per Share</w:t>
            </w: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1, 2015 - September 30, 2015</w:t>
            </w:r>
          </w:p>
        </w:tc>
        <w:tc>
          <w:tcPr>
            <w:tcW w:w="3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October 1, 2015 - December 31, 2015</w:t>
            </w:r>
          </w:p>
        </w:tc>
        <w:tc>
          <w:tcPr>
            <w:tcW w:w="380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17.96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1, 2016 - March 31, 2016</w:t>
            </w:r>
          </w:p>
        </w:tc>
        <w:tc>
          <w:tcPr>
            <w:tcW w:w="3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April 1, 2016 - June 30, 2016</w:t>
            </w:r>
          </w:p>
        </w:tc>
        <w:tc>
          <w:tcPr>
            <w:tcW w:w="3800" w:type="dxa"/>
            <w:vAlign w:val="bottom"/>
            <w:gridSpan w:val="3"/>
          </w:tcPr>
          <w:p>
            <w:pPr>
              <w:jc w:val="right"/>
              <w:ind w:right="120"/>
              <w:spacing w:after="0"/>
              <w:rPr>
                <w:sz w:val="20"/>
                <w:szCs w:val="20"/>
                <w:color w:val="auto"/>
              </w:rPr>
            </w:pPr>
            <w:r>
              <w:rPr>
                <w:rFonts w:ascii="Arial" w:cs="Arial" w:eastAsia="Arial" w:hAnsi="Arial"/>
                <w:sz w:val="18"/>
                <w:szCs w:val="18"/>
                <w:color w:val="auto"/>
              </w:rPr>
              <w:t>166</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20.70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Represents shares we net settled in connection with the surrender of shares to cover the minimum taxes on vesting of restricted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2016, we had no active share repurchase programs.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270,154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234,847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208,729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194,231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237,070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19,742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14,429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22,323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47,994</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earnings (loss) per share from continuing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0.76</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0.74</w:t>
            </w:r>
          </w:p>
        </w:tc>
      </w:tr>
      <w:tr>
        <w:trPr>
          <w:trHeight w:val="359"/>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June 30,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177,748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142,472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127,375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115,483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170,761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736,496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374,431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385,606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195,808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13,635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15,112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15,560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473,044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350,138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327,147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328,501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333,104</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540" w:hanging="316"/>
        <w:spacing w:after="0" w:line="287"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components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38" w:lineRule="exact"/>
        <w:rPr>
          <w:sz w:val="20"/>
          <w:szCs w:val="20"/>
          <w:color w:val="auto"/>
        </w:rPr>
      </w:pPr>
    </w:p>
    <w:p>
      <w:pPr>
        <w:jc w:val="both"/>
        <w:ind w:left="580"/>
        <w:spacing w:after="0" w:line="297"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Mercury Systems, Inc. is a leading commercial provider of secure processing subsystems designed and made in U.S.A. Optimized for customer and mission success, our solutions power a wide variety of critical defense and intelligence programs. Headquartered in Chelmsford, Massachusetts, we are pioneering a next-generation defense electronics business model designed to meet the industry's current and emerging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believe our total portfolio of services and solutions is unique in the industry for a commercial company. We operate across a broad spectrum of defense programs. In the fourth quarter of fiscal 2014, we initiated a plan to divest our Mercury Intelligence Systems ("MIS") business. Consequently, its operating results are included in discontinued operations for all periods presented. On January 23, 2015, we completed the sale of the MIS business (see Note Q to the consolidated financial statements).</w:t>
      </w:r>
    </w:p>
    <w:p>
      <w:pPr>
        <w:spacing w:after="0" w:line="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2016, we had 965 employees. Our revenue, income from continuing operations and adjusted EBITDA for fiscal 2016 were $270.2 million, $19.7 million, and $57.3 million, respectively. See the Non-GAAP Financial Measures section for a reconciliation of our income (loss) from continuing operations to adjusted EBITDA.</w:t>
      </w:r>
    </w:p>
    <w:p>
      <w:pPr>
        <w:spacing w:after="0" w:line="60"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6"/>
          <w:szCs w:val="16"/>
          <w:color w:val="auto"/>
        </w:rPr>
        <w:t>We deliver capabilities that combine technology building blocks, deep domain expertise in the defense sector and critical solution areas, and specialized skills in serving the Department of Defense ("DoD") and the intelligence community. Our technologies and capabilities include embedded processing modules and subsystems, radio frequency ("RF") and microwave multi-function assemblies as well as subsystems, and RF and microwave components.</w:t>
      </w:r>
    </w:p>
    <w:p>
      <w:pPr>
        <w:spacing w:after="0" w:line="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applications. In addition, we design and build RF and microwave components and subsystems to meet the needs of the electronic warfare ("EW"), signal intelligence ("SIGINT") and other high bandwidth communications requirements and applications.</w:t>
      </w:r>
    </w:p>
    <w:p>
      <w:pPr>
        <w:spacing w:after="0" w:line="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provide significant capabilities relating to pre-integrated, open, affordable EW, electronic attack ("EA") and electronic counter measure ("ECM") subsystems, and SIGINT and electro-optical/infrared ("EO/IR") processing technologies, and radar environment test and simulation systems. We deploy these solutions on behalf of defense prime contractors and the DoD, leveraging commercially available technologies and solutions (or “building blocks”) from our business as well as other commercial suppliers. We leverage this technology to develop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2016</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2, 2016, we acquired the custom microelectronics, RF and microwave solutions, and embedded security operations from Microsemi Corporation (the “Carve-Out Business”), resulting in the entities comprising the Carve-Out Business becoming 100% owned direct or indirect subsidiaries of Mercury (the “Acquisition”). Under the terms of the Purchase Agreement, we paid $300.0 million in cash on a cash-free, debt-free basis, subject to working capital and other post-closing adjustments.</w:t>
      </w:r>
    </w:p>
    <w:p>
      <w:pPr>
        <w:spacing w:after="0" w:line="52" w:lineRule="exact"/>
        <w:rPr>
          <w:sz w:val="20"/>
          <w:szCs w:val="20"/>
          <w:color w:val="auto"/>
        </w:rPr>
      </w:pPr>
    </w:p>
    <w:p>
      <w:pPr>
        <w:jc w:val="both"/>
        <w:ind w:right="20" w:firstLine="432"/>
        <w:spacing w:after="0" w:line="334" w:lineRule="auto"/>
        <w:rPr>
          <w:sz w:val="20"/>
          <w:szCs w:val="20"/>
          <w:color w:val="auto"/>
        </w:rPr>
      </w:pPr>
      <w:r>
        <w:rPr>
          <w:rFonts w:ascii="Arial" w:cs="Arial" w:eastAsia="Arial" w:hAnsi="Arial"/>
          <w:sz w:val="16"/>
          <w:szCs w:val="16"/>
          <w:color w:val="auto"/>
        </w:rPr>
        <w:t>Net sales for the Carve-Out Business were $99.4 million and $87.2 million for its fiscal years ended September 27, 2015 and September 28, 2014, net income was $6.4 million for its fiscal year ended September 27, 2015 and net loss was ($3.1) million for its fiscal year ended September 28, 2014.</w:t>
      </w:r>
    </w:p>
    <w:p>
      <w:pPr>
        <w:spacing w:after="0" w:line="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Carve-Out Business is a leader in the design, development, and production of sophisticated electronic subsystems and components for use in high-technology products for defense and aerospace markets. The Carve-Out Business’ defense electronics solutions include high-density memory modules, secure solid-state drives, secure GPS receiver modules, high-power RF amplifiers, millimeter-wave modules and subsystems, and specialized software and firmware for anti-tamper applications. The Carve-Out Business’ customers, which include many significant defense prime contractors, outsource many of their electronic design and manufacturing requirements to the Carve-Out Business as a result of its specialized capabilities in packaging electronics for SWaP-constrained environments, its focus on security and the unique requirements of defense applications, and its expertise in RF and microwave technologies. The Carve-Out Business’ products and technologies are used in a variety of defense applications, including missiles and precision munitions, fighter and surveillance aircraft, airport security portals, and advanced electronic systems for radar and EW.</w:t>
      </w:r>
    </w:p>
    <w:p>
      <w:pPr>
        <w:spacing w:after="0" w:line="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During fiscal 2016, we completed a series of important internal organizational changes in order to integrate, align and scale ourselves into one business. In addition, over the past several years, we have completed several acquisitions, culminating with the Acquisition on May 2, 2016 to support our strategy of creating a better alternative for affordable, secure processing subsystems designed and made in the U.S.A. These strategic acquisitions and the associated operational and managerial changes finalized the transformation of the way the Company's executive management team, including the CEO as the chief operating decision maker (“CODM”), manage, evaluate and review the business, including how the CODM allocates resources and assesses performance. Therefore, during the fourth quarter ended June 30, 2016, we eliminated the use of Mercury Commercial Electronics (“MCE”) and Mercury Defense Systems (“MDS”) as reportable segments because the analogous operating segments ceased to exist. We are now comprised of one operating and reportable segment. We utilized the management approach for determining our operating segment in accordance with Financial Accounting Standard Boards (“FASB”) Accounting Standards Codification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(“FASB ASC 280”).</w:t>
      </w:r>
    </w:p>
    <w:p>
      <w:pPr>
        <w:spacing w:after="0" w:line="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December 16, 2015, we acquired Lewis Innovative Technologies, Inc. (“LIT”) for $10.0 million in cash on a cash-free, debt-free basis, subject to working capital and other post-closing adjustments. Embedded systems security has become a requirement for new and emerging military programs, and LIT’s security solutions significantly extend our capabilities and leadership in secure embedded computing, a critical differentiator from our traditional competition. LIT’s solutions, combined with our next-generation secure Intel server-class product line, together with increasingly frequent mandates from the government to secure electronic systems for domestic and foreign military sales, position us well to capitalize on DoD program protection security requirements.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2015</w:t>
      </w:r>
    </w:p>
    <w:p>
      <w:pPr>
        <w:spacing w:after="0" w:line="10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fiscal 2015, we successfully completed the final phase of integration activities relating to our previous acquisitions. The acquisition integration plan included the consolidation of manufacturing facilities, centralization of administrative and manufacturing functions using common information systems and processes, and realignment of research and development resources. Restructuring and other charges in fiscal 2015 amounted to $3.2 million.</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2015, we completed the sale of our former MIS business. Since the fourth quarter of fiscal 2014, MIS has been reported as a discontinued operation for all periods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2014</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moved into our new manufacturing facility in Hudson, New Hampshire providing a platform for continued growth in our RF and microwave product lines. During the year, we consolidated four facilities into the new plant and installed integrated business systems that will allow us to scale our RF and microwave capabilities both organically and through merger and acquisition activities.</w:t>
      </w:r>
    </w:p>
    <w:p>
      <w:pPr>
        <w:spacing w:after="0" w:line="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fiscal 2014, we announced a restructuring plan (“2014 Plan”) that was implemented as part of the final phase of integration activities relating to our recent acquisitions. The integration plan includes the consolidation of manufacturing facilities, centralization of administrative and manufacturing functions using common information systems and processes and rebalancing of research and development investments. The restructuring plan included the elimination of 70 positions largely in engineering, manufacturing and administrative functions. Additionally, we closed four facilities relocating all related activities to the Company's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Advanced Microelectronics Center (“AMC”) in Hudson, New Hampshire. During the fourth quarter of fiscal 2014, we also consolidated facilities at our corporate headquarters. These restructuring and other charges associated with our fiscal 2014 integration plan amounted to $5.4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2016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2015</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statements of operations: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2016</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2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2015</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145,380</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100,801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91,864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23,973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18,355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25,286</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19,742</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14,429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19,742</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Total revenues increased $35.4 million, or 15%, to $270.2 million during fiscal 2016 compared to $234.8 million during fiscal 2015. The increase was driven by higher defense revenues of $46.2 million, offset by lower commercial sales of $10.8 million. The increase in total revenues is primarily attributed to higher SEWIP and F16/SABR program revenues and the inclusion of $16.6 million of revenue from the Carve-Out Business. International revenues, which consist of foreign military sales through prime defense contractor customers and direct sales to non-U.S. based customers, increased by $4.6 million to $49.9 million during fiscal 2016 compared to $45.3 million during fiscal 2015. International revenues represented 19% of total revenues during both fiscal 2016 and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46.2% for fiscal 2016, a decrease of 70 basis points from the 46.9% gross margin achieved in fiscal 2015. The lower gross margin in fiscal 2016 was primarily due to inventory step-up amortization related to the acquisition of the Carve-Out Business. The remaining $2.8 million of inventory step-up will be amortized into cost of goods sold over the first four months of fiscal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increased $3.9 million, or 8%, to $52.9 million during fiscal 2016 as compared to $49.0 million during fiscal 2015. The increase was primarily due to higher compensation related costs and increased headcount driven by the recent acquisition of the Carve-Out Business. Selling, general and administrative expenses decreased as a percentage of revenue to 19.6% during fiscal 2016 from 20.9% during fiscal 2015 due to higher revenues in fiscal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$1.0 million, or 3%, to $33.5 million during fiscal 2016 compared to $32.6 million for fiscal 2015. The increase was primarily due to increased headcount driven by the recent acquisition of the Carve-Out Business and higher compensation related costs, partially offset by increased customer funded development. Research and development expenses accounted for 12.4% and 13.9% of our revenues during fiscal 2016 and fiscal 2015,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of intangible assets increased $1.8 million to $8.8 million during fiscal 2016 compared to $7.0 million for fiscal 2015, primarily due to the amortization of intangible assets resulting from the acquisition of the Carve-Out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HARGES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Restructuring and other charges decreased $1.9 million, or 61%, to $1.2 million during fiscal 2016 compared to $3.2 million in fiscal 2015. The decrease was driven by lower facility restructuring costs in fiscal 2016 as our acquisition integration activities were completed during fiscal 2015. Fiscal 2015 restructuring and other charges included the second and final phases of the Chelmsford, Massachusetts headquarters consolidation and related severance activities. We will incur nominal, periodic restructuring charges through April 2017 if we are unable to sublease the unoccupied portion of our Chelmsford, Massachusetts headquarters.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L</w:t>
      </w:r>
      <w:r>
        <w:rPr>
          <w:rFonts w:ascii="Arial" w:cs="Arial" w:eastAsia="Arial" w:hAnsi="Arial"/>
          <w:sz w:val="14"/>
          <w:szCs w:val="14"/>
          <w:b w:val="1"/>
          <w:bCs w:val="1"/>
          <w:color w:val="auto"/>
        </w:rPr>
        <w:t>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recorded an impairment charge of $0.2 million related to a pre-existing LIT relationship during fiscal 2016, compared to $0.0 million in fiscal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incurred $4.0 million of acquisition costs and other related expenses during fiscal 2016, compared to $0.1 million during fiscal 2015. $2.0 million of the fiscal 2016 costs related to the acquisition of the Carve-Out Business. We expect to incur acquisition costs and other related expenses periodically in the future as we continue to seek acquisition opportunities to expand our capabilities within the entire sensor processing chain.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increased to $0.1 million in fiscal 2016, compared to less than $0.1 million in fiscal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for fiscal 2016 increased $1.1 million to $1.2 million compared to less than $0.1 million in fiscal 2015. The increase was primarily driven by $1.2 million cash and non-cash interest expenses related to the term loan entered into in connection with acquisition of the Carve-Out Business during the fourth quarter of fiscal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income increased $2.0 million to $2.4 million during fiscal 2016 compared to $0.4 million in fiscal 2015. The increase was a result of a $1.9 million gain on the settlement of escrow litigation associated with our fiscal 2012 acquisition of KOR Electronics. Other income included $1.2 million in amortization of the gain on the sale leaseback of our corporate headquarters located in Chelmsford, Massachusetts during fiscal 2016 and 2015.</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2015, we incurred foreign currency exchange losses driven by the weakening Japanese yen against the U.S. dollar. Additionally, other income, net in fiscal 2015 included $0.3 million of bank fees which were classified as selling, general, and administrative expenses in periods prior to the third quarter of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provision of $5.5 million in fiscal 2016 compared to $4.4 million in fiscal 2015. The effective tax rates for fiscal 2016 and fiscal 2015 were 21.9% and 23.2%, respectively.</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effective tax rate for fiscal 2016 differed from the federal statutory rate primarily due to benefits related to research and development tax credits, domestic manufacturing deductions, excess tax benefits for equity compensation and releases for reserves for tax contingencies, partially offset by non-deductible equity compensation.</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difference in the effective tax rates between fiscal 2016 and fiscal 2015 is mainly driven by additional research and development tax credits, excess tax benefits for equity compensation previously accounted for as equity, and a portion of the legal settlement of the escrow litigation associated with our acquisition of KOR Electronics that was classified as a reduction of cost basis in an investment for income tax purposes which occurred in fiscal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a loss from discontinued operations of $4.1 million from the disposal of our MIS business in fiscal 2015. The loss included a $2.3 million impairment of goodwill and a $0.9 million loss on the sale, which was completed on January 23,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2015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2014</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5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2015</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24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2014</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92"/>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113,985</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91,864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Tax provision (benefit)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Total revenues increased $26.1 million, or 13%, to $234.8 million during fiscal 2015 compared to $208.7 million during fiscal 2014. The increase was driven by higher defense revenues of $28.4 million, partially offset by lower commercial sales of $2.3 million. The increase in total revenues is primarily attributed to increases in the F-35, Patriot, and SEWIP programs, partially offset by decreases in the Aegis and Gorgon Stare programs. International revenues, which consist of foreign military sales through prime defense contractor customers and direct sales to non-U.S. based customers, decreased by $6.0 million to $45.3 million during fiscal 2015 compared to $51.3 million during fiscal 2014. The decrease was primarily driven by lower international revenues in the Asia Pacific region. International revenues represented 19% and 25% of total revenues during fiscal 2015 and 2014,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Gross margin was 46.9% for fiscal 2015, an increase of 150 basis points from the 45.4% gross margin achieved in fiscal 2014. The higher gross margin in fiscal 2015 was due to a more favorable product mix, primarily driven by stronger revenues in our higher margin digital signal processing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decreased $4.7 million, or 9%, to $49.0 million during fiscal 2015 as compared to $53.7 million during fiscal 2014. The decrease was primarily due to lower employee compensation expenses from completion of our acquisition integration plan. Selling, general and administrative expenses decreased as a percentage of revenue to 20.9% during fiscal 2015 from 25.7% during fiscal 2014 due to higher revenues in fiscal 2015 coupled with overall expense reductions, as compared to fiscal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expenses decreased $3.1 million, or 9%, to $32.6 million during fiscal 2015 compared to $35.7 million for fiscal 2014. The decrease was primarily due to $6.2 million of higher customer funded development and $0.3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lower depreciation expense, partially offset by $2.2 million of increased employee compensation expenses. Research and development expenses accounted for 13.9% and 17.1% of our revenues during fiscal 2015 and fiscal 2014,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of intangible assets decreased $0.3 million to $7.0 million during fiscal 2015 compared to $7.3 million for fiscal 2014, primarily due to a portion of the Micronetics' related intangible assets being fully amortized during the first quarter of fiscal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HARGES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Restructuring and other charges decreased 42%, or $2.2 million, to $3.2 million during fiscal 2015 compared to $5.4 million in fiscal 2014. In fiscal 2014, we announced a restructuring plan that was implemented as part of the final phase of integration activities relating to our recent acquisitions. This acquisition integration plan included the consolidation of manufacturing facilities, centralization of administrative functions using common information systems and processes, and realignment of research and development resources. In fiscal 2015, our acquisition integration plan was completed and we incurred restructuring and other charges of $3.2 million, but primarily associated with the final phases of the Chelmsford, Massachusetts headquarters consolidation and severance costs.</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fiscal 2014 restructuring activities included the elimination of 70 positions largely in engineering, manufacturing and administrative functions. Additionally, in fiscal 2014 we closed four facilities, relocating all related activities to our Advanced Microelectronics Center ("AMC") in Hudson, New Hampshire and completed the first phase of our Chelmsford, Massachusetts headquarters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incurred $0.1 million of acquisition costs and other related expenses during fiscal 2015. We did not incur any acquisition costs and other related expenses during fiscal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Other income decreased $1.1 million to $0.4 million during fiscal 2015 compared to $1.5 million in fiscal 2014. The decrease was a result of foreign currency exchange losses during fiscal 2015 driven by the weakening Japanese yen against the U.S. dollar as compared to modest gains during fiscal 2014. In addition, other income in fiscal 2015 included $0.3 million of bank fees which were classified as selling, general, and administrative expenses in periods prior to the third quarter of fiscal 2015. Other income included $1.2 million in amortization of the gain on the sale leaseback of our corporate headquarters located in Chelmsford, Massachusetts during fiscal 2015 and 2014. Interest income and interest expense for fiscal years 2015 and 2014 were de minimis.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provision of $4.4 million in fiscal 2015 compared to an income tax benefit of $1.8 million in fiscal 2014. The effective tax rates for fiscal 2015 and fiscal 2014 were 23.2% and 31.1%, respectively.</w:t>
      </w:r>
    </w:p>
    <w:p>
      <w:pPr>
        <w:spacing w:after="0" w:line="3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effective tax rate for fiscal 2015 differed from the federal statutory rate primarily due to benefits related to research and development tax credits, domestic manufacturing deductions and releases of reserves for tax contingencies, partially offset by non-deductible equity compensation.</w:t>
      </w:r>
    </w:p>
    <w:p>
      <w:pPr>
        <w:spacing w:after="0" w:line="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difference in the effective tax rates for fiscal 2015 and fiscal 2014 is mainly driven by tax reserves released during fiscal 2015 as a result of the expiration of applicable statutes of limitations, tax rate changes recorded in fiscal 2015, and additional deductions for stock-based compensation in fiscal 2015 compared to a shortfall in fiscal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incurred a loss from discontinued operations of $4.1 million in fiscal 2015 compared to a loss from discontinued operations of $7.4 million in fiscal 2014. The losses from discontinued operations included $2.3 million and $6.7 million impairments of goodwill in our MIS business in fiscal 2015 and 2014, respectively. In addition, fiscal 2015 included a $0.9 million loss on the sale of the MIS business, which was completed on January 23,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2016, our primary sources of liquidity came from existing cash and cash generated from operations, our follow on equity offering and entering into our term loan and new revolving credit facility. Our near-term fixed commitments for cash expenditures consist primarily of payments under operating leases, inventory purchase commitments with our contract manufacturers, and interest and principal payments under our term loan. We do not currently have any material commitments for capital expenditures.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revolving credit facility, cash generated from operations, and financing capabilities will be sufficient to satisfy our anticipated cash requirements for at least the next twelve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46"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52" w:lineRule="exact"/>
        <w:rPr>
          <w:sz w:val="20"/>
          <w:szCs w:val="20"/>
          <w:color w:val="auto"/>
        </w:rPr>
      </w:pPr>
    </w:p>
    <w:p>
      <w:pPr>
        <w:ind w:left="60" w:right="20" w:firstLine="432"/>
        <w:spacing w:after="0" w:line="391" w:lineRule="auto"/>
        <w:rPr>
          <w:sz w:val="20"/>
          <w:szCs w:val="20"/>
          <w:color w:val="auto"/>
        </w:rPr>
      </w:pPr>
      <w:r>
        <w:rPr>
          <w:rFonts w:ascii="Arial" w:cs="Arial" w:eastAsia="Arial" w:hAnsi="Arial"/>
          <w:sz w:val="18"/>
          <w:szCs w:val="18"/>
          <w:color w:val="auto"/>
        </w:rPr>
        <w:t xml:space="preserve">We have approximately $400.0 million of availability remaining under the shelf registration statement after the April 4, 2016 follow-on equity offering. </w:t>
      </w:r>
      <w:r>
        <w:rPr>
          <w:rFonts w:ascii="Arial" w:cs="Arial" w:eastAsia="Arial" w:hAnsi="Arial"/>
          <w:sz w:val="18"/>
          <w:szCs w:val="18"/>
          <w:b w:val="1"/>
          <w:bCs w:val="1"/>
          <w:i w:val="1"/>
          <w:iCs w:val="1"/>
          <w:color w:val="auto"/>
        </w:rPr>
        <w:t>Follow-on Equity Offering</w:t>
      </w:r>
    </w:p>
    <w:p>
      <w:pPr>
        <w:spacing w:after="0" w:line="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4, 2016, we commenced an offering of 4.5 million shares of our common stock pursuant to an underwritten public offering (the “Offering”). In connection with the Offering, we granted the underwriters an over-allotment option for 30 days to purchase up to an additional 0.7 million shares of our common stock. The Offering was made pursuant to a shelf registration statement previously filed with the SEC on August 15, 2014. On April 13, 2016, we closed the Offering, including the full over-allotment allocation, selling an aggregate of 5.2 million shares of common stock for total net proceeds of $94.4 million after underwriting fees of $5.2 million. Total fees and expenses associated with the equity offering were $6.9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Facilities</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May 2, 2016, we and certain of our subsidiaries, as guarantors, entered into a Credit Agreement (the “Credit Agreement”) with a syndicate of commercial banks and Bank of America, N.A acting as the administrative agent. The Credit Agreement provides for a $200.0 million term loan facility ("Term Loan") and a $100.0 million revolving credit facility ("Revolver"). In connection with the issuance of Term Loan, we incurred $8.0 million of debt issuance costs, which are recorded as a direct reduction to long-term debt on the face of the 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has a five year maturity subject to the amortization payments described below. The Revolver has a five year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 and Fees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Credit Agreement bear interest, at our option, at floating rates tied to LIBOR or the prime rate plus an applicable percentage. The applicable percentage has initially been set at 2.0% and in future fiscal quarters will be established pursuant to a pricing grid based on our total net leverage ratio. In addition to interest on the aggregate outstanding principal amounts of any borrowings, we will also pay a quarterly commitment fee on the unutilized commitments under the Revolver, which fee has initially been set at 0.3% per annum and in future fiscal quarters will be established pursuant to a pricing grid based on our total net leverage ratio. We will also pay customary letter of credit and agency fees. As of June 30, 2016, the stated interest rate of Term Loan was 2.6%.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Credit Agreement provides for quarterly amortization payments on the Term Loan, beginning with 5.0% per annum amortization and increasing to 12.5% per annum amortization over the five year term of the Term Loan. We are required to make mandatory prepayments of the term loans with the proceeds of certain non-ordinary course asset sales or the proceeds of certain debt issuances. Subject to minimum notice requirements, borrowings under the Credit Agreement may be voluntarily prepaid at any time without premium or penalty.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Events of Default</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Credit Agreement provides for customary negative covenants, including, among other things and subject to certain significant exceptions, restrictions on the incurrence of debt or guarantees, the creation of liens, the making of certain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loans and acquisitions, mergers and dissolutions, the sale of assets including capital stock of subsidiaries, the payment of dividends, the repayment or amending of junior debt, altering the business conducted, engaging in transactions with affiliates and entering into agreements limiting subsidiary dividends and distributions. The Credit Agreement also requires us to comply with certain financial covenants, including a quarterly minimum consolidated cash interest charge ratio test and a quarterly maximum consolidated total net leverage ratio test. The Credit Agreement also provides for customary representations and warranties, affirmative covenants and events of default (including, among others, the failure to make required payments of principal and interest, certain insolvency events, and an event of default upon a change of control). If an event of default occurs, the lenders under the Credit Agreement will be entitled to take various actions, including the acceleration of amounts due under the Credit Agreement and all actions permitted to be taken by a secured creditor. As of June 30, 2016, we were in compliance with all covenants and conditions under the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obligations under the Credit Agreement are guaranteed by certain of our material domestic wholly-owned restricted subsidiaries (the “Guarantors”). The obligations of both us and the Guarantors are secured by a perfected security interest in substantially all of our and the Guarantors assets, in each case, now owned or later acquired, including a pledge of all of the capital stock of substantially all of our domestic wholly-owned restricted subsidiaries and 65% of the capital stock of certain of our foreign restricted subsidiaries, subject in each case to the exclusion of certain assets and additional exceptions. The foregoing description of the Credit Agreement does not purport to be complete and is qualified in its entirety by reference to the full text of the Credit Agreement, a copy of which is filed as Exhibit 10.1 to our Current Report on Form 8-K dated May 2,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Credit Agreement with KeyBank</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October 12, 2012, we entered into a credit agreement with a syndicate of commercial banks, with KeyBank National Association acting as the administrative agent. The credit agreement provided for a $200.0 million senior unsecured revolving line of credit. In connection with the closing of the acquisition of the Carve-Out Business and entering into the new Credit Agreement discussed above, we terminated our credit agreement with KeyBank on May 2,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14"/>
                <w:szCs w:val="14"/>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8"/>
              </w:rPr>
              <w:t>June 30, 2014</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As of and for the fiscal year ended</w:t>
            </w: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(318,208)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30,299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81,691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77,586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cash and cash equivalents increased by $4.1 million during fiscal 2016 primarily as a result of $192.0 million in net borrowings against our term loan, $92.8 million net proceeds from our equity offering, and $36.9 million in cash generated by operating activities, partially offset by $309.8 million used in two business acquisitions, $8.0 million used in share repurchases, and $7.9 million in purchases of property and equipment.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fiscal 2016, we generated $36.9 million in cash from operating activities, an increase of $4.7 million when compared to $32.2 million in cash generated from operating activities in fiscal 2015. The increase in cash generated by operating activities was primarily a result of $9.4 million of higher comparable net income, $19.3 million less in cash used for accounts payable and accrued expenses and $10.5 million less in prepaid expenses and other current assets. The increase in cash generated from operating activities was partially offset by a $31.3 million decrease in accounts receivable collections.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4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fiscal 2015, we generated $32.2 million in cash from operating activities, an increase of $18.0 million when compared to $14.2 million in cash generated from operating activities in fiscal 2014. The increase in cash generated by operating activities was primarily a result of $21.8 million of higher comparable net income, $18.4 million increase in accounts receivable collections, and $4.5 million generated from lower deferred income taxes. The increase in cash generated from operating activities was partially offset by a $11.8 million increase in cash used for prepaid expenses and other current assets, $6.2 million in higher inventory purchases, and a $4.4 million decrease in non-cash activity from the impairment of goodwill associated with our MIS discontinued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color w:val="auto"/>
        </w:rPr>
        <w:t>During fiscal 2016, we used cash of $318.2 million in investing activities compared to $5.6 million used during fiscal 2015. The $312.6 million increase in cash used in investing activities was primarily due to $300.0 million used to acquire the Carve-Out Business and $9.8 million for the LIT acquisition.</w:t>
      </w:r>
    </w:p>
    <w:p>
      <w:pPr>
        <w:spacing w:after="0" w:line="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2015, we used cash of $5.6 million in investing activities compared to $6.7 million used during fiscal 2014. Driving the $1.1 million decrease in cash used in investing activities were fewer purchases of property and equipment of $0.7 million and proceeds generated from the sale of our MIS business of $0.9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fiscal 2016, we generated $284.9 million from financing activities compared to $3.9 million cash generated from financing activities during fiscal 2015. The $281.0 million increase in cash generated by financing activities was primarily due to a $192.0 million net borrowing against the term loan and $92.8 million net proceeds from the equity offering in connection to the Carve-Out Business acquisition.</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fiscal 2015, we generated $3.9 million from financing activities compared to $0.7 million cash generated from financing activities during fiscal 2014. The $3.2 million change in cash from financing activities was primarily due to a $3.1 million increase in proceeds from employee stock plans and $0.9 million increase in excess tax benefit from stock-based compensation compared to fiscal 2014, partially offset by $0.9 million of retired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Less Than</w:t>
            </w:r>
          </w:p>
        </w:tc>
        <w:tc>
          <w:tcPr>
            <w:tcW w:w="320" w:type="dxa"/>
            <w:vAlign w:val="bottom"/>
          </w:tcPr>
          <w:p>
            <w:pPr>
              <w:spacing w:after="0"/>
              <w:rPr>
                <w:sz w:val="14"/>
                <w:szCs w:val="14"/>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32,195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Debt principal payment obligations </w:t>
            </w:r>
            <w:r>
              <w:rPr>
                <w:rFonts w:ascii="Arial" w:cs="Arial" w:eastAsia="Arial" w:hAnsi="Arial"/>
                <w:sz w:val="14"/>
                <w:szCs w:val="14"/>
                <w:color w:val="auto"/>
              </w:rPr>
              <w:t>(1)</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275,826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48,213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173,357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firstLine="8"/>
        <w:spacing w:after="0" w:line="273" w:lineRule="auto"/>
        <w:tabs>
          <w:tab w:leader="none" w:pos="20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Interest payments are due quarterly on the outstanding term loan. Future interest payments are not included in the schedule of commitments and contractual obligations due to the variable nature of the interest rate.</w:t>
      </w:r>
    </w:p>
    <w:p>
      <w:pPr>
        <w:spacing w:after="0" w:line="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a liability at June 30, 2016 of $1.6 million for uncertain tax positions that have been taken or are expected to be taken in various income tax returns. As of June 30, 2016, the IRS has presented an agreement that would lead to the conclusion of the audit; the Company continues to negotiate specific terms of this agreement. It is reasonably possible that within the next 12 months the Company’s unrecognized tax benefits, exclusive of interest, may decrease by up to $0.8 million at the conclusion of the audit. We do not know the ultimate resolution of these uncertain tax positions and as such, do not know the ultimate timing of payments related to this liability. Accordingly, these amounts are not included in the above table.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commitments covered by these agreements are for less than one year and aggregated $32.2 million at June 30, 2016.</w:t>
      </w:r>
    </w:p>
    <w:p>
      <w:pPr>
        <w:spacing w:after="0" w:line="7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5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connection with the sale of our former MIS business, we provided indemnification to the buyer of the business. Our indemnification obligations generally cover the buyer for damages resulting from breaches of representations, warranties and covenants contained in the purchase and sale agreement and generally cover pre-closing tax liabilities of the business. Our indemnification obligations regarding the MIS business are generally subject to caps.</w:t>
      </w:r>
    </w:p>
    <w:p>
      <w:pPr>
        <w:spacing w:after="0" w:line="12"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may elect from time to time to purchase and subsequently retire shares of common stock in order to settle an individual employees’ tax liability associated with vesting of a restricted stock award. These transactions would be treated as a use of cash in financing activities in our statement of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2016 and 2015, we did not engage in any related party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certain important measures that are not calculated according to U.S. generally accepted accounting principles (“GAAP”), adjusted EBITDA, adjusted income from continuing operations, adjusted earnings per share ("adjusted EPS") and free cash flow.</w:t>
      </w:r>
    </w:p>
    <w:p>
      <w:pPr>
        <w:spacing w:after="0" w:line="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Adjusted EBITDA is defined as earnings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our income (loss) from continuing operations, the most directly comparable GAAP financial measure, to our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 and financing costs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Litigation and settlement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44,414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23,522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Adjusted income from continuing operations and adjusted EPS exclude the impact of certain items and, therefore, have not been calculated in accordance with GAAP. We believe that exclusion of these items assists in providing a more complete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understanding of our underlying continuing operations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from continuing operations as income from continuing operations before amortization of intangible assets, restructuring and other charges, impairment of long-lived assets, acquisition and financing costs, fair value adjustments from purchase accounting, litigation and settlement income and expenses, stock-based compensation expense, and the tax impact of those items. Adjusted EPS expresses adjusted income from continuing operations on a per share basis using weighted average diluted shares outstanding.</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income from continuing operations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from continuing operations and adjusted EPS financial adjustments described above, and investors should not infer from our presentation of these non-GAAP financial measures that these costs are unusual, infrequent or non-recurring.</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reconciles income (loss) from continuing operations and diluted earnings (loss) per share, the most directly comparable GAAP measures, to adjusted income from continuing operations and adjusted EPS: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4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Income (loss) from continuing operations and diluted earnings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(loss) per share</w:t>
            </w:r>
          </w:p>
        </w:tc>
        <w:tc>
          <w:tcPr>
            <w:tcW w:w="4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 xml:space="preserve">Fair value adjustments from purchase accounting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Litigation and settlement (income) expenses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0"/>
              </w:rPr>
              <w:t>Impact to income taxes</w:t>
            </w:r>
          </w:p>
        </w:tc>
        <w:tc>
          <w:tcPr>
            <w:tcW w:w="4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93"/>
                <w:shd w:val="clear" w:color="auto" w:fill="CCEEFF"/>
              </w:rPr>
              <w:t>(2)</w:t>
            </w:r>
          </w:p>
        </w:tc>
        <w:tc>
          <w:tcPr>
            <w:tcW w:w="2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Adjusted income from continuing operations and adjusted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33,814</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0.96</w:t>
            </w: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26,970</w:t>
            </w:r>
          </w:p>
        </w:tc>
        <w:tc>
          <w:tcPr>
            <w:tcW w:w="10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Fiscal 2016 fair value adjustments from purchase accounting relates to Carve-Out Business inventory step up amortization.</w:t>
      </w:r>
    </w:p>
    <w:p>
      <w:pPr>
        <w:spacing w:after="0" w:line="13" w:lineRule="exact"/>
        <w:rPr>
          <w:rFonts w:ascii="Arial" w:cs="Arial" w:eastAsia="Arial" w:hAnsi="Arial"/>
          <w:sz w:val="14"/>
          <w:szCs w:val="14"/>
          <w:color w:val="auto"/>
        </w:rPr>
      </w:pPr>
    </w:p>
    <w:p>
      <w:pPr>
        <w:ind w:firstLine="8"/>
        <w:spacing w:after="0" w:line="255" w:lineRule="auto"/>
        <w:tabs>
          <w:tab w:leader="none" w:pos="2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Impact to income taxes is calculated by taking the tax provision as determined for GAAP purposes and subtracting a recalculated tax provision that excludes the effect of all items added back in determining adjusted EBITDA.</w:t>
      </w:r>
    </w:p>
    <w:p>
      <w:pPr>
        <w:spacing w:after="0" w:line="5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3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14,241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recognize revenue using three different types of accounting methods: ship and bill, multiple-deliverable arrangements and contract accounting which encompass the percentage of completion, completed contract and time and materials methods. Ship and bill revenues, multiple-deliverable arrangements and contract accounting revenues totaled 35%, 37%, and 28% of total Company revenues in fiscal 2016, respectively.</w:t>
      </w:r>
    </w:p>
    <w:p>
      <w:pPr>
        <w:spacing w:after="0" w:line="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from system sales is recognized upon shipment utilizing the ship and bill method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multiple-deliverable revenue arrangements that may include a combination of hardware components, related integration or other services, we allocate revenue to each deliverable based on its relative fair value. We generally determine relative selling price using best estimate of the selling price (“BESP”). We determine BESP for each deliverable using a bottoms-up cost plus expected margin approach.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w:t>
      </w:r>
    </w:p>
    <w:p>
      <w:pPr>
        <w:spacing w:after="0" w:line="2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also have long term production type contracts that are primarily fixed-price for which we apply the percentage-of-completion method for revenue recognition. These long-term contracts involve the design, development, manufacture, or modification of complex electronic equipment and related services. Under this method, revenue is recognized based on the extent of progress towards completion of the long-term contract.</w:t>
      </w:r>
    </w:p>
    <w:p>
      <w:pPr>
        <w:spacing w:after="0" w:line="30"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Application of the percentage-of-completion method requires significant judgment relative to estimating total contract costs, including assumptions relative to the length of time to complete the contract, the nature and complexity of the work to be performed, labor productivity, anticipated increases in wages and prices for subcontractor services and materials, the availability of our subcontractor’s services and materials, the availability and timing of funding from our customer, and overhead rates, among other variables. We primarily use the cost-to-cost measure of progress for our long-term contracts. Under the cost-to-cost measure of progress, the extent of progress towards completion is measured based on the ratio of costs incurred to date to the total estimated costs at completion of the contracts. Our estimates are based upon the professional knowledge and experience of our engineers, program managers and finance professionals, who review each long-term contract monthly to assess the contract's schedule, performance, technical matters and estimated cost at completion.</w:t>
      </w:r>
    </w:p>
    <w:p>
      <w:pPr>
        <w:spacing w:after="0" w:line="3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 may adversely affect our gross margins for the period in which the contract is modified or canceled. Changes in estimates are applied retrospectively and when adjustments in estimated contract costs are identified, such revisions may result in current period adjustments to earnings applicable to performance in prior periods. For time and materials contracts, revenue reflects the number of direct labor hours expended in the performance of a contract multiplied by the contract billing rate, as well as reimbursement of other billable direct costs. The completed contract method is utilized when reasonable and reliable cost estimates for a project cannot be made.</w:t>
      </w:r>
    </w:p>
    <w:p>
      <w:pPr>
        <w:spacing w:after="0" w:line="5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analysis of these contracts also contemplates whether contracts should be combined or segmented in accordance with the applicable criteria under GAAP. We combine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we may segment a project, which may consist of a single contract or group of contracts, with varying rates of profitability, only if the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 For all types of contracts, we recognize anticipated contract losses as soon as they become known and estimable. These losses are recognized in advance of contract performance and as of June 30, 2016, approximately $1.0 million of these costs were in accrued expenses on our balance sheet.</w:t>
      </w:r>
    </w:p>
    <w:p>
      <w:pPr>
        <w:spacing w:after="0" w:line="5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do not provide our customers with rights of product return, other than those related to warranty provisions that permit repair or replacement of defective goods. We accrue for anticipated warranty costs upon product shipment. Our payment terms generally range from 30 to 90 days from invoice date based on the nature of the contracts, customers' geographic locations and customer type.</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are less than 10 percent of total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r>
        <w:rPr>
          <w:rFonts w:ascii="Arial" w:cs="Arial" w:eastAsia="Arial" w:hAnsi="Arial"/>
          <w:sz w:val="18"/>
          <w:szCs w:val="18"/>
          <w:i w:val="1"/>
          <w:iCs w:val="1"/>
          <w:color w:val="auto"/>
        </w:rPr>
        <w:t xml:space="preserve"> V</w:t>
      </w:r>
      <w:r>
        <w:rPr>
          <w:rFonts w:ascii="Arial" w:cs="Arial" w:eastAsia="Arial" w:hAnsi="Arial"/>
          <w:sz w:val="14"/>
          <w:szCs w:val="14"/>
          <w:i w:val="1"/>
          <w:iCs w:val="1"/>
          <w:color w:val="auto"/>
        </w:rPr>
        <w:t>ALUATION</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 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w:t>
      </w:r>
      <w:r>
        <w:rPr>
          <w:rFonts w:ascii="Arial" w:cs="Arial" w:eastAsia="Arial" w:hAnsi="Arial"/>
          <w:sz w:val="18"/>
          <w:szCs w:val="18"/>
          <w:i w:val="1"/>
          <w:iCs w:val="1"/>
          <w:color w:val="auto"/>
        </w:rPr>
        <w:t>,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 AND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1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evaluate our goodwill for impairment annually in the fourth quarter and in any interim period in which events or circumstances arise that indicate our goodwill may be impaired.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 On May 2, 2016, we closed the transaction with Microsemi Corporation to acquire the Carve-Out Business. The Carve-Out Business was treated as a separate reporting unit as of June 30, 2016 under ASC 350. There were no interim triggering events for MCE or MDS reporting units.</w:t>
      </w:r>
    </w:p>
    <w:p>
      <w:pPr>
        <w:spacing w:after="0" w:line="2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The income approach requires the use of many assumptions and estimates including future revenues, expenses, capital expenditures, and working capital, as well as discount factors and income tax rates. In addition, the Company uses the market approach, which compares the reporting unit to publicly-traded companies and transactions involving similar businesses, to support the conclusions of the income approach.</w:t>
      </w:r>
    </w:p>
    <w:p>
      <w:pPr>
        <w:spacing w:after="0" w:line="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part of our annual goodwill impairment testing performed on May 31, 2016, we utilized the income approach to determine the fair value of our MCE, MDS and Carve-Out Business reporting units. As part of our annual goodwill impairment testing, we utilized a discount rate for each of our reporting units that we believe represents the risks that our businesses face, considering their sizes, the current economic environment, and other industry data we believe is appropriate. The discount rates for MCE and MDS were 9% and 10%, respectively. The annual testing indicated that the fair values of our MCE and MDS reporting units significantly exceeding their carrying values, and thus no further testing was required. A one percent change in the discount rate of either reporting unit would still result in significant excess of fair value over carrying value. We performed a fair value assessment of the Carve-Out Business as of May 2, 2016 using the income approach based upon a discounted cash flow model, which we also utilized for our May 31, 2016 impairment test because of the proximity in time and no changes in financial projections.</w:t>
      </w:r>
    </w:p>
    <w:p>
      <w:pPr>
        <w:spacing w:after="0" w:line="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review finite-lived intangible assets and long-lived assets when indications of potential impairment exist, such as a significant reduction in undiscounted cash flows associated with the assets. Should the fair value of our long-lived assets decline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reduced operating performance, market declines, or other indicators of impairment, a charge to operations for impairment may be necessary. None such impairment indicators existed during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spacing w:after="0" w:line="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evaluating our ability to recover deferred tax assets, we consider all available positive and negative evidence, including our past operating results, our forecast of future earnings, future taxable income, and tax planning strategies. The assumptions utilized in determining future taxable income require significant judgment. We record a valuation allowance against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We reevaluate our uncertain tax positions on a quarterly basis and any changes to these positions as a result of tax audits, tax laws or other facts and circumstances could result in additional charges to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OMBINATIONS</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utilize the acquisition method of accounting for business combinations and allocate the purchase price of an acquisition to the various tangible and intangible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 Other estimates include:</w:t>
      </w:r>
    </w:p>
    <w:p>
      <w:pPr>
        <w:spacing w:after="0" w:line="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step-ups for the fixed assets and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fair values of intangible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income tax assets and liabilities assumed from the acquiree.</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While we use our best estimates and assumptions as part of the purchase price allocation process to accurately value assets acquired and liabilities assumed at the business acquisition date, our estimates and assumptions are inherently uncertain and subject to refinement. As a result, during the purchase price allocation period, which is generally one year from the business acquisition date, we record adjustments to the assets acquired and liabilities assumed, with the corresponding offset to goodwill. For changes in the valuation of intangible assets between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4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Simplifying Income Statement Presentation by Eliminating the Concept of Extraordinary Items</w:t>
      </w:r>
      <w:r>
        <w:rPr>
          <w:rFonts w:ascii="Arial" w:cs="Arial" w:eastAsia="Arial" w:hAnsi="Arial"/>
          <w:sz w:val="18"/>
          <w:szCs w:val="18"/>
          <w:color w:val="auto"/>
        </w:rPr>
        <w:t>,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interim and annual periods in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 amendment of the FASB Accounting Standards Codification. This ASU requires lessees to recognize a right-of-use asset and lease liability for most lease arrangements. This ASU 2016-02 is effective for public business entities for annual and interim periods in fiscal years beginning after December 15, 2018. The standard mandates a modified retrospective transition method for all entities and early adoption is permitted. We are evaluating the effect that ASU 2016-02 will have on our consolidated financial statements and related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October 1, 2015, we adopted FASB ASU No. 2014-17,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Such adoption did not have any impact to our consolidated financial statements.</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Effective January 1, 2016, we adopted FASB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an amendment of the FASB Accounting Standards Codification. This ASU eliminates the requirement for an acquirer to retrospectively adjust the financial statements for measurement-period adjustments that occur in periods after a business combination is consummated. Such adoption did not have any impact to our consolidated financial statements.</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April 1, 2016 we adopted FASB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an amendment of the FASB Accounting Standards Codification. This ASU simplifies the presentation of deferred taxes by requiring deferred tax assets and liabilities be classified as non-current on the balance sheet. The ASU is effective for us on July 1, 2017; however, we have elected to early adopt as permitted by the guidance. Upon adoption, we presented deferred taxes as non-current on the consolidated balance sheets on a retrospective basis. Such adoption did not have a material impact on our financial position or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adjustments made as of June 30, 2015 to conform prior period classifications with the new guidance:</w:t>
      </w: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Balance Sheet Line Item</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Prior to</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Increase / (Decrease)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deferred income tax assets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900" w:type="dxa"/>
            <w:vAlign w:val="bottom"/>
          </w:tcPr>
          <w:p>
            <w:pPr>
              <w:ind w:left="20"/>
              <w:spacing w:after="0"/>
              <w:rPr>
                <w:sz w:val="20"/>
                <w:szCs w:val="20"/>
                <w:color w:val="auto"/>
              </w:rPr>
            </w:pPr>
            <w:r>
              <w:rPr>
                <w:rFonts w:ascii="Arial" w:cs="Arial" w:eastAsia="Arial" w:hAnsi="Arial"/>
                <w:sz w:val="18"/>
                <w:szCs w:val="18"/>
                <w:color w:val="auto"/>
              </w:rPr>
              <w:t>Long-term deferred income tax assets</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4"/>
                <w:szCs w:val="24"/>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tax assets</w:t>
            </w: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deferred income tax liabilities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260"/>
              <w:spacing w:after="0"/>
              <w:rPr>
                <w:sz w:val="20"/>
                <w:szCs w:val="20"/>
                <w:color w:val="auto"/>
              </w:rPr>
            </w:pPr>
            <w:r>
              <w:rPr>
                <w:rFonts w:ascii="Arial" w:cs="Arial" w:eastAsia="Arial" w:hAnsi="Arial"/>
                <w:sz w:val="18"/>
                <w:szCs w:val="18"/>
                <w:color w:val="auto"/>
              </w:rPr>
              <w:t>Total tax liabilities</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2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Effective April 1, 2016, we adopted FASB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an amendment of the FASB Accounting Standards Codification. This ASU was issued as part of the FASB’s simplification initiative, and intends to improve the accounting for share-based payment transactions. The ASU changes several aspects of the accounting for share-based payment award transactions, including: (1) accounting for excess tax benefits and shortfalls, (2) forfeitures, (3) tax withholding requirements, and (4) cash flow classifications. The ASU is effective for us on July 1, 2017; however, we have elected to early adopt on a prospective basis as of the first day of our fiscal year (July 1, 2015) as permitted by the guidance.</w:t>
      </w:r>
    </w:p>
    <w:p>
      <w:pPr>
        <w:spacing w:after="0" w:line="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adoption, recognition of excess tax benefits and tax shortfalls resulted in the recognition of $1,100 of excess tax benefits as a benefit to income taxes in our consolidated statements of operations and comprehensive income (loss). In addition, cash flows related to excess tax benefits will no longer be separately classified as a financing activity apart from other income tax cash flows. We have elected to continue to estimate expected forfeitures of employee equity awards to determine the amount of compensation expense to be recognized in each year and the changes in tax withholding requirements had no impact to our consolidated financial statements in fiscal 2016.</w:t>
      </w:r>
    </w:p>
    <w:p>
      <w:pPr>
        <w:spacing w:after="0" w:line="51"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color w:val="auto"/>
        </w:rPr>
        <w:t xml:space="preserve">Effective April 1, 2016, we adopted FASB ASU 2015-03, </w:t>
      </w:r>
      <w:r>
        <w:rPr>
          <w:rFonts w:ascii="Arial" w:cs="Arial" w:eastAsia="Arial" w:hAnsi="Arial"/>
          <w:sz w:val="16"/>
          <w:szCs w:val="16"/>
          <w:i w:val="1"/>
          <w:iCs w:val="1"/>
          <w:color w:val="auto"/>
        </w:rPr>
        <w:t>Simplifying the Presentation of Debt Issuance Costs</w:t>
      </w:r>
      <w:r>
        <w:rPr>
          <w:rFonts w:ascii="Arial" w:cs="Arial" w:eastAsia="Arial" w:hAnsi="Arial"/>
          <w:sz w:val="17"/>
          <w:szCs w:val="17"/>
          <w:i w:val="1"/>
          <w:iCs w:val="1"/>
          <w:color w:val="auto"/>
        </w:rPr>
        <w:t>,</w:t>
      </w:r>
      <w:r>
        <w:rPr>
          <w:rFonts w:ascii="Arial" w:cs="Arial" w:eastAsia="Arial" w:hAnsi="Arial"/>
          <w:sz w:val="16"/>
          <w:szCs w:val="16"/>
          <w:color w:val="auto"/>
        </w:rPr>
        <w:t xml:space="preserve"> an amendment of the FASB Accounting Standards Codification. This ASU requires entities to present debt issuance costs related to a recognized debt liability on the balance sheet as a direct deduction from the debt liability, similar to the presentation of debt discounts. Upon adoption, we no longer record the cost of issuing debt as a separate deferred financing asset. In the fourth quarter of fiscal 2016, we entered into an credit agreement to borrow a $200.0 million term loan. We incurred debt issuance costs of $8.0 million which were recorded as a direct deduction to our long term debt and will be amortized over the term of the loan.</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interest rate risk is related primarily to our investment portfolio, term loan and revolving credit facility.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w:t>
      </w:r>
    </w:p>
    <w:p>
      <w:pPr>
        <w:spacing w:after="0" w:line="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term loan is subject to interest rate risk since it is variable interest rate long-term debt. The estimated fair value of our outstanding debt was $200.0 million at June 30, 2016 and the outstanding principal amount was $200.0 million, excluding unamortized discounts and deferred financing costs of $7.7 million. A one percent change in the level of interest rates would result in $2.0 million change in pre-tax income for the fiscal year ended June 30, 2017.</w:t>
      </w:r>
    </w:p>
    <w:p>
      <w:pPr>
        <w:spacing w:after="0" w:line="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are exposed to the impact of interest rate changes primarily through our borrowing activities. For our variable rate borrowings, we may use fixed interest rate swaps, effectively converting variable rate borrowings to fixed rate borrowings in order to mitigate the impact of interest rate changes on earnings. These swaps will be designated as cash flow hedges. There were no swaps outstanding at June 30,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cash equivalents and accounts receivable. We place our cash and cash equivalents with financial institutions that we believe are of high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quality. At June 30, 2016 and 2015, we had $81,691 and $77,586, respectively, of cash and cash equivalents on deposit or invested with our financial and lending institutions.</w:t>
      </w:r>
    </w:p>
    <w:p>
      <w:pPr>
        <w:spacing w:after="0" w:line="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provide credit to customers in the normal course of business. We perform ongoing credit evaluations of our customers’ financial condition and limit the amount of credit extended when deemed necessary. At June 30, 2016, five customers accounted for 50% of our receivables, unbilled receivables and costs in excess of billings. At June 30, 2015, five customers accounted for 55% of our receivables, unbilled receivables and costs in excess of billings.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local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5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6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Mercury Systems, Inc. and subsidiaries as of June 30, 2016 and 2015, and the related consolidated statements of operations and comprehensive income (loss), shareholders’ equity, and cash flows for each of the years in the three-year period ended June 30, 2016. In connection with our audits of the consolidated financial statements, we also have audited financial statement schedule II. We also have audited Mercury Systems, Inc.’s internal control over financial reporting as of June 30, 2016,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Mercury Systems,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Mercury Systems, Inc. and subsidiaries as of June 30, 2016 and 2015, and the results of their operations and their cash flows for each of the years in the three-year period ended June 30, 2016,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Systems, Inc. maintained, in all material respects, effective internal control over financial reporting as of June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Mercury Systems, Inc. and subsidiaries acquired the custom microelectronics, RF and microwave solutions, and embedded security operations from Microsemi Corporation (the Carve-Out Business) during fiscal year 2016, and management excluded from its assessment of the effectiveness of Mercury Systems, Inc. and subsidiaries’ internal control over financial reporting as of June 30, 2016, the Carve-Out Business’ internal control over financial reporting associated with 46 percent of total consolidated assets (of which 37 percent represented goodwill and intangible assets included within the scope of the assessment) and 6 percent of total consolidated revenues included in the consolidated financial statements of Mercury Systems, Inc. and subsidiaries as of and for the year ended June 30, 2016. Our audit of internal control over financial reporting of Mercury Systems, Inc. and subsidiaries also excluded an evaluation of the internal control over financial reporting of the Carve-Out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August 16,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66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 AND SUPPLEMENTARY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MERCURY SYSTEMS,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jc w:val="center"/>
              <w:ind w:left="2230"/>
              <w:spacing w:after="0"/>
              <w:rPr>
                <w:sz w:val="20"/>
                <w:szCs w:val="20"/>
                <w:color w:val="auto"/>
              </w:rPr>
            </w:pPr>
            <w:r>
              <w:rPr>
                <w:rFonts w:ascii="Arial" w:cs="Arial" w:eastAsia="Arial" w:hAnsi="Arial"/>
                <w:sz w:val="18"/>
                <w:szCs w:val="18"/>
                <w:color w:val="auto"/>
                <w:w w:val="87"/>
              </w:rPr>
              <w:t>(In thousands, except share and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7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77,586</w:t>
            </w:r>
          </w:p>
        </w:tc>
      </w:tr>
      <w:tr>
        <w:trPr>
          <w:trHeight w:val="229"/>
        </w:trPr>
        <w:tc>
          <w:tcPr>
            <w:tcW w:w="20" w:type="dxa"/>
            <w:vAlign w:val="bottom"/>
          </w:tcPr>
          <w:p>
            <w:pPr>
              <w:spacing w:after="0"/>
              <w:rPr>
                <w:sz w:val="19"/>
                <w:szCs w:val="19"/>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w w:val="96"/>
              </w:rPr>
              <w:t>Accounts receivable, net of allowance for doubtful accounts of $92 and $56 at June 30, 2016 and 2015,</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73,427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31,765</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22,021</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58,284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31,960</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8,678</w:t>
            </w: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245,392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175,757</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264</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13,226</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344,027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168,146</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17,998</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10,574</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736,496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386,880</w:t>
            </w:r>
          </w:p>
        </w:tc>
      </w:tr>
      <w:tr>
        <w:trPr>
          <w:trHeight w:val="67"/>
        </w:trPr>
        <w:tc>
          <w:tcPr>
            <w:tcW w:w="20" w:type="dxa"/>
            <w:vAlign w:val="bottom"/>
          </w:tcPr>
          <w:p>
            <w:pPr>
              <w:spacing w:after="0"/>
              <w:rPr>
                <w:sz w:val="5"/>
                <w:szCs w:val="5"/>
                <w:color w:val="auto"/>
              </w:rPr>
            </w:pPr>
          </w:p>
        </w:tc>
        <w:tc>
          <w:tcPr>
            <w:tcW w:w="834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20" w:type="dxa"/>
            <w:vAlign w:val="bottom"/>
          </w:tcPr>
          <w:p>
            <w:pPr>
              <w:spacing w:after="0"/>
              <w:rPr>
                <w:sz w:val="20"/>
                <w:szCs w:val="20"/>
                <w:color w:val="auto"/>
              </w:rPr>
            </w:pPr>
          </w:p>
        </w:tc>
        <w:tc>
          <w:tcPr>
            <w:tcW w:w="8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6,928</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9,005</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9,875</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7,477</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33,285</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1,459</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1,998</w:t>
            </w: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36,742</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K)</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Common stock, $0.01 par value; 85,000,000 shares authorized; 38,675,340 and 32,570,959 shares issued 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at June 30, 2016 and 2015,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357,500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254,568</w:t>
            </w: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94,468</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776</w:t>
            </w:r>
          </w:p>
        </w:tc>
      </w:tr>
      <w:tr>
        <w:trPr>
          <w:trHeight w:val="27"/>
        </w:trPr>
        <w:tc>
          <w:tcPr>
            <w:tcW w:w="2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473,044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350,138</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736,496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1440" w:gutter="0" w:footer="0" w:header="0"/>
          <w:type w:val="continuous"/>
        </w:sectPr>
      </w:pPr>
    </w:p>
    <w:bookmarkStart w:id="49" w:name="page50"/>
    <w:bookmarkEnd w:id="49"/>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2"/>
              </w:rPr>
              <w:t>For the Years Ended 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0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270,154</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208,729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113,985</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94,744</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102,149</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 (benefit)</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6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Basic net earnings (loss) per share:</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Diluted net earnings (loss)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6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vMerge w:val="continue"/>
          </w:tcPr>
          <w:p>
            <w:pPr>
              <w:spacing w:after="0"/>
              <w:rPr>
                <w:sz w:val="19"/>
                <w:szCs w:val="19"/>
                <w:color w:val="auto"/>
              </w:rPr>
            </w:pPr>
          </w:p>
        </w:tc>
        <w:tc>
          <w:tcPr>
            <w:tcW w:w="6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6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364" w:right="239" w:bottom="1440" w:gutter="0" w:footer="0" w:header="0"/>
        </w:sectPr>
      </w:pPr>
    </w:p>
    <w:p>
      <w:pPr>
        <w:ind w:left="40"/>
        <w:spacing w:after="0"/>
        <w:rPr>
          <w:sz w:val="20"/>
          <w:szCs w:val="20"/>
          <w:color w:val="auto"/>
        </w:rPr>
      </w:pPr>
      <w:r>
        <w:rPr>
          <w:rFonts w:ascii="Arial" w:cs="Arial" w:eastAsia="Arial" w:hAnsi="Arial"/>
          <w:sz w:val="18"/>
          <w:szCs w:val="18"/>
          <w:color w:val="auto"/>
        </w:rPr>
        <w:t>Comprehensive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Net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Net unrealized loss on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comprehensive income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19,742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(11,425)</w:t>
            </w:r>
          </w:p>
        </w:tc>
      </w:tr>
      <w:tr>
        <w:trPr>
          <w:trHeight w:val="270"/>
        </w:trPr>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0"/>
        </w:trPr>
        <w:tc>
          <w:tcPr>
            <w:tcW w:w="5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19,913</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(11,376)</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-770890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-427990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364" w:right="239" w:bottom="1440" w:gutter="0" w:footer="0" w:header="0"/>
          <w:type w:val="continuous"/>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64" w:right="239" w:bottom="1440" w:gutter="0" w:footer="0" w:header="0"/>
          <w:type w:val="continuous"/>
        </w:sectPr>
      </w:pPr>
    </w:p>
    <w:bookmarkStart w:id="50" w:name="page51"/>
    <w:bookmarkEnd w:id="50"/>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24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0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328,501</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investments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327,147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Retirement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benefit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350,138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Retirement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Follow-on public stock offering</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Share-based business combination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38,675</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357,500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114,210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473,044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19,742</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10,369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(11,425)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15,742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13,840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15,608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Impairment of goodwill and long-lived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6,687</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on sale of discontinued operations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440" w:type="dxa"/>
            <w:vAlign w:val="bottom"/>
          </w:tcPr>
          <w:p>
            <w:pPr>
              <w:ind w:left="720"/>
              <w:spacing w:after="0"/>
              <w:rPr>
                <w:sz w:val="20"/>
                <w:szCs w:val="20"/>
                <w:color w:val="auto"/>
              </w:rPr>
            </w:pPr>
            <w:r>
              <w:rPr>
                <w:rFonts w:ascii="Arial" w:cs="Arial" w:eastAsia="Arial" w:hAnsi="Arial"/>
                <w:sz w:val="14"/>
                <w:szCs w:val="14"/>
                <w:color w:val="auto"/>
              </w:rPr>
              <w:t>Non-cash interest expense</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effects of businesses acquired:</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 unbilled receivables, and costs in excess of billings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(12,428)</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income taxes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(4,964)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18,871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 and customer advances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36,940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32,207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14,241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Acquisition of businesses, net of cash acquired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(309,756)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sale of discontinued operations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in other investing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(318,208)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equity offering, net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92,778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employee stock plans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191"/>
        </w:trPr>
        <w:tc>
          <w:tcPr>
            <w:tcW w:w="7440" w:type="dxa"/>
            <w:vAlign w:val="bottom"/>
          </w:tcPr>
          <w:p>
            <w:pPr>
              <w:ind w:left="380"/>
              <w:spacing w:after="0"/>
              <w:rPr>
                <w:sz w:val="20"/>
                <w:szCs w:val="20"/>
                <w:color w:val="auto"/>
              </w:rPr>
            </w:pPr>
            <w:r>
              <w:rPr>
                <w:rFonts w:ascii="Arial" w:cs="Arial" w:eastAsia="Arial" w:hAnsi="Arial"/>
                <w:sz w:val="14"/>
                <w:szCs w:val="14"/>
                <w:color w:val="auto"/>
              </w:rPr>
              <w:t>Payment for retirement of common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(7,955)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issuance of term debt, net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194,900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Payments of debt issuance cost</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7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Payments of capital lease obligations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284,894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3,905</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77,586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47,287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39,126</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47,287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Cash paid during the period for:</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7,975</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7,875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3,192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disclosures—non-cash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Issuance of restricted stock awards to employees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10,177</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8,904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Share-based business combination consideration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7440" w:type="dxa"/>
            <w:vAlign w:val="bottom"/>
          </w:tcPr>
          <w:p>
            <w:pPr>
              <w:ind w:left="380"/>
              <w:spacing w:after="0"/>
              <w:rPr>
                <w:sz w:val="20"/>
                <w:szCs w:val="20"/>
                <w:color w:val="auto"/>
              </w:rPr>
            </w:pPr>
            <w:r>
              <w:rPr>
                <w:rFonts w:ascii="Arial" w:cs="Arial" w:eastAsia="Arial" w:hAnsi="Arial"/>
                <w:sz w:val="14"/>
                <w:szCs w:val="14"/>
                <w:color w:val="auto"/>
              </w:rPr>
              <w:t>Capital lease financings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64" w:right="239" w:bottom="69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64" w:right="239" w:bottom="69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 w:lineRule="exact"/>
        <w:rPr>
          <w:sz w:val="20"/>
          <w:szCs w:val="20"/>
          <w:color w:val="auto"/>
        </w:rPr>
      </w:pPr>
    </w:p>
    <w:p>
      <w:pPr>
        <w:ind w:left="840" w:hanging="832"/>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Mercury Systems, Inc. (the “Company” or “Mercury”) is a leading commercial provider of secure processing subsystems designed and made in the U.S.A. Optimized for customer and mission success, its solutions power a wide variety of critical defense and intelligence programs. Headquartered in Chelmsford, Massachusetts, it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5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May 2, 2016, the Company acquired the custom microelectronics, RF and microwave solutions, and embedded security operations from Microsemi Corporation (the “Carve-Out Business”), resulting in the entities comprising the Carve-Out Business becoming 100% owned direct or indirect subsidiaries of Mercury (the “Acquisition”). Under the terms of the Stock Purchase Agreement, the Company paid $300,000 in cash on a cash-free, debt-free basis, subject to working capital and other post-closing adjustments. On December 16, 2015, the Company acquired Lewis Innovative Technologies, Inc. (“LIT”) for $10,000 in cash on a cash-free, debt-free basis, subject to working capital and other post-closing adjustments. See Note C to consolidated financial statements.</w:t>
      </w:r>
    </w:p>
    <w:p>
      <w:pPr>
        <w:spacing w:after="0" w:line="2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During fiscal 2016, the Company completed a series of important internal organizational changes in order to integrate, align and scale the Company into one business. In addition, over the past several years, the Company has completed several acquisitions, culminating with the Acquisition on May 2, 2016 to support its strategy of creating a better alternative for affordable, secure processing subsystems designed and made in the U.S.A. These strategic acquisitions and the associated operational and managerial changes finalized the transformation of the way the Company's executive management team, including the CEO as the chief operating decision maker (“CODM”), manage, evaluate and review the business, including how the CODM allocates resources and assesses performance. Therefore, during the fourth quarter ended June 30, 2016, the Company eliminated the use of Mercury Commercial Electronics (“MCE”) and Mercury Defense Systems (“MDS”) as reportable segments because the analogous operating segments ceased to exist. The Company is now comprised of one operating and reportable segment. The Company utilized the management approach for determining its operating segment in accordance with Financial Accounting Standard Boards (“FASB”) Accounting Standards Codification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(“FASB ASC 280”).</w:t>
      </w:r>
    </w:p>
    <w:p>
      <w:pPr>
        <w:spacing w:after="0" w:line="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June 2014, the Company initiated a plan to divest its Mercury Intelligence Systems (“MIS”) business, based on the Company's strategic direction and investment priorities focusing on its core business. As a result, the Company's MIS business met the “held for sale” criteria in accordance with FASB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as of June 30, 2014 (see Note Q to consolidated financial statements). On January 23, 2015, the Company completed the sale of its MIS business. The consolidated financial statements, excluding the statements of shareholders' equity and cash flows, and the notes to the consolidated financial statements were restated for all periods presented to reflect the discontinuation of the MIS business, in accordance with FASB ASC 205.</w:t>
      </w:r>
    </w:p>
    <w:p>
      <w:pPr>
        <w:spacing w:after="0" w:line="162"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recognition and measurement, subsequent measurement and accounting, and disclosure of assets and liabilities arising from contingencies in business combinations. Other estimates include:</w:t>
      </w:r>
    </w:p>
    <w:p>
      <w:pPr>
        <w:spacing w:after="0" w:line="3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step-ups for the fixed assets and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fair values of intangible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income tax assets and liabilities assumed from the acquiree.</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While the Company uses its best estimates and assumptions as part of the purchase price allocation process to accurately value assets acquired and liabilities assumed at the business acquisition date, the estimates and assumptions are inherently uncertain and subject to refinement. As a result, during the purchase price allocation period, which is generally one year from the business acquisition date, the Company records adjustments to the assets acquired and liabilities assumed, with the corresponding offset to goodwill. For changes in the valuation of intangible assets between the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5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w:t>
      </w:r>
    </w:p>
    <w:p>
      <w:pPr>
        <w:spacing w:after="0" w:line="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3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Company expects to bill substantially all of the unbilled receivables during fiscal 2017.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4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4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at June 30, 2016 or 2015.</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original maturities of 90 days or less at the date of purchase, are carried at fair market value which approximates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had restricted cash balances of $264 at June 30, 2016 and 2015. The balances are classified as restricted cash on the accompanying consolidated balance sheet and are reflected in non-current assets. The balances at June 30, 2016 and 2015 included restrictions related to certain contracts with foreign customers that require a certificate of deposit to be held at a commercial bank until performance of the contracts have been completed.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principally of cash, cash equivalents and accounts receivable. The Company places its cash and cash equivalents with financial institutions that management believes are of high credit quality. At June 30, 2016 and 2015, the Company had $81,691 and $77,586, respectively, of cash and cash equivalents on deposit or invested with its financial and lending institutions.</w:t>
      </w:r>
    </w:p>
    <w:p>
      <w:pPr>
        <w:spacing w:after="0" w:line="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provides credit to customers in the normal course of business. The Company performs ongoing credit evaluations of its customers’ financial condition and limits the amount of credit extended when deemed necessary. At June 30, 2016, five customers accounted for 50% of the Company's receivables, unbilled receivables and costs in excess of billings. At June 30, 2015, five customers accounted for 55% of the Company’s receivables, unbilled receivables and costs in excess of billings.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Inventory is stated at the lower of cost (first-in, first-out) or market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10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uses the management approach for segment disclosure, which designates the internal organization that is used by management for making operating decisions and assessing performance as the source of its reportable segments. The Company manages its business on the basis of one reportable segment, as a commercial provider of secure processing subsystems for critical defense and intelligence applications.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Goodwill is the amount by which the cost of the net assets obtained in a business acquisition exceeded the fair values of the net identifiable assets on the date of purchase. Goodwill is not amortized in accordance with the requirements of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Goodwill is assessed for impairment at least annually, on a reporting unit basis, or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Intangible assets result from the Company’s various business acquisitions (see Note H) and certain licensed technologies, and consist of identifiable intangible assets, including completed technology, licensing agreements, customer relationships, trademarks, backlog, and non-compete agreements. Intangible assets are reported at cost, net of accumulated amortization and are either amortized on a straight-line basis over their estimated useful lives of up to twelve years or over the period the economic benefits of the intangible asset are consumed.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Long-lived assets primarily include property and equipment and acquired intangible assets. The Company regularly evaluates its long-lived assets for events and circumstances that indicate a potential impairment in accordance with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F).</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2016, 2015 and 2014, the Company capitalized $0, $0 and $362 of software development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Company accounts for income taxes under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Fiscal</w:t>
            </w: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July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 assumed from Carve-Out Business</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over the requisite service period, which generally represents the vesting period, and includes an estimate of the awards that will be forfeited. Stock-based compensation expense for the Company’s performance-based restricted stock awards are amortized over the requisite service period using graded vesting. The Company’s other restricted stock awards recognize expense over the requisite service period on a straight-line basis. The Company uses the Black-Scholes valuation model for estimating the fair value on the date of grant of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ETIREMENT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Stock that is repurchased or received in connection with the exercise of stock options or in order to cover tax payment obligations triggered by exercise of stock options or the vesting of restricted stock is retired immediately upon the Company’s repurchase. The Company accounts for this under the cost method and upon retirement the excess amount over par value is charged against additional paid-in capital.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income (loss) from continuing operations is the control number for determining whether securities are dilutive or not.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weighted average shares outstanding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34,241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35,097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32,939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31,000</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7, 453 and 3,526 shares of common stock were not included in the calculation of diluted net earnings per share for the fiscal years ended June 30, 2016, 2015 and 2014, respectively, because the equity instruments were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CCUMULATED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Accumulated other comprehensive income includes foreign currency translation adjustments and unrealized gains on investments. The components of accumulated other comprehensive income were $947 and $776 of accumulated foreign currency translation adjustments at June 30, 2016 and 2015. There were no material accumulated net unrealized gains on investments at June 30, 2016 and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Local currencies are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July 1, 2018 and can be early adopted for the fiscal year beginning July 1, 2017.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4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The Company does not expect a going concern uncertainty in the foreseeable future, and therefore this guidance is not expected to have a material impact to its consolidated financial statements.</w:t>
      </w:r>
    </w:p>
    <w:p>
      <w:pPr>
        <w:spacing w:after="0" w:line="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Simplifying Income Statement Presentation by Eliminating the Concept of Extraordinary Items</w:t>
      </w:r>
      <w:r>
        <w:rPr>
          <w:rFonts w:ascii="Arial" w:cs="Arial" w:eastAsia="Arial" w:hAnsi="Arial"/>
          <w:sz w:val="17"/>
          <w:szCs w:val="17"/>
          <w:color w:val="auto"/>
        </w:rPr>
        <w:t>,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interim and annual periods in fiscal years beginning after December 15, 2015. The ASU allows prospective or retrospective applications. Early adoption is permitted if applied from the beginning of the fiscal year of adoption. The Company does not expect this guidance to have a material impact to its consolidated financial statements.</w:t>
      </w:r>
    </w:p>
    <w:p>
      <w:pPr>
        <w:spacing w:after="0" w:line="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The Company is evaluating the effect that ASU 2015-11 will have on its consolidated financial statements.</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 amendment of the FASB Accounting Standards Codification. This ASU requires lessees to recognize a right-of-use asset and lease liability for most lease arrangements. This ASU 2016-02 is effective for public business entities for annual and interim periods in fiscal years beginning after December 15, 2018. The standard mandates a modified retrospective transition method for all entities and early adoption is permitted. The Company is evaluating the effect that ASU 2016-02 will have on its consolidated financial statements and related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October 1, 2015, the Company adopted FASB ASU No. 2014-17, </w:t>
      </w:r>
      <w:r>
        <w:rPr>
          <w:rFonts w:ascii="Arial" w:cs="Arial" w:eastAsia="Arial" w:hAnsi="Arial"/>
          <w:sz w:val="18"/>
          <w:szCs w:val="18"/>
          <w:i w:val="1"/>
          <w:iCs w:val="1"/>
          <w:color w:val="auto"/>
        </w:rPr>
        <w:t>Pushdown Accounting (a consensus of the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Force), </w:t>
      </w:r>
      <w:r>
        <w:rPr>
          <w:rFonts w:ascii="Arial" w:cs="Arial" w:eastAsia="Arial" w:hAnsi="Arial"/>
          <w:sz w:val="18"/>
          <w:szCs w:val="18"/>
          <w:color w:val="auto"/>
        </w:rPr>
        <w:t>an amendment of the FASB Accounting Standards Codification. This ASU allows an acquired entity to elect to apply pushdown accounting in its</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financial statements on a change-in-control event. The acquired entity elects whether to apply pushdown accounting individually for each change-in-control event, and may apply pushdown accounting during the reporting period in which the change-in-control event occurs. Such adoption did not have any impact to the consolidated financial statements.</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Effective January 1, 2016, the Company adopted FASB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an amendment of the FASB Accounting Standards Codification. This ASU eliminates the requirement for an acquirer to retrospectively adjust the financial statements for measurement-period adjustments that occur in periods after a business combination is consummated. Such adoption did not have any impact to the consolidated financial statements.</w:t>
      </w:r>
    </w:p>
    <w:p>
      <w:pPr>
        <w:spacing w:after="0" w:line="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Effective April 1, 2016, the Company adopted FASB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an amendment of the FASB Accounting Standards Codification. This ASU simplifies the presentation of deferred taxes by requiring deferred tax assets and liabilities be classified as non-current on the balance sheet. The ASU is effective for the Company on July 1, 2017; however, the Company has elected to early adopt as permitted by the guidance. Upon adoption, the Company applied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2015-17 to its deferred taxes and presented deferred taxes as non-current on the consolidated balance sheets on a retrospective basis. Such adoption did not have a material impact on our financial position or results of operations.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adjustments made as of June 30, 2015 to conform prior period classifications under the new guidance:</w:t>
      </w: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Line Item</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Prior to</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Increase / (Decrease)</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deferred income tax assets</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900" w:type="dxa"/>
            <w:vAlign w:val="bottom"/>
          </w:tcPr>
          <w:p>
            <w:pPr>
              <w:ind w:left="20"/>
              <w:spacing w:after="0"/>
              <w:rPr>
                <w:sz w:val="20"/>
                <w:szCs w:val="20"/>
                <w:color w:val="auto"/>
              </w:rPr>
            </w:pPr>
            <w:r>
              <w:rPr>
                <w:rFonts w:ascii="Arial" w:cs="Arial" w:eastAsia="Arial" w:hAnsi="Arial"/>
                <w:sz w:val="18"/>
                <w:szCs w:val="18"/>
                <w:color w:val="auto"/>
              </w:rPr>
              <w:t>Long-term deferred income tax assets</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4"/>
                <w:szCs w:val="24"/>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tax assets</w:t>
            </w:r>
          </w:p>
        </w:tc>
        <w:tc>
          <w:tcPr>
            <w:tcW w:w="2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deferred income tax liabilities</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260"/>
              <w:spacing w:after="0"/>
              <w:rPr>
                <w:sz w:val="20"/>
                <w:szCs w:val="20"/>
                <w:color w:val="auto"/>
              </w:rPr>
            </w:pPr>
            <w:r>
              <w:rPr>
                <w:rFonts w:ascii="Arial" w:cs="Arial" w:eastAsia="Arial" w:hAnsi="Arial"/>
                <w:sz w:val="18"/>
                <w:szCs w:val="18"/>
                <w:color w:val="auto"/>
              </w:rPr>
              <w:t>Total tax liabilities</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Effective April 1, 2016, the Company adopted FASB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an amendment of the FASB Accounting Standards Codification. This ASU was issued as part of the FASB’s simplification initiative, and intends to improve the accounting for share-based payment transactions. The ASU changes several aspects of the accounting for share-based payment award transactions, including: (1) accounting for excess tax benefits and shortfalls, (2) forfeitures, (3) tax withholding requirements, and (4) cash flow classifications. The ASU is effective for the Company on July 1, 2017; however, the Company has elected to early adopt on a prospective basis as of the first day of its fiscal year (July 1, 2015) as permitted by the guidance.</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adoption, recognition of excess tax benefits and tax shortfalls resulted in the recognition of $1,100 of excess tax benefits as a benefit to income taxes in its consolidated statements of operations and comprehensive income (loss). In addition, cash flows related to excess tax benefits will no longer be separately classified as a financing activity apart from other income tax cash flows. The Company has elected to continue to estimate expected forfeitures of employee equity awards to determine the amount of compensation expense to be recognized in each year and the changes in tax withholding requirements had no impact to the Company's consolidated financial statements in fiscal 2016.</w:t>
      </w:r>
    </w:p>
    <w:p>
      <w:pPr>
        <w:spacing w:after="0" w:line="5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8"/>
          <w:szCs w:val="18"/>
          <w:color w:val="auto"/>
        </w:rPr>
        <w:t xml:space="preserve">Effective April 1, 2016, the Company adopted FASB ASU 2015-03, </w:t>
      </w:r>
      <w:r>
        <w:rPr>
          <w:rFonts w:ascii="Arial" w:cs="Arial" w:eastAsia="Arial" w:hAnsi="Arial"/>
          <w:sz w:val="18"/>
          <w:szCs w:val="18"/>
          <w:i w:val="1"/>
          <w:iCs w:val="1"/>
          <w:color w:val="auto"/>
        </w:rPr>
        <w:t>Simplifying the Presentation of Debt Issuance Costs</w:t>
      </w:r>
      <w:r>
        <w:rPr>
          <w:rFonts w:ascii="Arial" w:cs="Arial" w:eastAsia="Arial" w:hAnsi="Arial"/>
          <w:sz w:val="19"/>
          <w:szCs w:val="19"/>
          <w:i w:val="1"/>
          <w:iCs w:val="1"/>
          <w:color w:val="auto"/>
        </w:rPr>
        <w:t>,</w:t>
      </w:r>
      <w:r>
        <w:rPr>
          <w:rFonts w:ascii="Arial" w:cs="Arial" w:eastAsia="Arial" w:hAnsi="Arial"/>
          <w:sz w:val="18"/>
          <w:szCs w:val="18"/>
          <w:color w:val="auto"/>
        </w:rPr>
        <w:t xml:space="preserve"> an amendment of the FASB Accounting Standards Codification. This ASU requires entities to present debt issuance costs related to a recognized debt liability on the balance sheet as a direct deduction from the debt liability, similar to the presentation of debt discounts. Upon adoption, the Company no longer records the cost of issuing debt as a separate deferred financing asset. In the fourth quarter of fiscal 2016, the Company entered into an credit agreement that provided for a $200,000 term loan facility and a $100,000 revolving credit facility. The Company incurred debt issuance costs of $8,026 which were recorded as a direct deduction to the long-term debt and will be amortized over the term of the term loan.</w:t>
      </w:r>
    </w:p>
    <w:p>
      <w:pPr>
        <w:spacing w:after="0" w:line="11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23, 2016, the Company and Microsemi Corporation (“Microsemi”) entered into a Stock Purchase Agreement, pursuant to which, Microsemi agreed to sell all the membership interests in its custom microelectronics, RF and microwave solutions and embedded security operations (the "Carve-Out Business”) to the Company for $300,000 in cash on a cash-free, debt-free basis, subject to a working capital adjustment. On May 2, 2016, the transaction closed and the Company acquired the Carve-Out Business. Pursuant to the terms of the Stock Purchase Agreement, all outstanding Carve-Out Business employee stock awards that were unvested at the closing were replaced by Mercury. The replacement stock awards granted were determined based on a conversion ratio provided in the Stock Purchase Agreement. Mercury funded the acquisition with a combination of a new $200,000 bank term loan facility (see Note L) and cash on hand, which included net proceeds of approximately $92,788 raised from an underwritten common stock public offering (see Note 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the Carve-Out Business: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Amounts</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Value allocated to replacement awards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407</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300,407</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7"/>
        </w:trPr>
        <w:tc>
          <w:tcPr>
            <w:tcW w:w="9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17,082</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25,477</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14,021</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and 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(4,263)</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(25,477)</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27,364</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Estimated goodwill</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170,243</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assets acquired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300,407</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300,407</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June 30, 2016 and are subject to subsequent adjustment as the Company obtains additional information during the measurement period and finalizes its fair value estimates. The preliminary identifiable intangible asset estimates include customer relationships of $70,900, completed technology of $29,700 and backlog of $2,200. Any subsequent adjustments to these fair value estimates occurring during the measurement period will result in an adjustment to goodwill.</w:t>
      </w:r>
    </w:p>
    <w:p>
      <w:pPr>
        <w:spacing w:after="0" w:line="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goodwill of $170,243 largely reflects the potential synergies and expansion of the Company's offerings across product lines and markets complementary to the Company's existing products and markets. The Carve-Out Business provides the Company with additional capability and expertise related to embedded security custom microelectronics, and microwave and radio frequency technology. The acquisition is directly aligned with the Company's strategy of expanding its capabilities, services and offerings along the sensor processing chain. The goodwill from this acquisition is reported under the Carve-Out Business reporting unit. As of June 30, 2016, the Company had $29,684 of goodwill deductible for tax purposes.</w:t>
      </w:r>
    </w:p>
    <w:p>
      <w:pPr>
        <w:spacing w:after="0" w:line="3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revenues and net income from the Carve-Out Business included in the Company's consolidated results for the fiscal year ended June 30, 2016 were $16,638 and $1,345, respectively. The Carve-Out Business acquisition costs and other related expenses were $2,012 during the year ended June 30,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Carve-Out Business acquisition had occurred on July 1, 2014:</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333,362</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pro forma net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Diluted pro forma net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I</w:t>
      </w:r>
      <w:r>
        <w:rPr>
          <w:rFonts w:ascii="Arial" w:cs="Arial" w:eastAsia="Arial" w:hAnsi="Arial"/>
          <w:sz w:val="14"/>
          <w:szCs w:val="14"/>
          <w:color w:val="auto"/>
        </w:rPr>
        <w:t>NNOVATIVE</w:t>
      </w:r>
      <w:r>
        <w:rPr>
          <w:rFonts w:ascii="Arial" w:cs="Arial" w:eastAsia="Arial" w:hAnsi="Arial"/>
          <w:sz w:val="18"/>
          <w:szCs w:val="18"/>
          <w:color w:val="auto"/>
        </w:rPr>
        <w:t xml:space="preserve"> T</w:t>
      </w:r>
      <w:r>
        <w:rPr>
          <w:rFonts w:ascii="Arial" w:cs="Arial" w:eastAsia="Arial" w:hAnsi="Arial"/>
          <w:sz w:val="14"/>
          <w:szCs w:val="14"/>
          <w:color w:val="auto"/>
        </w:rPr>
        <w: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16, 2015, the Company entered into a share purchase agreement (the “Share Purchase Agreement”) with Lewis Innovative Technologies, Inc. (“LIT”) and the holders of the equity interests of LIT. Pursuant to the Share Purchase Agreement, the Company completed its purchase of all of the equity interests in LIT, and LIT became a wholly-owned subsidiary of the Company. Based in Decatur, Alabama, LIT provides advanced security technology and development services necessary for protecting systems critical to national security while meeting strict Department of Defense (“DoD”) program protection requirements.</w:t>
      </w:r>
    </w:p>
    <w:p>
      <w:pPr>
        <w:spacing w:after="0" w:line="5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acquired LIT for a cash purchase price of $9,756. The Company funded the purchase with cash on hand. The purchase price was subject to a post-closing adjustment based on a determination of LIT's closing net working capital. In accordance with the Share Purchase Agreement, $1,000 of the purchase price was placed into escrow to support the post-closing working capital adjustment and the sellers' indemnification obligations. The escrow is available for indemnification claims through June 16, 2017. The Company acquired LIT free of debt.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LIT:</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Amounts</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Consideration transferred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at closing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Working capital adjustment</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97"/>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r>
      <w:tr>
        <w:trPr>
          <w:trHeight w:val="257"/>
        </w:trPr>
        <w:tc>
          <w:tcPr>
            <w:tcW w:w="8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 and cost in excess of billings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and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net tangible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identifiable intangible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3,960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goodwill</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5,638</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assets acquired</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10,046</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57"/>
        </w:trPr>
        <w:tc>
          <w:tcPr>
            <w:tcW w:w="8800" w:type="dxa"/>
            <w:vAlign w:val="bottom"/>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June 30, 2016 and are subject to subsequent adjustment as the Company obtains additional information during the measurement period and finalizes its fair value estimates. The preliminary identifiable intangible asset estimates include completed technology of $3,240, customer relationships of $590 and backlog of $130. Any subsequent adjustments to these fair value estimates occurring during the measurement period will result in an adjustment to goodwill.</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goodwill of $5,638 arising from the LIT acquisition largely reflects the potential synergies and expansion of the Company's service offerings across product lines and markets complementary to the Company’s existing products and markets. The LIT acquisition provides the Company with additional capabilities and expertise related to secure embedded processing applications. The acquisition is directly aligned with the Company's strategy of assembling critical and differentiated capabilities across the entire sensor processing chain. The goodwill from the LIT acquisition is included in the Company's Mercury Defense Systems ("MDS") reporting unit.</w:t>
      </w:r>
    </w:p>
    <w:p>
      <w:pPr>
        <w:spacing w:after="0" w:line="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 the shareholders of LIT have agreed to treat the acquisition of LIT as an asset purchase for tax purposes by filing the required election forms under IRC Section 338(h)(10). The Company has estimated the tax value of the intangible assets from this transaction and is amortizing the amount over 15 years for tax purposes. As of June 30, 2016, the Company had $5,638 of goodwill deductible for tax purposes.</w:t>
      </w:r>
    </w:p>
    <w:p>
      <w:pPr>
        <w:spacing w:after="0" w:line="3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Pursuant to the completion of the LIT acquisition, the Company incurred $231 of impairment expense related to a pre-existing relationship between the Company and LIT. LIT acquisition costs and other related expenses were immaterial during the year ended June 30, 2016. Additionally, the Company has not furnished pro forma financial information relating to LIT because such information is not material to the Company's financial results.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2016:</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30,075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30,075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Company determined the face value of its long-term debt approximates fair value at June 30, 2016 due to the recent issuance and stability of interest rates during this period.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2015:</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w:t>
            </w:r>
          </w:p>
        </w:tc>
        <w:tc>
          <w:tcPr>
            <w:tcW w:w="48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b w:val="1"/>
                <w:bCs w:val="1"/>
                <w:color w:val="auto"/>
              </w:rPr>
              <w:t>Inventory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Inventory was comprised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4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58,284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$26,324 increase in inventory was primarily due to the inclusion of inventory from the Carve-Out Business. There are no amounts in inventory relating to contracts having production cycles longer than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F.</w:t>
            </w:r>
          </w:p>
        </w:tc>
        <w:tc>
          <w:tcPr>
            <w:tcW w:w="4740" w:type="dxa"/>
            <w:vAlign w:val="bottom"/>
          </w:tcPr>
          <w:p>
            <w:pPr>
              <w:ind w:left="360"/>
              <w:spacing w:after="0"/>
              <w:rPr>
                <w:sz w:val="20"/>
                <w:szCs w:val="20"/>
                <w:color w:val="auto"/>
              </w:rPr>
            </w:pPr>
            <w:r>
              <w:rPr>
                <w:rFonts w:ascii="Arial" w:cs="Arial" w:eastAsia="Arial" w:hAnsi="Arial"/>
                <w:sz w:val="18"/>
                <w:szCs w:val="18"/>
                <w:b w:val="1"/>
                <w:bCs w:val="1"/>
                <w:color w:val="auto"/>
              </w:rPr>
              <w:t>Property and Equipment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Property and equipment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 Useful Lives</w:t>
            </w: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0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58,562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lesser of estimated useful life or lease</w:t>
            </w:r>
          </w:p>
        </w:tc>
        <w:tc>
          <w:tcPr>
            <w:tcW w:w="3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122"/>
        </w:trPr>
        <w:tc>
          <w:tcPr>
            <w:tcW w:w="5040" w:type="dxa"/>
            <w:vAlign w:val="bottom"/>
            <w:gridSpan w:val="2"/>
            <w:vMerge w:val="continue"/>
            <w:shd w:val="clear" w:color="auto" w:fill="CCEEFF"/>
          </w:tcPr>
          <w:p>
            <w:pPr>
              <w:spacing w:after="0"/>
              <w:rPr>
                <w:sz w:val="10"/>
                <w:szCs w:val="10"/>
                <w:color w:val="auto"/>
              </w:rPr>
            </w:pPr>
          </w:p>
        </w:tc>
        <w:tc>
          <w:tcPr>
            <w:tcW w:w="29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4"/>
              </w:rPr>
              <w:t>term</w:t>
            </w:r>
          </w:p>
        </w:tc>
        <w:tc>
          <w:tcPr>
            <w:tcW w:w="34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CCEEFF"/>
            </w:tcBorders>
            <w:shd w:val="clear" w:color="auto" w:fill="CCEEFF"/>
          </w:tcPr>
          <w:p>
            <w:pPr>
              <w:spacing w:after="0"/>
              <w:rPr>
                <w:sz w:val="10"/>
                <w:szCs w:val="10"/>
                <w:color w:val="auto"/>
              </w:rPr>
            </w:pPr>
          </w:p>
        </w:tc>
        <w:tc>
          <w:tcPr>
            <w:tcW w:w="4740" w:type="dxa"/>
            <w:vAlign w:val="bottom"/>
            <w:tcBorders>
              <w:bottom w:val="single" w:sz="8" w:color="CCEEFF"/>
            </w:tcBorders>
            <w:shd w:val="clear" w:color="auto" w:fill="CCEEFF"/>
          </w:tcPr>
          <w:p>
            <w:pPr>
              <w:spacing w:after="0"/>
              <w:rPr>
                <w:sz w:val="10"/>
                <w:szCs w:val="10"/>
                <w:color w:val="auto"/>
              </w:rPr>
            </w:pPr>
          </w:p>
        </w:tc>
        <w:tc>
          <w:tcPr>
            <w:tcW w:w="2940" w:type="dxa"/>
            <w:vAlign w:val="bottom"/>
            <w:tcBorders>
              <w:bottom w:val="single" w:sz="8" w:color="CCEEFF"/>
            </w:tcBorders>
            <w:gridSpan w:val="2"/>
            <w:vMerge w:val="continue"/>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29,078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16,383</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86,562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(73,336)</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$15,111 increase in property and equipment was primarily due to the inclusion of fixed assets from the Carve-Out Business. In fiscal 2016 and 2015, the Company retired $32 and $733, respectively, of fully depreciated computer equipment and software assets that were no longer in use by the Company.</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Depreciation expense related to property and equipment for the fiscal years ended June 30, 2016, 2015 and 2014 was $6,900, $6,332 and $7,625, respectively.</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The term of the lease is ten years and includes two five year options to renew, which the Company does not plan to exercise. Under the provisions of sale-leaseback accounting, the transaction was considered a normal leaseback; thus the realized gain of $11,569 was deferred and will be amortized to other income on a straight-line basis over the initial lease term.</w:t>
      </w:r>
    </w:p>
    <w:p>
      <w:pPr>
        <w:spacing w:after="0" w:line="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unamortized deferred gain consisted of the following of which the current portion is included in accrued expenses and the non-current portion is separately classified within other non-current liabilities in the accompanying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10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929</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unamortized deferred gain</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changes in goodwill at the Company's three reporting units for the years ended June 30, 2016 and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MCE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MDS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Carve-Out Business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Balance at June 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and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Goodwill arising from the LIT acquisition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5,638</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arising from the Carve-Out Business Acquisition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170,243</w:t>
            </w:r>
          </w:p>
        </w:tc>
      </w:tr>
      <w:tr>
        <w:trPr>
          <w:trHeight w:val="257"/>
        </w:trPr>
        <w:tc>
          <w:tcPr>
            <w:tcW w:w="1460" w:type="dxa"/>
            <w:vAlign w:val="bottom"/>
          </w:tcPr>
          <w:p>
            <w:pPr>
              <w:ind w:left="40"/>
              <w:spacing w:after="0"/>
              <w:rPr>
                <w:sz w:val="20"/>
                <w:szCs w:val="20"/>
                <w:color w:val="auto"/>
              </w:rPr>
            </w:pPr>
            <w:r>
              <w:rPr>
                <w:rFonts w:ascii="Arial" w:cs="Arial" w:eastAsia="Arial" w:hAnsi="Arial"/>
                <w:sz w:val="18"/>
                <w:szCs w:val="18"/>
                <w:color w:val="auto"/>
                <w:w w:val="87"/>
              </w:rPr>
              <w:t>Balance at June 30,</w:t>
            </w:r>
          </w:p>
        </w:tc>
        <w:tc>
          <w:tcPr>
            <w:tcW w:w="4160" w:type="dxa"/>
            <w:vAlign w:val="bottom"/>
          </w:tcPr>
          <w:p>
            <w:pPr>
              <w:ind w:left="2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134,378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39,406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170,243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344,027</w:t>
            </w:r>
          </w:p>
        </w:tc>
      </w:tr>
      <w:tr>
        <w:trPr>
          <w:trHeight w:val="20"/>
        </w:trPr>
        <w:tc>
          <w:tcPr>
            <w:tcW w:w="1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In accordance with FASB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at: Mercury Commercial Electronics ("MCE") and Mercury Defense Systems ("MDS"). On May 2, 2016, the Company completed the Carve-Out Business acquisition for which discrete financial information is reviewed by management.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As defined by FASB ASC 350, goodwill is tested for impairment on an interim basis at the occurrence of certain triggering events or at a minimum on an annual basis. In fiscal 2016, there were no triggering events which required an interim goodwill impairment test.</w:t>
      </w:r>
    </w:p>
    <w:p>
      <w:pPr>
        <w:spacing w:after="0" w:line="3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follows FASB ASC 350 in assessing whether the fair value of a reporting unit is less than its carrying amount. As of June 30, 2016, MCE, MDS and the Carve-Out Business had goodwill balances and the annual impairment analysis was performed for each reporting unit in the fourth quarter of fiscal 2016. The results of the Company's step one interim goodwill impairment test indicated that the fair values of the MCE and MDS reporting units were substantially in excess of their carrying values, and the Carve-Out Business reporting unit carrying value was equal to its fair value. As such, step two of the goodwill impairment testing was not required. The valuation of the MCE, MDS reporting units was based upon a discounted cash flow model and corroborated by a market-based analysis which compares the trading multiples of public companies in similar lines of business. The valuation of the Carve-Out Business reporting unit, as of May 2, 2016, was determined using the income approach based upon a discounted cash flow model, which we also utilized for our May 31, 2016 impairment test because of the proximity in time and no changes in financial projections.</w:t>
      </w:r>
    </w:p>
    <w:p>
      <w:pPr>
        <w:spacing w:after="0" w:line="12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105,370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81,546</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w w:val="89"/>
              </w:rPr>
              <w:t>9.9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4.0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35,840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32,295</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w w:val="89"/>
              </w:rPr>
              <w:t>7.6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144,296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116,673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2015</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33,880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16,516</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w w:val="89"/>
              </w:rPr>
              <w:t>6.8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5.0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w w:val="89"/>
              </w:rPr>
              <w:t>5.3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intangible assets remaining at June 30,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5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17,703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2018</w:t>
            </w:r>
          </w:p>
        </w:tc>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2020</w:t>
            </w:r>
          </w:p>
        </w:tc>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47,035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amortization expense</w:t>
            </w:r>
          </w:p>
        </w:tc>
        <w:tc>
          <w:tcPr>
            <w:tcW w:w="6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116,673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Carve-Out Business acquisition. These assets are included in the Company's gross and net carrying amounts as of June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Customer relationships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29,030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102,800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100,825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LIT acquisition. These assets are included in the Company's gross and net carrying amounts as of June 30,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Completed technologies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7.0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w w:val="89"/>
              </w:rPr>
              <w:t>7.0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Backlog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80" w:hanging="772"/>
        <w:spacing w:after="0"/>
        <w:tabs>
          <w:tab w:leader="none" w:pos="7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fiscal 2016, the Company incurred restructuring and other charges of $1,240, primarily related to executive severance and facility consolidation.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2015, the Company incurred restructuring and other charges of $3,175 as the Company completed its acquisition integration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during the fourth quarter of fiscal 2015, the Company eliminated 16 positions, primarily in operations.</w:t>
      </w:r>
    </w:p>
    <w:p>
      <w:pPr>
        <w:spacing w:after="0" w:line="7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fiscal 2014, the Company announced a restructuring plan ("2014 Plan") that was implemented as part of the final phase of integration activities relating to the Company’s recent acquisitions. The acquisition integration plan included the consolidation of manufacturing facilities, centralization of administrative functions using common information systems and processes, and realignment of research and development resources. The acquisition integration plan included the elimination of 70 positions largely in engineering, manufacturing and administrative functions. Additionally, the Company closed four facilities relocating all related activities to the Company's Advanced Microelectronics Center ("AMC") in Hudson, New Hampshire. The Company also completed the first phase of the Chelmsford, Massachusetts headquarters consolidation in the fourth quarter of fiscal 2014. These restructuring and other charges associated with the Company's fiscal 2014 restructuring plan amounted to $5,443. In the event that the Company is unable to sublease the unoccupied portion of its headquarters complex in Chelmsford, Massachusetts, it will incur nominal, periodic restructuring charges through fiscal 2017.</w:t>
      </w:r>
    </w:p>
    <w:p>
      <w:pPr>
        <w:spacing w:after="0" w:line="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any remaining severance obligations are expected to be paid within the next twelve months. The remaining restructuring liability is classified as accrued expenses in the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The following table presents the detail of expenses for the Company’s restructuring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 &amp; Related</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 &amp; Other</w:t>
            </w:r>
          </w:p>
        </w:tc>
        <w:tc>
          <w:tcPr>
            <w:tcW w:w="44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3,475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2015</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1,341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Reversals result from the unused outplacement services and operating costs.</w:t>
      </w:r>
    </w:p>
    <w:p>
      <w:pPr>
        <w:spacing w:after="0" w:line="194"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from continuing operations before income taxes and income tax expense (benefit)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25,194</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the reconciliation between the statutory federal income tax rate and the Company’s effective income tax (benefit) rate for continuing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6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 at federal statutory rates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State income tax, net of federal tax benefit</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Excess tax benefits on stock compensation</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Income from legal settlement excluded from taxable income</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repatriation of foreign earnings</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Foreign tax credits</w:t>
            </w:r>
          </w:p>
        </w:tc>
        <w:tc>
          <w:tcPr>
            <w:tcW w:w="2160" w:type="dxa"/>
            <w:vAlign w:val="bottom"/>
            <w:gridSpan w:val="4"/>
          </w:tcPr>
          <w:p>
            <w:pPr>
              <w:jc w:val="right"/>
              <w:ind w:right="7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(13.3)</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Officers' compensation</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11.1</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shortfalls</w:t>
            </w:r>
          </w:p>
        </w:tc>
        <w:tc>
          <w:tcPr>
            <w:tcW w:w="2160" w:type="dxa"/>
            <w:vAlign w:val="bottom"/>
            <w:tcBorders>
              <w:bottom w:val="single" w:sz="8" w:color="CCEEFF"/>
            </w:tcBorders>
            <w:gridSpan w:val="4"/>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24.1</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Deferred tax asset and liability adjustments</w:t>
            </w:r>
          </w:p>
        </w:tc>
        <w:tc>
          <w:tcPr>
            <w:tcW w:w="2160" w:type="dxa"/>
            <w:vAlign w:val="bottom"/>
            <w:gridSpan w:val="4"/>
          </w:tcPr>
          <w:p>
            <w:pPr>
              <w:jc w:val="right"/>
              <w:ind w:right="7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state tax rates</w:t>
            </w:r>
          </w:p>
        </w:tc>
        <w:tc>
          <w:tcPr>
            <w:tcW w:w="2160" w:type="dxa"/>
            <w:vAlign w:val="bottom"/>
            <w:tcBorders>
              <w:bottom w:val="single" w:sz="8" w:color="CCEEFF"/>
            </w:tcBorders>
            <w:gridSpan w:val="4"/>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Reserves for tax contingencies</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r>
      <w:tr>
        <w:trPr>
          <w:trHeight w:val="237"/>
        </w:trPr>
        <w:tc>
          <w:tcPr>
            <w:tcW w:w="65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8660" w:type="dxa"/>
            <w:vAlign w:val="bottom"/>
            <w:gridSpan w:val="5"/>
          </w:tcPr>
          <w:p>
            <w:pPr>
              <w:ind w:left="440"/>
              <w:spacing w:after="0"/>
              <w:rPr>
                <w:sz w:val="20"/>
                <w:szCs w:val="20"/>
                <w:color w:val="auto"/>
              </w:rPr>
            </w:pPr>
            <w:r>
              <w:rPr>
                <w:rFonts w:ascii="Arial" w:cs="Arial" w:eastAsia="Arial" w:hAnsi="Arial"/>
                <w:sz w:val="18"/>
                <w:szCs w:val="18"/>
                <w:color w:val="auto"/>
                <w:w w:val="92"/>
              </w:rPr>
              <w:t>The components of the Company’s net deferred tax assets (liabilities) for continuing operations were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2"/>
        </w:trPr>
        <w:tc>
          <w:tcPr>
            <w:tcW w:w="6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Inventory valuation and receivable allowances</w:t>
            </w:r>
          </w:p>
        </w:tc>
        <w:tc>
          <w:tcPr>
            <w:tcW w:w="216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12,768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9,264</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Equity compensation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4,229</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16,262</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Gain on sale-leaseback</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834</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accruals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Capital loss carryforwards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3,562</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temporary differences</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r>
      <w:tr>
        <w:trPr>
          <w:trHeight w:val="237"/>
        </w:trPr>
        <w:tc>
          <w:tcPr>
            <w:tcW w:w="6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44,620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40,403</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r>
      <w:tr>
        <w:trPr>
          <w:trHeight w:val="237"/>
        </w:trPr>
        <w:tc>
          <w:tcPr>
            <w:tcW w:w="650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26,148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21,539</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(33,826)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(7,110)</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method of accounting change</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Other temporary differences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deferred tax (liabilities) assets</w:t>
            </w:r>
          </w:p>
        </w:tc>
        <w:tc>
          <w:tcPr>
            <w:tcW w:w="1840" w:type="dxa"/>
            <w:vAlign w:val="bottom"/>
            <w:gridSpan w:val="3"/>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10,574</w:t>
            </w:r>
          </w:p>
        </w:tc>
      </w:tr>
      <w:tr>
        <w:trPr>
          <w:trHeight w:val="67"/>
        </w:trPr>
        <w:tc>
          <w:tcPr>
            <w:tcW w:w="650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5"/>
        </w:trPr>
        <w:tc>
          <w:tcPr>
            <w:tcW w:w="6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As reported:</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216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10,574</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June 30, 2016,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Company's past operating results, its forecast of future earnings, future taxable income, and tax planning strategies. The Company continues to conclude that it is more likely than not that most domestic deferred tax assets would be realizable based on recent financial performance, projected future taxable income and the reversal of existing deferred tax liabilities.</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certain state research and development (“R&amp;D”) and investment tax credits, and capital loss carryforwards as of June 30, 2016 as management continues to believe that it is not more likely than not that these deferred tax assets would be realized. Any future reversals of the valuation allowance will impact income tax expense.</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federal research and development credit carryforwards of $959, which will expire from 2032 through 2033. The Company had state research and development credit carryforwards of $14,798, which will expire from 2016 through 2029. The Company also had state investment tax credits carryforwards of $113.</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does not need to indefinitely reinvest the earnings of certain foreign subsidiaries. Therefore, the Company has accrued deferred taxes in association with $724 in undistributed earnings and profits.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files income tax returns in all jurisdictions in which it operates. The Company has established reserves to provide for additional income taxes that management believes will more likely than not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previously recognized positions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as a result of a lapse of the applicable statue of limitations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currently recognized positions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Reductions for previously recognized positions deemed effectively settled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Reductions for previously recognized positions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$1,566 of unrecognized tax benefits as of June 30, 2016, if released, would reduce income tax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major tax jurisdiction is the U.S. and the open tax years are fiscal 2011 through 2016.</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currently under audit by the Internal Revenue Service for fiscal year 2013. As of June 30, 2016, the IRS has presented an agreement that would lead to the conclusion of the audit; the Company continues to negotiate specific terms of this agreement. It is reasonably possible that within the next 12 months the Company’s unrecognized tax benefits, exclusive of interest, may decrease by up to $757 at the conclusion of the audit. We expect that the decrease, if recognized, would not affect the effective tax rate.</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includes interest and penalties related to unrecognized tax benefits within the provision for income taxes. As of June 30, 2016 and 2015, the total amount of gross interest and penalties accrued was $258 and $62, respectively. In connection with tax matters, the Company recognized interest and penalty expense in fiscals 2016, 2015 and 2014 of $204, $26 and $5, respectively.</w:t>
      </w:r>
    </w:p>
    <w:p>
      <w:pPr>
        <w:spacing w:after="0" w:line="150" w:lineRule="exact"/>
        <w:rPr>
          <w:sz w:val="20"/>
          <w:szCs w:val="20"/>
          <w:color w:val="auto"/>
        </w:rPr>
      </w:pPr>
    </w:p>
    <w:p>
      <w:pPr>
        <w:ind w:left="840" w:hanging="832"/>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10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sale of the Company’s former MIS business, the Company provided indemnification to the buyer of the business. The Company’s indemnification obligations generally cover the buyer for damages resulting from breaches of representations, warranties and covenants contained in the purchase and sale agreement and generally cover pre-closing tax liabilities of the business. The Company’s indemnification obligations regarding the MIS business are generally subject to caps.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2016, the Company has entered into non-cancelable purchase commitments for certain inventory components and services used in its normal operations. The purchase commitments covered by these agreements are for less than one year and aggregate to $32,195.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2029.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2016, 2015, and 2014 was $4,015, $3,777 and $4,213, respectively. Minimum lease payments under the Company’s non-cancelable operating leases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r>
      <w:tr>
        <w:trPr>
          <w:trHeight w:val="192"/>
        </w:trPr>
        <w:tc>
          <w:tcPr>
            <w:tcW w:w="9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4,960</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4,683</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3,674</w:t>
            </w:r>
          </w:p>
        </w:tc>
      </w:tr>
      <w:tr>
        <w:trPr>
          <w:trHeight w:val="243"/>
        </w:trPr>
        <w:tc>
          <w:tcPr>
            <w:tcW w:w="9940" w:type="dxa"/>
            <w:vAlign w:val="bottom"/>
          </w:tcPr>
          <w:p>
            <w:pPr>
              <w:ind w:left="9180"/>
              <w:spacing w:after="0"/>
              <w:rPr>
                <w:sz w:val="20"/>
                <w:szCs w:val="20"/>
                <w:color w:val="auto"/>
              </w:rPr>
            </w:pPr>
            <w:r>
              <w:rPr>
                <w:rFonts w:ascii="Arial" w:cs="Arial" w:eastAsia="Arial" w:hAnsi="Arial"/>
                <w:sz w:val="18"/>
                <w:szCs w:val="18"/>
                <w:color w:val="auto"/>
                <w:w w:val="89"/>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19,445</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43,631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150"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p>
    <w:p>
      <w:pPr>
        <w:spacing w:after="0" w:line="10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2, 2016, the Company and certain of its subsidiaries, as guarantors, entered into a Credit Agreement (the “Credit Agreement”) with a syndicate of commercial banks and Bank of America, N.A acting as the administrative agent. The Credit Agreement provides for a $200,000 term loan facility ("Term Loan") and a $100,000 revolving credit facility ("Revolver"). In connection with the issuance of Term Loan, the Company incurred $8,026 of debt issuance costs, which are recorded as a direct reduction to long-term debt on the face of the consolidated balance sheets. The debt issuance costs will be amortized to non-cash interest expense using the effective interest method over the term of the Term Loan.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w:t>
      </w:r>
    </w:p>
    <w:p>
      <w:pPr>
        <w:spacing w:after="0" w:line="9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Term Loan facility has a five year maturity subject to the amortization payments described below. The revolving credit facility has a five year maturity.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 and Fees</w:t>
      </w:r>
    </w:p>
    <w:p>
      <w:pPr>
        <w:spacing w:after="0" w:line="9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Borrowings under the Credit Agreement bear interest, at the Company’s option, at floating rates tied to LIBOR or the prime rate plus an applicable percentage. The applicable percentage has initially been set at 2.0% and in future fiscal quarters will be established pursuant to a pricing grid based on the Company’s total net leverage ratio. In addition to interest on the aggregate outstanding principal amounts of any borrowings, the Company will also pay a quarterly commitment fee on the unutilized commitments under the Revolver, which fee has initially been set at 0.3% per annum and in future fiscal quarters will be established pursuant to a pricing grid based on the Company’s total net leverage ratio. The Company will also pay customary letter of credit and agency fees. The quarterly commitment fee, letter of credit and agency fees are reported as financing and other related cost in the accompanying consolidated financial statements. As of June 30, 2016, the stated interest rate of the Term Loan was 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Credit Agreement provides for quarterly amortization payments on the Term Loan, beginning with 5.0% per annum amortization and increasing to 12.5% per annum amortization over the five year term of the Term Loan. The Company is required to make mandatory prepayments of the Term Loan with the proceeds of certain non-ordinary course asset sales or the proceeds of certain debt issuances. Subject to minimum notice requirements, borrowings under the Credit Agreement may be voluntarily prepaid at any time without premium or penalty.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Events of Default</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Credit Agreement provides for customary negative covenants, including, among other things and subject to certain significant exceptions, restrictions on the incurrence of debt or guarantees, the creation of liens, the making of certain investments, loans and acquisitions, mergers and dissolutions, the sale of assets including capital stock of subsidiaries, the payment of dividends, the repayment or amending of junior debt, altering the business conducted, engaging in transactions with affiliates and entering into agreements limiting subsidiary dividends and distributions. The Credit Agreement also requires the Company to comply with certain financial covenants, including a quarterly minimum consolidated cash interest charge ratio test and a quarterly maximum consolidated total net leverage ratio test. The Credit Agreement also provides for customary representations and warranties, affirmative covenants and events of default (including, among others, the failure to make required payments of principal and interest, certain insolvency events, and an event of default upon a change of control). If an event of default occurs, the lenders under the Credit Agreement will be entitled to take various actions, including the acceleration of amounts due under the Credit Agreement and all actions permitted to be taken by a secured creditor. As of June 30, 2016, the Company was in compliance with all covenants and conditions under the Credit Agreement.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obligations under the Credit Agreement are guaranteed by certain of the Company’s material domestic wholly-owned restricted subsidiaries (the “Guarantors”). The obligations of both the Company and the Guarantors are secured by a perfected security interest in substantially all of the assets of the Company and the Guarantors, in each case, now owned or later acquired, including a pledge of all of the capital stock of substantially all of the Company’s domestic wholly-owned restricted subsidiaries and 65% of the capital stock of certain of its foreign restricted subsidiaries, subject in each case to the exclusion of certain assets and additional exceptions. The foregoing description of the Credit Agreement does not purport to be complete and is qualified in its entirety by reference to the full text of the Credit Agreement, a copy of which is filed as Exhibit 10.1 to the Company's Current Report on Form 8-K dated May 2, 2016.</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borrowings under the Revolver as of June 30, 2016. The following summarizes the future cash payment obligations (excluding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2018</w:t>
            </w:r>
          </w:p>
        </w:tc>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2020</w:t>
            </w:r>
          </w:p>
        </w:tc>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Pr>
          <w:p>
            <w:pPr>
              <w:spacing w:after="0"/>
              <w:rPr>
                <w:sz w:val="20"/>
                <w:szCs w:val="20"/>
                <w:color w:val="auto"/>
              </w:rPr>
            </w:pPr>
          </w:p>
        </w:tc>
        <w:tc>
          <w:tcPr>
            <w:tcW w:w="6180" w:type="dxa"/>
            <w:vAlign w:val="bottom"/>
            <w:gridSpan w:val="2"/>
          </w:tcPr>
          <w:p>
            <w:pPr>
              <w:jc w:val="right"/>
              <w:ind w:right="30"/>
              <w:spacing w:after="0"/>
              <w:rPr>
                <w:sz w:val="20"/>
                <w:szCs w:val="20"/>
                <w:color w:val="auto"/>
              </w:rPr>
            </w:pPr>
            <w:r>
              <w:rPr>
                <w:rFonts w:ascii="Arial" w:cs="Arial" w:eastAsia="Arial" w:hAnsi="Arial"/>
                <w:sz w:val="18"/>
                <w:szCs w:val="18"/>
                <w:color w:val="auto"/>
              </w:rPr>
              <w:t>Total remaining cash payment obligations $</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Unamortized debt issuance costs</w:t>
            </w:r>
          </w:p>
        </w:tc>
        <w:tc>
          <w:tcPr>
            <w:tcW w:w="5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59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192,275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940" w:type="dxa"/>
            <w:vAlign w:val="bottom"/>
            <w:vMerge w:val="restart"/>
          </w:tcPr>
          <w:p>
            <w:pPr>
              <w:jc w:val="right"/>
              <w:ind w:right="4050"/>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K</w:t>
      </w:r>
      <w:r>
        <w:rPr>
          <w:rFonts w:ascii="Arial" w:cs="Arial" w:eastAsia="Arial" w:hAnsi="Arial"/>
          <w:sz w:val="14"/>
          <w:szCs w:val="14"/>
          <w:b w:val="1"/>
          <w:bCs w:val="1"/>
          <w:color w:val="auto"/>
        </w:rPr>
        <w:t>EY</w:t>
      </w:r>
      <w:r>
        <w:rPr>
          <w:rFonts w:ascii="Arial" w:cs="Arial" w:eastAsia="Arial" w:hAnsi="Arial"/>
          <w:sz w:val="18"/>
          <w:szCs w:val="18"/>
          <w:b w:val="1"/>
          <w:bCs w:val="1"/>
          <w:color w:val="auto"/>
        </w:rPr>
        <w:t>B</w:t>
      </w:r>
      <w:r>
        <w:rPr>
          <w:rFonts w:ascii="Arial" w:cs="Arial" w:eastAsia="Arial" w:hAnsi="Arial"/>
          <w:sz w:val="14"/>
          <w:szCs w:val="14"/>
          <w:b w:val="1"/>
          <w:bCs w:val="1"/>
          <w:color w:val="auto"/>
        </w:rPr>
        <w:t>ANK</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12, 2012, the Company entered into a credit agreement with a syndicate of commercial banks, with KeyBank National Association acting as the administrative agent. The credit agreement provided for a $200,000 senior unsecured revolving line of credit. In connection with the closing of the acquisition of the Carve-Out Business and entering into the new term loan and revolving credit facilities discussed above, the Company terminated its existing revolving credit agreement with KeyBank on May 2, 2016. Deferred costs of $230 associated with this agreement were recorded to other expenses upon termination of the credit agreement.</w:t>
      </w:r>
    </w:p>
    <w:p>
      <w:pPr>
        <w:spacing w:after="0" w:line="157" w:lineRule="exact"/>
        <w:rPr>
          <w:sz w:val="20"/>
          <w:szCs w:val="20"/>
          <w:color w:val="auto"/>
        </w:rPr>
      </w:pPr>
    </w:p>
    <w:p>
      <w:pPr>
        <w:ind w:left="880" w:hanging="872"/>
        <w:spacing w:after="0"/>
        <w:tabs>
          <w:tab w:leader="none" w:pos="8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FFERING</w:t>
      </w:r>
    </w:p>
    <w:p>
      <w:pPr>
        <w:spacing w:after="0" w:line="10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4, 2016, the Company commenced an offering of 4,500 shares of its common stock pursuant to an underwritten public offering (the “Offering”). In connection with the Offering, the Company granted the underwriters an over-allotment option for 30 days to purchase up to an additional 675 shares of its common stock. The Offering was made pursuant to a shelf registration statement previously filed with the SEC on August 15, 2014. On April 13, 2016, the Company closed the Offering, including the full over-allotment allocation, selling an aggregate of 5,175 shares of common stock for total net proceeds of $92,788 after $6,851 of expenses associated with the equity offering including underwriting fees and other related expenses.</w:t>
      </w:r>
    </w:p>
    <w:p>
      <w:pPr>
        <w:spacing w:after="0" w:line="142" w:lineRule="exact"/>
        <w:rPr>
          <w:sz w:val="20"/>
          <w:szCs w:val="20"/>
          <w:color w:val="auto"/>
        </w:rPr>
      </w:pPr>
    </w:p>
    <w:p>
      <w:pPr>
        <w:ind w:left="840" w:hanging="832"/>
        <w:spacing w:after="0"/>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a qualified 401(k) plan (the “401(k) Plan”) for its U.S. employees. During fiscal 2016, 2015 and 2014, the Company matched employee contributions up to 3% of eligible compensation. The Company may also make optional contributions to the plan for any plan year at its discretion. Expense recognized by the Company for matching contributions related to the 401(k) plan was $1,874, $1,934 and $1,896 during the fiscal years ended June 30, 2016, 2015, and 2014, respectively.</w:t>
      </w:r>
    </w:p>
    <w:p>
      <w:pPr>
        <w:spacing w:after="0" w:line="156" w:lineRule="exact"/>
        <w:rPr>
          <w:sz w:val="20"/>
          <w:szCs w:val="20"/>
          <w:color w:val="auto"/>
        </w:rPr>
      </w:pPr>
    </w:p>
    <w:p>
      <w:pPr>
        <w:ind w:left="840" w:hanging="832"/>
        <w:spacing w:after="0"/>
        <w:tabs>
          <w:tab w:leader="none" w:pos="8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15,252 shares at June 30, 2016. As reflected in the Company's registration statement on Form S-8 filed on February 4, 2016, the Company's number of shares authorized for issuance under the 2005 Plan increased by 2 shares as a result of forfeitures, cancellations and/or terminations from the Company's 1997 Stock Option Plan (the "1997 Plan"). The 2005 Plan will be increased by any future cancellations, forfeitures or terminations (other than by exercise)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2,811 shares available for future grant under the 2005 Plan at June 30, 2016.</w:t>
      </w:r>
    </w:p>
    <w:p>
      <w:pPr>
        <w:spacing w:after="0" w:line="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fiscal 2015 and 2016, as part of the Company's ongoing annual equity grant program for employees, the Company granted performance-based restricted stock awards to certain executives pursuant to the 2005 Plan. These performance awards vest annually over a three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monitors the probability of achieving the performance targets on a quarterly basis and may adjust periodic compensation expense accordingly.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2016, 2015, and 2014 was 88, 79 and 92, respectively. Shares available for future purchase under the ESPP totaled 398 at June 30,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14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of 6/30/2016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1,435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830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2,972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Vested and expected to vest at June 30, 2016</w:t>
            </w:r>
          </w:p>
        </w:tc>
        <w:tc>
          <w:tcPr>
            <w:tcW w:w="1600" w:type="dxa"/>
            <w:vAlign w:val="bottom"/>
          </w:tcPr>
          <w:p>
            <w:pPr>
              <w:jc w:val="right"/>
              <w:ind w:right="33"/>
              <w:spacing w:after="0"/>
              <w:rPr>
                <w:sz w:val="20"/>
                <w:szCs w:val="20"/>
                <w:color w:val="auto"/>
              </w:rPr>
            </w:pPr>
            <w:r>
              <w:rPr>
                <w:rFonts w:ascii="Arial" w:cs="Arial" w:eastAsia="Arial" w:hAnsi="Arial"/>
                <w:sz w:val="18"/>
                <w:szCs w:val="18"/>
                <w:b w:val="1"/>
                <w:bCs w:val="1"/>
                <w:color w:val="auto"/>
              </w:rPr>
              <w:t>258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13.34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b w:val="1"/>
                <w:bCs w:val="1"/>
                <w:color w:val="auto"/>
              </w:rPr>
              <w:t>2,972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June 30, 2016</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13.34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2,972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intrinsic value of the options exercised during fiscal years 2016, 2015, and 2014 was $1,976, $3,373 and $578, respectively. Non-vested stock options are subject to the risk of forfeiture until the fulfillment of specified conditions. As of June 30, 2016, there was $0 of total unrecognized compensation cost related to non-vested options granted under the Company’s stock plans. As of June 30, 2015, there was $6 of total unrecognized compensation cost related to non-vested options granted under the Company’s stock plans that was expected to be recognized over a weighted-average period of 0.13 years from June 30, 2015. There were no stock options granted during fiscal years 2016, 2015 or 2014.</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2,091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1,555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12.52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fair value of restricted stock awards vested during fiscal year 2016, 2015, and 2014 was $12,185, $9,078 and $6,543, respectively.</w:t>
      </w:r>
    </w:p>
    <w:p>
      <w:pPr>
        <w:spacing w:after="0" w:line="1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2016, there was $10,938 of total unrecognized compensation cost related to non-vested restricted stock awards granted under the Company’s stock plans that is expected to be recognized over a weighted-average period of 1.6 years from June 30, 2016. As of June 30, 2015, there was $11,080 of total unrecognized compensation cost related to non-vested restricted stock awards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the Company’s stock plans that is expected to be recognized over a weighted-average period of 1.9 years from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recognizes expense for its share-based payment plans in the consolidated statements of operations for the fiscal years 2016, 2015, and 2014 in accordance with FASB ASC 718. The Company had $93 of capitalized stock-based compensation expense on the consolidated balance sheet as of June 30, 2016. In the prior years, the Company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7,024</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5,579</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00" w:hanging="792"/>
        <w:spacing w:after="0"/>
        <w:tabs>
          <w:tab w:leader="none" w:pos="8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0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Prior to the fourth quarter of fiscal 2016, the Company's operating segments were: Mercury Commercial Electronics and Mercury Defense Systems.</w:t>
      </w:r>
    </w:p>
    <w:p>
      <w:pPr>
        <w:spacing w:after="0" w:line="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2016, the Company completed a series of important internal organizational structure changes to align and scale the Company into one business. In addition, over the past several years, the Company has completed several acquisitions to support its strategy of creating a better alternative for affordable, secure processing subsystems designed and made in the U.S.A. These acquisitions culminated with the $300,000 acquisition of the Carve-Out Business on May 2, 2016. These strategic changes finalized the transformation of the CODM’s management, evaluation and review of the business, including how he allocates resources and assesses performance. Therefore, during the fourth quarter ended June 30, 2016, the Company’s previous MCE and MDS operating segments no longer continued to exist and the Company is now comprised of one operating and reportable segment. The Company utilized the management approach for determining its operating segment in accordance with FASB ASC 280.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Europe</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2016</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259,781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270,154</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267,692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270,154</w:t>
            </w: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YEAR ENDED JUNE 30, 2015</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234,847</w:t>
            </w: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Inter-geographic revenues</w:t>
            </w:r>
          </w:p>
        </w:tc>
        <w:tc>
          <w:tcPr>
            <w:tcW w:w="4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232,655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234,847</w:t>
            </w: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Identifiable long-lived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13,127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13,226</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2014</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202,845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208,729</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206,324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208,729</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14,144</w:t>
            </w:r>
          </w:p>
        </w:tc>
      </w:tr>
      <w:tr>
        <w:trPr>
          <w:trHeight w:val="27"/>
        </w:trPr>
        <w:tc>
          <w:tcPr>
            <w:tcW w:w="3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Customers comprising 10% or more of the Company's revenues for the periods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120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4"/>
              </w:rPr>
              <w:t>18%</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99"/>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rPr>
              <w:t>13</w:t>
            </w:r>
          </w:p>
        </w:tc>
      </w:tr>
      <w:tr>
        <w:trPr>
          <w:trHeight w:val="27"/>
        </w:trPr>
        <w:tc>
          <w:tcPr>
            <w:tcW w:w="7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12</w:t>
            </w:r>
          </w:p>
        </w:tc>
      </w:tr>
      <w:tr>
        <w:trPr>
          <w:trHeight w:val="237"/>
        </w:trPr>
        <w:tc>
          <w:tcPr>
            <w:tcW w:w="73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2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4"/>
              </w:rPr>
              <w:t>43%</w:t>
            </w:r>
          </w:p>
        </w:tc>
      </w:tr>
      <w:tr>
        <w:trPr>
          <w:trHeight w:val="27"/>
        </w:trPr>
        <w:tc>
          <w:tcPr>
            <w:tcW w:w="7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the amount is less than 10% of the Company's revenues for the respective period.</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the Company typically has customers from which it derives 10% or more of its revenue, the sales to each of these customers are spread across multiple programs and platforms. Programs comprising 10% or more of the Company's revenues for the periods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Year Ended June 30,</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SEWIP</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Aegis</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Patriot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F-35</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  Indicates that the amount is less than 10% of the Company's revenues for the respective period.</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40" w:hanging="832"/>
        <w:spacing w:after="0"/>
        <w:tabs>
          <w:tab w:leader="none" w:pos="8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2014, the Company conducted a strategic review of the Mercury Intelligence Systems (“MIS”) business which encompassed an assessment of MIS' financial performance and contemporaneous future financial projections. The Company, with Board of Director's approval, concluded that a plan to divest the MIS business would be in the best interests of the Company and its shareholders. On January 23, 2015, the Company completed the sale of MIS.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2014, the Company's MIS business met the "held for sale" criteria in accordance with FASB ASC 205. As the Company did not anticipate continuing involvement in the operations of MIS after its divestiture, the MIS operating results have been reported as a discontinued operation for all periods presented.</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classification as "held for sale" was considered a triggering event for impairment testing under FASB ASC 350 and FASB ASC 360. However, since the Company conducted its annual goodwill impairment testing in its fourth quarter of fiscal 2014, which coincided with the plan to divest the MIS business, the “held for sale” triggering event did not constitute a separate goodwill impairment test under FASB ASC 350 (see Note G). The triggering event, however, did require separate impairment testing of the MIS asset group’s long-lived assets under FASB ASC 360.</w:t>
      </w:r>
    </w:p>
    <w:p>
      <w:pPr>
        <w:spacing w:after="0" w:line="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goodwill impairment testing conducted in the fourth quarter of fiscal 2014 determined the MIS reporting unit's carrying value of goodwill exceeded its implied fair value, resulting in a $6,687 impairment charge. The impairment charge is reflected within discontinued operations of the Company's accompanying consolidated financial statements. The failure of the first step of the goodwill impairment test was driven by a decline in forecasted results of the MIS reporting unit. The fair value of the MIS reporting unit from the first step of the goodwill impairment test exceeded the fair value of the assets and liabilities of the MIS reporting unit, as determined by the second step of the goodwill impairment test. Testing of the valuation of long-lived assets of the MIS asset group indicated no impairment, as the estimated undiscounted cash flows of the MIS asset group, less estimated costs to sell, significantly exceeded its carrying value.</w:t>
      </w:r>
    </w:p>
    <w:p>
      <w:pPr>
        <w:spacing w:after="0" w:line="5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MIS became a discontinued operation in the fourth quarter of fiscal 2014, the revenues, costs of revenue, and operating expenses of MIS have been reported separately as discontinued operations in the Consolidated Statements of Operations and Comprehensive Income (Loss) for all periods presented. The results of discontinued operations do not reflect interest expense or the allocation of the Company's corporate general and administrative expenses.</w:t>
      </w:r>
    </w:p>
    <w:p>
      <w:pPr>
        <w:spacing w:after="0" w:line="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of fiscal 2015, the Company determined that the MIS reporting unit's carrying value of goodwill exceeded its implied fair value, resulting in a further goodwill impairment charge of 2,283. This impairment charge is reflected within discontinued operations of the Company's accompanying fiscal 2015 consolidated financial statements.</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23, 2015, the Company completed the sale of MIS for approximately $1,600. The sale resulted in net proceeds of $885 and a loss on disposal of $892, which is reflected within discontinued operations of the Company's accompanying consolidated financial statements. The Company does not have continuing involvement in the operations of MIS after its divestiture.</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in loss from discontinued operations, net of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6"/>
              </w:rPr>
              <w:t>For the Years Ended June 30,</w:t>
            </w:r>
          </w:p>
        </w:tc>
      </w:tr>
      <w:tr>
        <w:trPr>
          <w:trHeight w:val="264"/>
        </w:trPr>
        <w:tc>
          <w:tcPr>
            <w:tcW w:w="68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of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Costs of discontinued operations: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3,029</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6,687</w:t>
            </w:r>
          </w:p>
        </w:tc>
      </w:tr>
      <w:tr>
        <w:trPr>
          <w:trHeight w:val="27"/>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Loss on disposal of discontinued operations before income taxes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(7,353)</w:t>
            </w:r>
          </w:p>
        </w:tc>
      </w:tr>
      <w:tr>
        <w:trPr>
          <w:trHeight w:val="27"/>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balances for the assets and liabilities of the discontinued operations at June 30,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depreciation, amortization, capital expenditures and significant operating and investing non-cash items of the discontinued operations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4"/>
              </w:rPr>
              <w:t>For the Years Ended June 30,</w:t>
            </w:r>
          </w:p>
        </w:tc>
      </w:tr>
      <w:tr>
        <w:trPr>
          <w:trHeight w:val="264"/>
        </w:trPr>
        <w:tc>
          <w:tcPr>
            <w:tcW w:w="6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6,687</w:t>
            </w: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6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left="840" w:hanging="832"/>
        <w:spacing w:after="0"/>
        <w:tabs>
          <w:tab w:leader="none" w:pos="8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2016 (In thousands, except per share data)</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27,529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28,578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38,176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8,590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14"/>
                <w:szCs w:val="14"/>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2015 (In thousands, except per share data)</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31,267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7,982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5,930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jc w:val="both"/>
        <w:ind w:firstLine="8"/>
        <w:spacing w:after="0" w:line="277" w:lineRule="auto"/>
        <w:tabs>
          <w:tab w:leader="none" w:pos="205" w:val="left"/>
        </w:tabs>
        <w:numPr>
          <w:ilvl w:val="0"/>
          <w:numId w:val="50"/>
        </w:numPr>
        <w:rPr>
          <w:rFonts w:ascii="Arial" w:cs="Arial" w:eastAsia="Arial" w:hAnsi="Arial"/>
          <w:sz w:val="13"/>
          <w:szCs w:val="13"/>
          <w:color w:val="auto"/>
        </w:rPr>
      </w:pPr>
      <w:r>
        <w:rPr>
          <w:rFonts w:ascii="Arial" w:cs="Arial" w:eastAsia="Arial" w:hAnsi="Arial"/>
          <w:sz w:val="13"/>
          <w:szCs w:val="13"/>
          <w:color w:val="auto"/>
        </w:rPr>
        <w:t>Upon adoption of FASB ASU 2016-09, Improvements to Employee Share-Based Payment Accounting, the Company recognized $1,100 of excess tax benefits in the fourth quarter as a benefit to income taxes in its consolidated statements of operations and comprehensive income (loss) for the year ended June 30, 2016. The tax benefit (provision) impacts were restated above to show the effect of this adoption as if it had occurred at the beginning of fiscal 2016. The tax benefit (provision) impacts were $896, $247, $(169), and $126 for the 1</w:t>
      </w:r>
      <w:r>
        <w:rPr>
          <w:rFonts w:ascii="Arial" w:cs="Arial" w:eastAsia="Arial" w:hAnsi="Arial"/>
          <w:sz w:val="8"/>
          <w:szCs w:val="8"/>
          <w:color w:val="auto"/>
        </w:rPr>
        <w:t>st</w:t>
      </w:r>
      <w:r>
        <w:rPr>
          <w:rFonts w:ascii="Arial" w:cs="Arial" w:eastAsia="Arial" w:hAnsi="Arial"/>
          <w:sz w:val="13"/>
          <w:szCs w:val="13"/>
          <w:color w:val="auto"/>
        </w:rPr>
        <w:t xml:space="preserve"> quarter, 2</w:t>
      </w:r>
      <w:r>
        <w:rPr>
          <w:rFonts w:ascii="Arial" w:cs="Arial" w:eastAsia="Arial" w:hAnsi="Arial"/>
          <w:sz w:val="8"/>
          <w:szCs w:val="8"/>
          <w:color w:val="auto"/>
        </w:rPr>
        <w:t>nd</w:t>
      </w:r>
      <w:r>
        <w:rPr>
          <w:rFonts w:ascii="Arial" w:cs="Arial" w:eastAsia="Arial" w:hAnsi="Arial"/>
          <w:sz w:val="13"/>
          <w:szCs w:val="13"/>
          <w:color w:val="auto"/>
        </w:rPr>
        <w:t xml:space="preserve"> quarter, 3</w:t>
      </w:r>
      <w:r>
        <w:rPr>
          <w:rFonts w:ascii="Arial" w:cs="Arial" w:eastAsia="Arial" w:hAnsi="Arial"/>
          <w:sz w:val="8"/>
          <w:szCs w:val="8"/>
          <w:color w:val="auto"/>
        </w:rPr>
        <w:t>rd</w:t>
      </w:r>
      <w:r>
        <w:rPr>
          <w:rFonts w:ascii="Arial" w:cs="Arial" w:eastAsia="Arial" w:hAnsi="Arial"/>
          <w:sz w:val="13"/>
          <w:szCs w:val="13"/>
          <w:color w:val="auto"/>
        </w:rPr>
        <w:t xml:space="preserve"> quarter and 4</w:t>
      </w:r>
      <w:r>
        <w:rPr>
          <w:rFonts w:ascii="Arial" w:cs="Arial" w:eastAsia="Arial" w:hAnsi="Arial"/>
          <w:sz w:val="8"/>
          <w:szCs w:val="8"/>
          <w:color w:val="auto"/>
        </w:rPr>
        <w:t>th</w:t>
      </w:r>
      <w:r>
        <w:rPr>
          <w:rFonts w:ascii="Arial" w:cs="Arial" w:eastAsia="Arial" w:hAnsi="Arial"/>
          <w:sz w:val="13"/>
          <w:szCs w:val="13"/>
          <w:color w:val="auto"/>
        </w:rPr>
        <w:t xml:space="preserve"> quarter, respectively. Income from continuing operations, net income, and net income amounts per share were also updated as a result of the adjustment to the income tax provision.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Due to the effects of rounding, the sum of the four quarters does not equal the annual total.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ind w:left="340" w:right="620" w:hanging="323"/>
        <w:spacing w:after="0" w:line="26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38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10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conducted an evaluation as of June 30, 2016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2016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1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0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0"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2016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published by the Committee of Sponsoring Organizations of the Treadway Commission. As a result of this assessment, management concluded that our internal control over financial reporting was effective as of June 30, 2016. The effectiveness of our internal control over financial reporting as of June 30, 2016 has been audited by KPMG LLP, an independent registered public accounting firm, as stated in its report.</w:t>
      </w:r>
    </w:p>
    <w:p>
      <w:pPr>
        <w:spacing w:after="0" w:line="5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audited consolidated financial statements of the Company include the results of the acquired Carve-Out Business on and after May 2, 2016, as described in Note C to the Consolidated Financial Statements. Upon consideration of the date of the acquisition and the time constraints under which our management’s assessment would have to be made, management determined that it would not be possible to conduct a sufficiently comprehensive assessment of the Carve-Out Business’ internal control over financial reporting as allowable under section 404 of the Sarbanes-Oxley Act of 2002. Accordingly, these operations have been excluded from the scope of management’s assessment of internal controls for fiscal year 2016. However, management is in the process of integrating the Carve-Out Business into the overall internal control over financial reporting environment for fiscal year 2017. The Company’s consolidated financial statements reflect revenues and total assets from the Carve-Out Business of approximately 6 percent and 46 percent (of which 37 percent represented goodwill and intangible assets included within the scope of the Company’s assessment), respectively, as of and for the year ended June 30, 2016.</w:t>
      </w:r>
    </w:p>
    <w:p>
      <w:pPr>
        <w:spacing w:after="0" w:line="11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2016 identified in connection with our Chief Executive Officer’s and Chief Financial Officer’s evaluation that have materially affected, or are reasonably likely to materially affect, our internal control over financial reporting. However, management is in the process of integrating the Carve-Out Business into our overall internal control over financial reporting environment.</w:t>
      </w:r>
    </w:p>
    <w:p>
      <w:pPr>
        <w:spacing w:after="0" w:line="156"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2016 Annual Meeting of Shareholders (the “Shareholders Meeting”), except that information required by this item concerning our executive officers appears in Part I, Item 4.1. of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2" w:right="239" w:bottom="1440" w:gutter="0" w:footer="0" w:header="0"/>
        </w:sectPr>
      </w:pPr>
    </w:p>
    <w:bookmarkStart w:id="79" w:name="page80"/>
    <w:bookmarkEnd w:id="79"/>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Shareholders Meeting.</w:t>
      </w:r>
    </w:p>
    <w:p>
      <w:pPr>
        <w:spacing w:after="0" w:line="167"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6"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STATEMENTS, SCHEDULES AND EXHIBITS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financial statements, schedule, and exhibits listed below are included in or incorporated by reference as part of this report:</w:t>
      </w:r>
    </w:p>
    <w:p>
      <w:pPr>
        <w:spacing w:after="0" w:line="2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Balance Sheets as of June 30, 2016 and 2015</w:t>
      </w:r>
    </w:p>
    <w:p>
      <w:pPr>
        <w:spacing w:after="0" w:line="9" w:lineRule="exact"/>
        <w:rPr>
          <w:sz w:val="20"/>
          <w:szCs w:val="20"/>
          <w:color w:val="auto"/>
        </w:rPr>
      </w:pPr>
    </w:p>
    <w:p>
      <w:pPr>
        <w:ind w:left="500" w:right="1260"/>
        <w:spacing w:after="0" w:line="265" w:lineRule="auto"/>
        <w:rPr>
          <w:sz w:val="20"/>
          <w:szCs w:val="20"/>
          <w:color w:val="auto"/>
        </w:rPr>
      </w:pPr>
      <w:r>
        <w:rPr>
          <w:rFonts w:ascii="Arial" w:cs="Arial" w:eastAsia="Arial" w:hAnsi="Arial"/>
          <w:sz w:val="17"/>
          <w:szCs w:val="17"/>
          <w:color w:val="auto"/>
        </w:rPr>
        <w:t>Consolidated Statements of Operations and Comprehensive Income (loss) for the fiscal years ended June 30, 2016, 2015, and 2014 Consolidated Statements of Shareholders’ Equity for the fiscal years ended June 30, 2016, 2015, and 2014</w:t>
      </w:r>
    </w:p>
    <w:p>
      <w:pPr>
        <w:ind w:left="500" w:right="4140"/>
        <w:spacing w:after="0" w:line="250" w:lineRule="auto"/>
        <w:rPr>
          <w:sz w:val="20"/>
          <w:szCs w:val="20"/>
          <w:color w:val="auto"/>
        </w:rPr>
      </w:pPr>
      <w:r>
        <w:rPr>
          <w:rFonts w:ascii="Arial" w:cs="Arial" w:eastAsia="Arial" w:hAnsi="Arial"/>
          <w:sz w:val="18"/>
          <w:szCs w:val="18"/>
          <w:color w:val="auto"/>
        </w:rPr>
        <w:t>Consolidated Statements of Cash Flows for the years ended June 30, 2016, 2015, and 2014 Notes to Consolidated Financial Statements</w:t>
      </w:r>
    </w:p>
    <w:p>
      <w:pPr>
        <w:spacing w:after="0" w:line="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769" w:right="4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Allowance for Doubtful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WRITE-</w:t>
            </w: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2"/>
                <w:szCs w:val="12"/>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REVERSALS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OFFS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right"/>
              <w:ind w:right="957"/>
              <w:spacing w:after="0"/>
              <w:rPr>
                <w:sz w:val="20"/>
                <w:szCs w:val="20"/>
                <w:color w:val="auto"/>
              </w:rPr>
            </w:pPr>
            <w:r>
              <w:rPr>
                <w:rFonts w:ascii="Arial" w:cs="Arial" w:eastAsia="Arial" w:hAnsi="Arial"/>
                <w:sz w:val="18"/>
                <w:szCs w:val="18"/>
                <w:b w:val="1"/>
                <w:bCs w:val="1"/>
                <w:color w:val="auto"/>
                <w:w w:val="99"/>
              </w:rPr>
              <w:t>Deferred Tax Asset Valuation Allowance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24"/>
                <w:szCs w:val="24"/>
                <w:color w:val="auto"/>
              </w:rPr>
            </w:pPr>
          </w:p>
        </w:tc>
        <w:tc>
          <w:tcPr>
            <w:tcW w:w="13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24"/>
                <w:szCs w:val="24"/>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rPr>
              <w:t>TO COSTS &amp;</w:t>
            </w:r>
          </w:p>
        </w:tc>
        <w:tc>
          <w:tcPr>
            <w:tcW w:w="280" w:type="dxa"/>
            <w:vAlign w:val="bottom"/>
          </w:tcPr>
          <w:p>
            <w:pPr>
              <w:spacing w:after="0"/>
              <w:rPr>
                <w:sz w:val="12"/>
                <w:szCs w:val="12"/>
                <w:color w:val="auto"/>
              </w:rPr>
            </w:pPr>
          </w:p>
        </w:tc>
        <w:tc>
          <w:tcPr>
            <w:tcW w:w="12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OTHER</w:t>
            </w:r>
          </w:p>
        </w:tc>
        <w:tc>
          <w:tcPr>
            <w:tcW w:w="280" w:type="dxa"/>
            <w:vAlign w:val="bottom"/>
          </w:tcPr>
          <w:p>
            <w:pPr>
              <w:spacing w:after="0"/>
              <w:rPr>
                <w:sz w:val="12"/>
                <w:szCs w:val="12"/>
                <w:color w:val="auto"/>
              </w:rPr>
            </w:pPr>
          </w:p>
        </w:tc>
        <w:tc>
          <w:tcPr>
            <w:tcW w:w="13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EXPENSES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ACCOUNTS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18,864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18,472</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10,844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8,020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9,032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required by Item 601 of Regulation S-K are listed in the Exhibit Index on page 83,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16,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500"/>
        <w:spacing w:after="0"/>
        <w:tabs>
          <w:tab w:leader="none" w:pos="6840" w:val="left"/>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GERALD M. HAINES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48"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Gerald M. Haines II</w:t>
      </w:r>
    </w:p>
    <w:p>
      <w:pPr>
        <w:jc w:val="center"/>
        <w:ind w:left="4920"/>
        <w:spacing w:after="0" w:line="226" w:lineRule="auto"/>
        <w:rPr>
          <w:sz w:val="20"/>
          <w:szCs w:val="20"/>
          <w:color w:val="auto"/>
        </w:rPr>
      </w:pPr>
      <w:r>
        <w:rPr>
          <w:rFonts w:ascii="Arial" w:cs="Arial" w:eastAsia="Arial" w:hAnsi="Arial"/>
          <w:sz w:val="14"/>
          <w:szCs w:val="14"/>
          <w:b w:val="1"/>
          <w:bCs w:val="1"/>
          <w:color w:val="auto"/>
        </w:rPr>
        <w:t>EXECUTIVE VICE PRESIDENT, CHIEF FINANCIAL OFFICER, AND TREASURER</w:t>
      </w:r>
    </w:p>
    <w:p>
      <w:pPr>
        <w:spacing w:after="0" w:line="1"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[PRINCIPAL FINANCIAL OFFICER]</w:t>
      </w:r>
    </w:p>
    <w:p>
      <w:pPr>
        <w:spacing w:after="0" w:line="16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Signature</w:t>
            </w:r>
          </w:p>
        </w:tc>
        <w:tc>
          <w:tcPr>
            <w:tcW w:w="218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Title(s)</w:t>
            </w:r>
          </w:p>
        </w:tc>
        <w:tc>
          <w:tcPr>
            <w:tcW w:w="92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9"/>
        </w:trPr>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0"/>
        </w:trPr>
        <w:tc>
          <w:tcPr>
            <w:tcW w:w="1720" w:type="dxa"/>
            <w:vAlign w:val="bottom"/>
            <w:gridSpan w:val="2"/>
          </w:tcPr>
          <w:p>
            <w:pPr>
              <w:ind w:left="1540"/>
              <w:spacing w:after="0"/>
              <w:rPr>
                <w:sz w:val="20"/>
                <w:szCs w:val="20"/>
                <w:color w:val="auto"/>
              </w:rPr>
            </w:pPr>
            <w:r>
              <w:rPr>
                <w:rFonts w:ascii="Arial" w:cs="Arial" w:eastAsia="Arial" w:hAnsi="Arial"/>
                <w:sz w:val="18"/>
                <w:szCs w:val="18"/>
                <w:color w:val="auto"/>
                <w:w w:val="83"/>
              </w:rPr>
              <w:t>/s/</w:t>
            </w:r>
          </w:p>
        </w:tc>
        <w:tc>
          <w:tcPr>
            <w:tcW w:w="2800" w:type="dxa"/>
            <w:vAlign w:val="bottom"/>
            <w:gridSpan w:val="3"/>
          </w:tcPr>
          <w:p>
            <w:pPr>
              <w:jc w:val="center"/>
              <w:ind w:right="13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Aslett</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Chief Financial Officer, and</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58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w:t>
            </w:r>
            <w:r>
              <w:rPr>
                <w:rFonts w:ascii="Arial" w:cs="Arial" w:eastAsia="Arial" w:hAnsi="Arial"/>
                <w:sz w:val="18"/>
                <w:szCs w:val="18"/>
                <w:color w:val="auto"/>
              </w:rPr>
              <w:t xml:space="preserve"> II</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Treasurer (principal financial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Gerald M. Haines II</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Vice President, Controller, and Chief Accounting Officer</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58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HARLES</w:t>
            </w:r>
            <w:r>
              <w:rPr>
                <w:rFonts w:ascii="Arial" w:cs="Arial" w:eastAsia="Arial" w:hAnsi="Arial"/>
                <w:sz w:val="18"/>
                <w:szCs w:val="18"/>
                <w:color w:val="auto"/>
              </w:rPr>
              <w:t xml:space="preserve"> A. S</w:t>
            </w:r>
            <w:r>
              <w:rPr>
                <w:rFonts w:ascii="Arial" w:cs="Arial" w:eastAsia="Arial" w:hAnsi="Arial"/>
                <w:sz w:val="14"/>
                <w:szCs w:val="14"/>
                <w:color w:val="auto"/>
              </w:rPr>
              <w:t>PEICHER</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Charles A. Speicher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720" w:type="dxa"/>
            <w:vAlign w:val="bottom"/>
            <w:gridSpan w:val="2"/>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K. B</w:t>
            </w:r>
            <w:r>
              <w:rPr>
                <w:rFonts w:ascii="Arial" w:cs="Arial" w:eastAsia="Arial" w:hAnsi="Arial"/>
                <w:sz w:val="14"/>
                <w:szCs w:val="14"/>
                <w:color w:val="auto"/>
                <w:w w:val="96"/>
              </w:rPr>
              <w:t>ASS</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8"/>
              </w:rPr>
              <w:t>James K. Bass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3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Pr>
          <w:p>
            <w:pPr>
              <w:spacing w:after="0"/>
              <w:rPr>
                <w:sz w:val="24"/>
                <w:szCs w:val="24"/>
                <w:color w:val="auto"/>
              </w:rPr>
            </w:pP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S. N</w:t>
            </w:r>
            <w:r>
              <w:rPr>
                <w:rFonts w:ascii="Arial" w:cs="Arial" w:eastAsia="Arial" w:hAnsi="Arial"/>
                <w:sz w:val="14"/>
                <w:szCs w:val="14"/>
                <w:color w:val="auto"/>
              </w:rPr>
              <w:t>EWMAN</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7"/>
              </w:rPr>
              <w:t>Mark S. Newman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94"/>
              </w:rPr>
              <w:t>Michael A. Daniels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jc w:val="center"/>
              <w:ind w:right="122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George K. Muellner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80"/>
              <w:spacing w:after="0"/>
              <w:rPr>
                <w:sz w:val="20"/>
                <w:szCs w:val="20"/>
                <w:color w:val="auto"/>
              </w:rPr>
            </w:pPr>
            <w:r>
              <w:rPr>
                <w:rFonts w:ascii="Arial" w:cs="Arial" w:eastAsia="Arial" w:hAnsi="Arial"/>
                <w:sz w:val="14"/>
                <w:szCs w:val="14"/>
                <w:b w:val="1"/>
                <w:bCs w:val="1"/>
                <w:color w:val="auto"/>
              </w:rPr>
              <w:t>William K. O’Brien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Directors</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16,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4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Vincent Vitto</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60" w:type="dxa"/>
            <w:vAlign w:val="bottom"/>
          </w:tcPr>
          <w:p>
            <w:pPr>
              <w:ind w:left="150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49"/>
        </w:trPr>
        <w:tc>
          <w:tcPr>
            <w:tcW w:w="660" w:type="dxa"/>
            <w:vAlign w:val="bottom"/>
          </w:tcPr>
          <w:p>
            <w:pPr>
              <w:ind w:left="14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Underwriting Agreement, dated April 7, 2016, among Mercury Systems, Inc. as issuer and Citigroup Global Markets Inc. and Merrill</w:t>
            </w:r>
          </w:p>
        </w:tc>
      </w:tr>
      <w:tr>
        <w:trPr>
          <w:trHeight w:val="216"/>
        </w:trPr>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Lynch, Pierce, Fenner &amp; Smith Incorporated as representatives of the several underwriters named therein (incorporated herein by</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 to Exhibit 1.1 of the Company's current report on Form 8-K filed on April 8, 2016)</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3.1.1</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Articles of Organization (incorporated herein by reference to Exhibit 3.1.1 of the Company’s annual report on Form 10-K for the fiscal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Articles of Amendment (incorporated herein by reference to Exhibit 3.1.2 of the Company’s annual report on Form 10-K for the fiscal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3.1.3</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Articles of Amendment (incorporated herein by reference to Exhibit 1 of the Company’s registration statement on Form 8-A filed on</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15, 2005)</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3.1.4</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8"/>
              </w:rPr>
              <w:t>Articles of Amendment (incorporated herein by reference to Exhibit 3.1 of the Company's current report on Form 8-K filed on</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November 13, 2012)</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3.1.5</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Articles of Amendment (incorporated herein by reference to Exhibit 3.1 of the Company's current report on Form 8-K filed on June 30,</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2015)</w:t>
            </w:r>
          </w:p>
        </w:tc>
        <w:tc>
          <w:tcPr>
            <w:tcW w:w="7860" w:type="dxa"/>
            <w:vAlign w:val="bottom"/>
          </w:tcPr>
          <w:p>
            <w:pPr>
              <w:spacing w:after="0"/>
              <w:rPr>
                <w:sz w:val="20"/>
                <w:szCs w:val="20"/>
                <w:color w:val="auto"/>
              </w:rPr>
            </w:pP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Bylaws, amended and restated effective as of May 4, 2011 (incorporated herein by reference to Exhibit 3.2 of the Company’s quarterly</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report on Form 10-Q for the quarter ended March 31,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Form of Stock Certificate (incorporated herein by reference to Exhibit 4.1 of the Company’s Registration Statement on Form S-1 (File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No. 333-41139))</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1997 Stock Option Plan, as amended and restated (incorporated herein by reference to Exhibit 10.1.1 of the Company’s annual report</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on Form 10-K for the fiscal year ended June 30, 2010)</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9740" w:type="dxa"/>
            <w:vAlign w:val="bottom"/>
            <w:gridSpan w:val="2"/>
          </w:tcPr>
          <w:p>
            <w:pPr>
              <w:spacing w:after="0"/>
              <w:rPr>
                <w:sz w:val="20"/>
                <w:szCs w:val="20"/>
                <w:color w:val="auto"/>
              </w:rPr>
            </w:pPr>
            <w:r>
              <w:rPr>
                <w:rFonts w:ascii="Arial" w:cs="Arial" w:eastAsia="Arial" w:hAnsi="Arial"/>
                <w:sz w:val="18"/>
                <w:szCs w:val="18"/>
                <w:color w:val="auto"/>
                <w:w w:val="97"/>
              </w:rPr>
              <w:t>Form of Stock Option Agreement under the 1997 Stock Option Plan (incorporated herein by reference to Exhibit 10.1.2 of the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Form of Restricted Stock Award Agreement under the 1997 Stock Option Plan (incorporated herein by reference to Exhibit 10.1.3 of</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Company’s annual report on Form 10-K for the 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1997 Employee Stock Purchase Plan, as amended and restated (incorporated herein by reference to Appendix B to the Company’s</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definitive proxy statement filed on October 29, 2015)</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Form of Indemnification Agreement between the Company and each of its current directors (incorporated herein by reference to</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Exhibit 10.4 of the Company’s annual 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Annual Executive Bonus Plan – Corporate Financial Performance (incorporated herein by reference to Appendix A to the Company’s</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definitive proxy statement filed on August 30, 2013)</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10.5*</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Annual Executive Bonus Plan – Individual Performance (incorporated herein by reference to Exhibit 10.7 of the Company’s annual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2005 Stock Incentive Plan, as amended and restated (incorporated herein by reference to Appendix A to the Company’s definitive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proxy statement filed on October 29, 2015)</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10.7.1*</w:t>
            </w: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Form of Stock Option Agreement under the 2005 Stock Incentive Plan (incorporated herein by reference to Exhibit 10.8.1 of the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10.7.2*</w:t>
            </w: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10.8.2 of</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Company’s annual report on Form 10-K for the fiscal year ended June 30, 2011)</w:t>
            </w:r>
          </w:p>
        </w:tc>
      </w:tr>
      <w:tr>
        <w:trPr>
          <w:trHeight w:val="486"/>
        </w:trPr>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40" w:type="dxa"/>
            <w:vAlign w:val="bottom"/>
            <w:gridSpan w:val="2"/>
          </w:tcPr>
          <w:p>
            <w:pPr>
              <w:ind w:left="398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200" w:type="dxa"/>
            <w:vAlign w:val="bottom"/>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40" w:type="dxa"/>
            <w:vAlign w:val="bottom"/>
          </w:tcPr>
          <w:p>
            <w:pPr>
              <w:spacing w:after="0"/>
              <w:rPr>
                <w:sz w:val="20"/>
                <w:szCs w:val="20"/>
                <w:color w:val="auto"/>
              </w:rPr>
            </w:pPr>
            <w:r>
              <w:rPr>
                <w:rFonts w:ascii="Arial" w:cs="Arial" w:eastAsia="Arial" w:hAnsi="Arial"/>
                <w:sz w:val="18"/>
                <w:szCs w:val="18"/>
                <w:color w:val="auto"/>
              </w:rPr>
              <w:t>10.7.3*</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10.8.3 of</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10.7.4*</w:t>
            </w: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Form of Stock Option Agreement for performance stock options under the 2005 Stock Incentive Plan (incorporated herein by reference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to Exhibit 10.1 of the Company’s current report on Form 8-K filed on September 28, 2007)</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10.7.5*</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Form of Amended and Restated Performance-Based Restricted Stock Award Agreement under the 2005 Stock Incentive Plan</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(incorporated herein by reference to Exhibit 10.1 of the Company's quarterly report on Form 10-Q for the quarter ended September 30,</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2014)</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10.8.1*</w:t>
            </w:r>
          </w:p>
        </w:tc>
        <w:tc>
          <w:tcPr>
            <w:tcW w:w="10200" w:type="dxa"/>
            <w:vAlign w:val="bottom"/>
          </w:tcPr>
          <w:p>
            <w:pPr>
              <w:ind w:left="460"/>
              <w:spacing w:after="0"/>
              <w:rPr>
                <w:sz w:val="20"/>
                <w:szCs w:val="20"/>
                <w:color w:val="auto"/>
              </w:rPr>
            </w:pPr>
            <w:r>
              <w:rPr>
                <w:rFonts w:ascii="Arial" w:cs="Arial" w:eastAsia="Arial" w:hAnsi="Arial"/>
                <w:sz w:val="18"/>
                <w:szCs w:val="18"/>
                <w:color w:val="auto"/>
                <w:w w:val="96"/>
              </w:rPr>
              <w:t>Form of Change in Control Severance Agreement between the Company and Mark Aslett (incorporated herein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10.9.1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10.8.2*</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Form of Change in Control Severance Agreement between the Company and Non-CEO Executives (incorporated herein by reference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to Exhibit 10.9.2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Compensation Policy for Non-Employee Directors (incorporated herein by reference to Exhibit 10.10 of the Company's annual report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on Form 10-K for the fiscal year ended June 30,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10.10.1*</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Employment Agreement, dated as of November 19, 2007, by and between the Company and Mark Aslett (incorporated herein by</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reference to Exhibit 10.1 of the Company’s current report on Form 8-K filed on November 20, 2007)</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10.10.2*</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First Amendment to Employment Agreement, dated as of December 20, 2008, by and between the Company and Mark Aslett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(incorporated by reference to Exhibit 10.2 of the Company’s quarterly report on Form 10-Q for the quarter ended December 31, 2008)</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10.10.3*</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Second Amendment to Employment Agreement, dated as of September 30, 2009, by and between the Company and Mark Aslett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(incorporated by reference to Exhibit 10.1 of the Company’s quarterly report on Form 10-Q for the quarter ended September 30, 2009)</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Agreement, dated March 1, 2010, by and between the Company and Gerald M. Haines II (incorporated herein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10.13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Micronetics, Inc. 2006 Equity Incentive Plan (incorporated herein by reference to Exhibit 99.1 to the Company’s registration statement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on Form S-8 filed on August 10,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200" w:type="dxa"/>
            <w:vAlign w:val="bottom"/>
          </w:tcPr>
          <w:p>
            <w:pPr>
              <w:ind w:left="460"/>
              <w:spacing w:after="0"/>
              <w:rPr>
                <w:sz w:val="20"/>
                <w:szCs w:val="20"/>
                <w:color w:val="auto"/>
              </w:rPr>
            </w:pPr>
            <w:r>
              <w:rPr>
                <w:rFonts w:ascii="Arial" w:cs="Arial" w:eastAsia="Arial" w:hAnsi="Arial"/>
                <w:sz w:val="18"/>
                <w:szCs w:val="18"/>
                <w:color w:val="auto"/>
                <w:w w:val="98"/>
              </w:rPr>
              <w:t>Stock Purchase Agreement by and between Mercury Systems, Inc. and Microsemi Corporation, dated as of March 23, 2016</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(incorporated by reference to Exhibit 10.1 of the Company's current report on Form 8-K filed on April 4, 2016)</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Credit Agreement, dated May 2, 2016, among Mercury Systems, Inc., the Guarantors party thereto, the Lenders party thereto and Bank</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3"/>
              </w:rPr>
              <w:t>of America, N.A., as Administrative Agent and Collateral Agent (incorporated by reference to Exhibit 10.1 of the Company's current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report on Form 8-K filed on May 2, 2016)</w:t>
            </w:r>
          </w:p>
        </w:tc>
      </w:tr>
      <w:tr>
        <w:trPr>
          <w:trHeight w:val="486"/>
        </w:trPr>
        <w:tc>
          <w:tcPr>
            <w:tcW w:w="1140" w:type="dxa"/>
            <w:vAlign w:val="bottom"/>
          </w:tcPr>
          <w:p>
            <w:pPr>
              <w:spacing w:after="0"/>
              <w:rPr>
                <w:sz w:val="24"/>
                <w:szCs w:val="24"/>
                <w:color w:val="auto"/>
              </w:rPr>
            </w:pPr>
          </w:p>
        </w:tc>
        <w:tc>
          <w:tcPr>
            <w:tcW w:w="10200" w:type="dxa"/>
            <w:vAlign w:val="bottom"/>
          </w:tcPr>
          <w:p>
            <w:pPr>
              <w:ind w:left="444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200" w:type="dxa"/>
            <w:vAlign w:val="bottom"/>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55"/>
        </w:trPr>
        <w:tc>
          <w:tcPr>
            <w:tcW w:w="1140" w:type="dxa"/>
            <w:vAlign w:val="bottom"/>
          </w:tcPr>
          <w:p>
            <w:pPr>
              <w:spacing w:after="0"/>
              <w:rPr>
                <w:sz w:val="20"/>
                <w:szCs w:val="20"/>
                <w:color w:val="auto"/>
              </w:rPr>
            </w:pPr>
            <w:r>
              <w:rPr>
                <w:rFonts w:ascii="Arial" w:cs="Arial" w:eastAsia="Arial" w:hAnsi="Arial"/>
                <w:sz w:val="18"/>
                <w:szCs w:val="18"/>
                <w:color w:val="auto"/>
              </w:rPr>
              <w:t>12.1†</w:t>
            </w:r>
          </w:p>
        </w:tc>
        <w:tc>
          <w:tcPr>
            <w:tcW w:w="10200" w:type="dxa"/>
            <w:vAlign w:val="bottom"/>
          </w:tcPr>
          <w:p>
            <w:pPr>
              <w:ind w:left="460"/>
              <w:spacing w:after="0"/>
              <w:rPr>
                <w:sz w:val="20"/>
                <w:szCs w:val="20"/>
                <w:color w:val="auto"/>
              </w:rPr>
            </w:pPr>
            <w:r>
              <w:rPr>
                <w:rFonts w:ascii="Arial" w:cs="Arial" w:eastAsia="Arial" w:hAnsi="Arial"/>
                <w:sz w:val="18"/>
                <w:szCs w:val="18"/>
                <w:color w:val="auto"/>
              </w:rPr>
              <w:t>Computation of Ratio of Earnings to Fixed Charges</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tcPr>
          <w:p>
            <w:pPr>
              <w:ind w:left="46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0200" w:type="dxa"/>
            <w:vAlign w:val="bottom"/>
          </w:tcPr>
          <w:p>
            <w:pPr>
              <w:ind w:left="460"/>
              <w:spacing w:after="0"/>
              <w:rPr>
                <w:sz w:val="20"/>
                <w:szCs w:val="20"/>
                <w:color w:val="auto"/>
              </w:rPr>
            </w:pPr>
            <w:r>
              <w:rPr>
                <w:rFonts w:ascii="Arial" w:cs="Arial" w:eastAsia="Arial" w:hAnsi="Arial"/>
                <w:sz w:val="18"/>
                <w:szCs w:val="18"/>
                <w:color w:val="auto"/>
              </w:rPr>
              <w:t>Consent of KPMG LLP</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10200" w:type="dxa"/>
            <w:vAlign w:val="bottom"/>
          </w:tcPr>
          <w:p>
            <w:pPr>
              <w:ind w:left="460"/>
              <w:spacing w:after="0"/>
              <w:rPr>
                <w:sz w:val="20"/>
                <w:szCs w:val="20"/>
                <w:color w:val="auto"/>
              </w:rPr>
            </w:pPr>
            <w:r>
              <w:rPr>
                <w:rFonts w:ascii="Arial" w:cs="Arial" w:eastAsia="Arial" w:hAnsi="Arial"/>
                <w:sz w:val="18"/>
                <w:szCs w:val="18"/>
                <w:color w:val="auto"/>
              </w:rPr>
              <w:t>Consent of PricewaterhouseCoopers LLP, independent accountants for the Carve-Out Business</w:t>
            </w:r>
          </w:p>
        </w:tc>
      </w:tr>
      <w:tr>
        <w:trPr>
          <w:trHeight w:val="9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46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46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Certification of the Company’s Chief Executive Officer and Chief Financial Officer pursuant to Section 906 of the Sarbanes-Oxley Act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of 2002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00" w:type="dxa"/>
            <w:vAlign w:val="bottom"/>
          </w:tcPr>
          <w:p>
            <w:pPr>
              <w:ind w:left="460"/>
              <w:spacing w:after="0"/>
              <w:rPr>
                <w:sz w:val="20"/>
                <w:szCs w:val="20"/>
                <w:color w:val="auto"/>
              </w:rPr>
            </w:pPr>
            <w:r>
              <w:rPr>
                <w:rFonts w:ascii="Arial" w:cs="Arial" w:eastAsia="Arial" w:hAnsi="Arial"/>
                <w:sz w:val="18"/>
                <w:szCs w:val="18"/>
                <w:color w:val="auto"/>
                <w:w w:val="96"/>
              </w:rPr>
              <w:t>Carve-Out Business audited consolidated balance sheets as of September 27, 2015 and September 28, 2014, and the related</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6"/>
              </w:rPr>
              <w:t>consolidated statements of operations and comprehensive income, consolidated statements of changes of invested equity and</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6"/>
              </w:rPr>
              <w:t>consolidated statements of cash flows for the years ended September 27, 2015, September 28, 2014 and September 29, 2013</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9"/>
              </w:rPr>
              <w:t>(incorporated by reference to Exhibit 99.2 of the Company’s Current Report on Form 8-K filed with the Securities Exchange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Commission on April 4, 2016)</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00" w:type="dxa"/>
            <w:vAlign w:val="bottom"/>
          </w:tcPr>
          <w:p>
            <w:pPr>
              <w:ind w:left="460"/>
              <w:spacing w:after="0"/>
              <w:rPr>
                <w:sz w:val="20"/>
                <w:szCs w:val="20"/>
                <w:color w:val="auto"/>
              </w:rPr>
            </w:pPr>
            <w:r>
              <w:rPr>
                <w:rFonts w:ascii="Arial" w:cs="Arial" w:eastAsia="Arial" w:hAnsi="Arial"/>
                <w:sz w:val="18"/>
                <w:szCs w:val="18"/>
                <w:color w:val="auto"/>
                <w:w w:val="93"/>
              </w:rPr>
              <w:t>Carve-Out Business unaudited interim consolidated balance sheets as of January 3, 2016 and December 28, 2014 and the related</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unaudited consolidated statements of operations and comprehensive income and consolidated statements of cash flows for three</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months ended January 3, 2016 and December 28, 2014 (incorporated by reference to Exhibit 99.3 of the Company’s Current Report on</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Form 8-K filed with the Securities Exchange Commission on April 4, 2016)</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99.3</w:t>
            </w: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Mercury Systems, Inc. unaudited pro forma condensed consolidated balance sheet as of December 31, 2015, the unaudited pro forma</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89"/>
              </w:rPr>
              <w:t>condensed consolidated statements of operations for the six months ended December 31, 2015 and the unaudited pro forma condensed</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3"/>
              </w:rPr>
              <w:t>consolidated statement of operations for the year ended June 30, 2015 (incorporated by reference to Exhibit 99.4 of the Company’s</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Current Report on Form 8-K filed with the Securities Exchange Commission on April 4, 2016)</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Interactive data files pursuant to Rule 405 of Regulation S-T: (i) Consolidated Statement of Operations, (ii) Consolidated Balance</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Sheet, (iii) Consolidated Statement of Shareholders’ Equity, (iv) Consolidated Statement of Cash Flows, and (v) Notes to Consolidated</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financial Statements</w:t>
            </w:r>
          </w:p>
        </w:tc>
      </w:tr>
    </w:tbl>
    <w:p>
      <w:pPr>
        <w:spacing w:after="0" w:line="395" w:lineRule="exact"/>
        <w:rPr>
          <w:sz w:val="20"/>
          <w:szCs w:val="20"/>
          <w:color w:val="auto"/>
        </w:rPr>
      </w:pPr>
    </w:p>
    <w:p>
      <w:pPr>
        <w:ind w:left="960" w:hanging="925"/>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73" w:lineRule="exact"/>
        <w:rPr>
          <w:sz w:val="20"/>
          <w:szCs w:val="20"/>
          <w:color w:val="auto"/>
        </w:rPr>
      </w:pPr>
    </w:p>
    <w:p>
      <w:pPr>
        <w:ind w:left="960" w:hanging="925"/>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Filed with this Form 10-K.</w:t>
      </w:r>
    </w:p>
    <w:p>
      <w:pPr>
        <w:spacing w:after="0" w:line="73" w:lineRule="exact"/>
        <w:rPr>
          <w:sz w:val="20"/>
          <w:szCs w:val="20"/>
          <w:color w:val="auto"/>
        </w:rPr>
      </w:pPr>
    </w:p>
    <w:p>
      <w:pPr>
        <w:ind w:left="960" w:right="40" w:hanging="925"/>
        <w:spacing w:after="0" w:line="329" w:lineRule="auto"/>
        <w:tabs>
          <w:tab w:leader="none" w:pos="9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25" w:right="2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3"/>
          </w:tcPr>
          <w:p>
            <w:pPr>
              <w:ind w:left="300"/>
              <w:spacing w:after="0"/>
              <w:rPr>
                <w:sz w:val="20"/>
                <w:szCs w:val="20"/>
                <w:color w:val="auto"/>
              </w:rPr>
            </w:pPr>
            <w:r>
              <w:rPr>
                <w:rFonts w:ascii="Arial" w:cs="Arial" w:eastAsia="Arial" w:hAnsi="Arial"/>
                <w:sz w:val="18"/>
                <w:szCs w:val="18"/>
                <w:b w:val="1"/>
                <w:bCs w:val="1"/>
                <w:color w:val="auto"/>
              </w:rPr>
              <w:t>SUBSIDIARIES OF THE REGISTRANT</w:t>
            </w:r>
          </w:p>
        </w:tc>
      </w:tr>
      <w:tr>
        <w:trPr>
          <w:trHeight w:val="850"/>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260"/>
              <w:spacing w:after="0"/>
              <w:rPr>
                <w:sz w:val="20"/>
                <w:szCs w:val="20"/>
                <w:color w:val="auto"/>
              </w:rPr>
            </w:pPr>
            <w:r>
              <w:rPr>
                <w:rFonts w:ascii="Arial" w:cs="Arial" w:eastAsia="Arial" w:hAnsi="Arial"/>
                <w:sz w:val="14"/>
                <w:szCs w:val="14"/>
                <w:b w:val="1"/>
                <w:bCs w:val="1"/>
                <w:color w:val="auto"/>
              </w:rPr>
              <w:t>JURISDICTION OF ORGANIZATION</w:t>
            </w:r>
          </w:p>
        </w:tc>
      </w:tr>
      <w:tr>
        <w:trPr>
          <w:trHeight w:val="109"/>
        </w:trPr>
        <w:tc>
          <w:tcPr>
            <w:tcW w:w="38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331"/>
        </w:trPr>
        <w:tc>
          <w:tcPr>
            <w:tcW w:w="3800" w:type="dxa"/>
            <w:vAlign w:val="bottom"/>
          </w:tcPr>
          <w:p>
            <w:pPr>
              <w:ind w:left="40"/>
              <w:spacing w:after="0"/>
              <w:rPr>
                <w:sz w:val="20"/>
                <w:szCs w:val="20"/>
                <w:color w:val="auto"/>
              </w:rPr>
            </w:pPr>
            <w:r>
              <w:rPr>
                <w:rFonts w:ascii="Arial" w:cs="Arial" w:eastAsia="Arial" w:hAnsi="Arial"/>
                <w:sz w:val="18"/>
                <w:szCs w:val="18"/>
                <w:color w:val="auto"/>
              </w:rPr>
              <w:t>Mercury Defense Systems, Inc.</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California</w:t>
            </w:r>
          </w:p>
        </w:tc>
      </w:tr>
      <w:tr>
        <w:trPr>
          <w:trHeight w:val="446"/>
        </w:trPr>
        <w:tc>
          <w:tcPr>
            <w:tcW w:w="3800" w:type="dxa"/>
            <w:vAlign w:val="bottom"/>
          </w:tcPr>
          <w:p>
            <w:pPr>
              <w:ind w:left="40"/>
              <w:spacing w:after="0"/>
              <w:rPr>
                <w:sz w:val="20"/>
                <w:szCs w:val="20"/>
                <w:color w:val="auto"/>
              </w:rPr>
            </w:pPr>
            <w:r>
              <w:rPr>
                <w:rFonts w:ascii="Arial" w:cs="Arial" w:eastAsia="Arial" w:hAnsi="Arial"/>
                <w:sz w:val="18"/>
                <w:szCs w:val="18"/>
                <w:color w:val="auto"/>
                <w:w w:val="99"/>
              </w:rPr>
              <w:t>Mercury Corp. - Memory and Storage Solutions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Indiana</w:t>
            </w:r>
          </w:p>
        </w:tc>
      </w:tr>
      <w:tr>
        <w:trPr>
          <w:trHeight w:val="351"/>
        </w:trPr>
        <w:tc>
          <w:tcPr>
            <w:tcW w:w="3800" w:type="dxa"/>
            <w:vAlign w:val="bottom"/>
          </w:tcPr>
          <w:p>
            <w:pPr>
              <w:ind w:left="40"/>
              <w:spacing w:after="0"/>
              <w:rPr>
                <w:sz w:val="20"/>
                <w:szCs w:val="20"/>
                <w:color w:val="auto"/>
              </w:rPr>
            </w:pPr>
            <w:r>
              <w:rPr>
                <w:rFonts w:ascii="Arial" w:cs="Arial" w:eastAsia="Arial" w:hAnsi="Arial"/>
                <w:sz w:val="18"/>
                <w:szCs w:val="18"/>
                <w:color w:val="auto"/>
              </w:rPr>
              <w:t>Mercury LLC - RF Integrated Solutions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Delaware</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Mercury Corp. - Security Solutions</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Delaware</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Arxan Research, Inc.</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Delaware</w:t>
            </w:r>
          </w:p>
        </w:tc>
      </w:tr>
      <w:tr>
        <w:trPr>
          <w:trHeight w:val="351"/>
        </w:trPr>
        <w:tc>
          <w:tcPr>
            <w:tcW w:w="3800" w:type="dxa"/>
            <w:vAlign w:val="bottom"/>
          </w:tcPr>
          <w:p>
            <w:pPr>
              <w:ind w:left="40"/>
              <w:spacing w:after="0"/>
              <w:rPr>
                <w:sz w:val="20"/>
                <w:szCs w:val="20"/>
                <w:color w:val="auto"/>
              </w:rPr>
            </w:pPr>
            <w:r>
              <w:rPr>
                <w:rFonts w:ascii="Arial" w:cs="Arial" w:eastAsia="Arial" w:hAnsi="Arial"/>
                <w:sz w:val="18"/>
                <w:szCs w:val="18"/>
                <w:color w:val="auto"/>
              </w:rPr>
              <w:t>Nihon Mercury Computer Systems K.K.</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Japan</w:t>
            </w:r>
          </w:p>
        </w:tc>
      </w:tr>
      <w:tr>
        <w:trPr>
          <w:trHeight w:val="432"/>
        </w:trPr>
        <w:tc>
          <w:tcPr>
            <w:tcW w:w="3800" w:type="dxa"/>
            <w:vAlign w:val="bottom"/>
          </w:tcPr>
          <w:p>
            <w:pPr>
              <w:ind w:left="40"/>
              <w:spacing w:after="0"/>
              <w:rPr>
                <w:sz w:val="20"/>
                <w:szCs w:val="20"/>
                <w:color w:val="auto"/>
              </w:rPr>
            </w:pPr>
            <w:r>
              <w:rPr>
                <w:rFonts w:ascii="Arial" w:cs="Arial" w:eastAsia="Arial" w:hAnsi="Arial"/>
                <w:sz w:val="18"/>
                <w:szCs w:val="18"/>
                <w:color w:val="auto"/>
              </w:rPr>
              <w:t>Mercury Computer Systems Ltd.</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78"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31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53291, 333-129929, 333-139019, 333-139020, 333-149046, 333-156364, 333-163705, 333-163707, 333-172775, 333-177770, 333-177771, 333-183240, 333-184756, 333-192161, 333-199917, 333-209383, 333-209384 and 333-212672) on Form S-8 and the registration statement (No. 333-198180) on Form S-3 of Mercury Systems, Inc. of our report dated August 16, 2016, with respect to the consolidated balance sheets of Mercury Systems, Inc. and subsidiaries as of June 30, 2016 and 2015, and the related consolidated statements of operations and comprehensive income (loss), shareholders’ equity, and cash flows, for each of the years in the three-year period ended June 30, 2016, and the related financial statement schedule, and the effectiveness of internal control over financial reporting as of June 30, 2016, which report appears in the June 30, 2016 annual report on Form 10-K of Mercury Systems, Inc.</w:t>
      </w:r>
    </w:p>
    <w:p>
      <w:pPr>
        <w:spacing w:after="0" w:line="3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report dated August 16, 2016 on the effectiveness of internal control over financial reporting as of June 30, 2016, contains an explanatory paragraph that states that management excluded from its assessment of the effectiveness of Mercury Systems, Inc. and subsidiaries’ internal control over financial reporting as of June 30, 2016, the Carve-Out Business’ internal control over financial reporting associated with total consolidated assets of 46 percent (of which 37 percent represented goodwill and intangible assets included within the scope of the assessment) and total consolidated revenues of 6 percent included in the consolidated financial statements of Mercury Systems, Inc. and subsidiaries as of and for the year ended June 30, 2016. Our audit of internal control over financial reporting of Mercury Systems, Inc. and subsidiaries also excluded an evaluation of the internal control over financial reporting of the Carve-Out Business.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2016</w:t>
      </w:r>
    </w:p>
    <w:p>
      <w:pPr>
        <w:sectPr>
          <w:pgSz w:w="11900" w:h="16838" w:orient="portrait"/>
          <w:cols w:equalWidth="0" w:num="1">
            <w:col w:w="11420"/>
          </w:cols>
          <w:pgMar w:left="240" w:top="55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333-53291, No. 333-129929, No. 333-139019, No. 333-139020, No. 333-149046, No. 333-156364, No. 333-163705, No. 333-163707, No. 333-172775, No. 333-177770, No. 333-177771, No. 333-183240, No. 333-184756, No. 333-192161, No. 333-199917, No. 333-209383, No. 333-209384 and No. 333-212672) and Form S-3 (No. 333-198180) of Mercury Systems, Inc. of our report dated March 22, 2016 relating to the consolidated financial statements of Microsemi LLC – RF Integrated Solutions and its subsidiaries, which appears in this Annual Report on Form 10-K of Mercury Systems,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16, 2016</w:t>
      </w:r>
    </w:p>
    <w:p>
      <w:pPr>
        <w:sectPr>
          <w:pgSz w:w="11900" w:h="16838" w:orient="portrait"/>
          <w:cols w:equalWidth="0" w:num="1">
            <w:col w:w="11420"/>
          </w:cols>
          <w:pgMar w:left="240" w:top="55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17" w:lineRule="exact"/>
        <w:rPr>
          <w:sz w:val="20"/>
          <w:szCs w:val="20"/>
          <w:color w:val="auto"/>
        </w:rPr>
      </w:pPr>
    </w:p>
    <w:p>
      <w:pPr>
        <w:ind w:left="460" w:hanging="438"/>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spacing w:after="0"/>
        <w:tabs>
          <w:tab w:leader="none" w:pos="1820" w:val="left"/>
        </w:tabs>
        <w:rPr>
          <w:sz w:val="20"/>
          <w:szCs w:val="20"/>
          <w:color w:val="auto"/>
        </w:rPr>
      </w:pPr>
      <w:r>
        <w:rPr>
          <w:rFonts w:ascii="Arial" w:cs="Arial" w:eastAsia="Arial" w:hAnsi="Arial"/>
          <w:sz w:val="18"/>
          <w:szCs w:val="18"/>
          <w:color w:val="auto"/>
        </w:rPr>
        <w:t>/s/</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85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17" w:lineRule="exact"/>
        <w:rPr>
          <w:sz w:val="20"/>
          <w:szCs w:val="20"/>
          <w:color w:val="auto"/>
        </w:rPr>
      </w:pPr>
    </w:p>
    <w:p>
      <w:pPr>
        <w:ind w:left="460" w:hanging="438"/>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80"/>
        <w:spacing w:after="0"/>
        <w:tabs>
          <w:tab w:leader="none" w:pos="1560" w:val="left"/>
        </w:tabs>
        <w:rPr>
          <w:sz w:val="20"/>
          <w:szCs w:val="20"/>
          <w:color w:val="auto"/>
        </w:rPr>
      </w:pPr>
      <w:r>
        <w:rPr>
          <w:rFonts w:ascii="Arial" w:cs="Arial" w:eastAsia="Arial" w:hAnsi="Arial"/>
          <w:sz w:val="18"/>
          <w:szCs w:val="18"/>
          <w:color w:val="auto"/>
        </w:rPr>
        <w:t>/s/</w:t>
        <w:tab/>
        <w:t>G</w:t>
      </w:r>
      <w:r>
        <w:rPr>
          <w:rFonts w:ascii="Arial" w:cs="Arial" w:eastAsia="Arial" w:hAnsi="Arial"/>
          <w:sz w:val="13"/>
          <w:szCs w:val="13"/>
          <w:color w:val="auto"/>
        </w:rPr>
        <w:t>ERALD</w:t>
      </w:r>
      <w:r>
        <w:rPr>
          <w:rFonts w:ascii="Arial" w:cs="Arial" w:eastAsia="Arial" w:hAnsi="Arial"/>
          <w:sz w:val="18"/>
          <w:szCs w:val="18"/>
          <w:color w:val="auto"/>
        </w:rPr>
        <w:t xml:space="preserve"> M. H</w:t>
      </w:r>
      <w:r>
        <w:rPr>
          <w:rFonts w:ascii="Arial" w:cs="Arial" w:eastAsia="Arial" w:hAnsi="Arial"/>
          <w:sz w:val="13"/>
          <w:szCs w:val="13"/>
          <w:color w:val="auto"/>
        </w:rPr>
        <w:t>AINES</w:t>
      </w:r>
      <w:r>
        <w:rPr>
          <w:rFonts w:ascii="Arial" w:cs="Arial" w:eastAsia="Arial" w:hAnsi="Arial"/>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VICE PRESIDENT,</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86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98"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8"/>
          <w:szCs w:val="18"/>
          <w:color w:val="auto"/>
        </w:rPr>
        <w:t>In connection with the Annual Report of Mercury Systems, Inc. (the “Company”) on Form 10-K for the fiscal year ended June 30, 2016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0"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G</w:t>
      </w:r>
      <w:r>
        <w:rPr>
          <w:rFonts w:ascii="Arial" w:cs="Arial" w:eastAsia="Arial" w:hAnsi="Arial"/>
          <w:sz w:val="13"/>
          <w:szCs w:val="13"/>
          <w:color w:val="auto"/>
        </w:rPr>
        <w:t>ERALD</w:t>
      </w:r>
      <w:r>
        <w:rPr>
          <w:rFonts w:ascii="Arial" w:cs="Arial" w:eastAsia="Arial" w:hAnsi="Arial"/>
          <w:sz w:val="18"/>
          <w:szCs w:val="18"/>
          <w:color w:val="auto"/>
        </w:rPr>
        <w:t xml:space="preserve"> M. H</w:t>
      </w:r>
      <w:r>
        <w:rPr>
          <w:rFonts w:ascii="Arial" w:cs="Arial" w:eastAsia="Arial" w:hAnsi="Arial"/>
          <w:sz w:val="13"/>
          <w:szCs w:val="13"/>
          <w:color w:val="auto"/>
        </w:rPr>
        <w:t>AINES</w:t>
      </w:r>
      <w:r>
        <w:rPr>
          <w:rFonts w:ascii="Arial" w:cs="Arial" w:eastAsia="Arial" w:hAnsi="Arial"/>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Gerald M. Haines II</w:t>
      </w:r>
    </w:p>
    <w:p>
      <w:pPr>
        <w:jc w:val="center"/>
        <w:ind w:right="684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lvl w:ilvl="1">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lvl w:ilvl="1">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lvl w:ilvl="1">
      <w:lvlJc w:val="left"/>
      <w:lvlText w:val="•"/>
      <w:numFmt w:val="bullet"/>
      <w:start w:val="1"/>
    </w:lvl>
  </w:abstractNum>
  <w:abstractNum w:abstractNumId="21">
    <w:nsid w:val="6A2342EC"/>
    <w:multiLevelType w:val="hybridMultilevel"/>
    <w:lvl w:ilvl="0">
      <w:lvlJc w:val="left"/>
      <w:lvlText w:val="•"/>
      <w:numFmt w:val="bullet"/>
      <w:start w:val="1"/>
    </w:lvl>
    <w:lvl w:ilvl="1">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upperLetter"/>
      <w:start w:val="1"/>
    </w:lvl>
  </w:abstractNum>
  <w:abstractNum w:abstractNumId="33">
    <w:nsid w:val="32FFF902"/>
    <w:multiLevelType w:val="hybridMultilevel"/>
    <w:lvl w:ilvl="0">
      <w:lvlJc w:val="left"/>
      <w:lvlText w:val="%1."/>
      <w:numFmt w:val="upperLetter"/>
      <w:start w:val="2"/>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upperLetter"/>
      <w:start w:val="3"/>
    </w:lvl>
  </w:abstractNum>
  <w:abstractNum w:abstractNumId="36">
    <w:nsid w:val="749ABB43"/>
    <w:multiLevelType w:val="hybridMultilevel"/>
    <w:lvl w:ilvl="0">
      <w:lvlJc w:val="left"/>
      <w:lvlText w:val="%1."/>
      <w:numFmt w:val="upperLetter"/>
      <w:start w:val="4"/>
    </w:lvl>
  </w:abstractNum>
  <w:abstractNum w:abstractNumId="37">
    <w:nsid w:val="3DC240FB"/>
    <w:multiLevelType w:val="hybridMultilevel"/>
    <w:lvl w:ilvl="0">
      <w:lvlJc w:val="left"/>
      <w:lvlText w:val="%1."/>
      <w:numFmt w:val="upperLetter"/>
      <w:start w:val="7"/>
    </w:lvl>
  </w:abstractNum>
  <w:abstractNum w:abstractNumId="38">
    <w:nsid w:val="1BA026FA"/>
    <w:multiLevelType w:val="hybridMultilevel"/>
    <w:lvl w:ilvl="0">
      <w:lvlJc w:val="left"/>
      <w:lvlText w:val="%1."/>
      <w:numFmt w:val="upperLetter"/>
      <w:start w:val="8"/>
    </w:lvl>
  </w:abstractNum>
  <w:abstractNum w:abstractNumId="39">
    <w:nsid w:val="79A1DEAA"/>
    <w:multiLevelType w:val="hybridMultilevel"/>
    <w:lvl w:ilvl="0">
      <w:lvlJc w:val="left"/>
      <w:lvlText w:val="%1."/>
      <w:numFmt w:val="upperLetter"/>
      <w:start w:val="9"/>
    </w:lvl>
  </w:abstractNum>
  <w:abstractNum w:abstractNumId="40">
    <w:nsid w:val="75C6C33A"/>
    <w:multiLevelType w:val="hybridMultilevel"/>
    <w:lvl w:ilvl="0">
      <w:lvlJc w:val="left"/>
      <w:lvlText w:val="%1."/>
      <w:numFmt w:val="upperLetter"/>
      <w:start w:val="10"/>
    </w:lvl>
  </w:abstractNum>
  <w:abstractNum w:abstractNumId="41">
    <w:nsid w:val="12E685FB"/>
    <w:multiLevelType w:val="hybridMultilevel"/>
    <w:lvl w:ilvl="0">
      <w:lvlJc w:val="left"/>
      <w:lvlText w:val="%1."/>
      <w:numFmt w:val="upperLetter"/>
      <w:start w:val="11"/>
    </w:lvl>
  </w:abstractNum>
  <w:abstractNum w:abstractNumId="42">
    <w:nsid w:val="70C6A529"/>
    <w:multiLevelType w:val="hybridMultilevel"/>
    <w:lvl w:ilvl="0">
      <w:lvlJc w:val="left"/>
      <w:lvlText w:val="%1."/>
      <w:numFmt w:val="upperLetter"/>
      <w:start w:val="12"/>
    </w:lvl>
  </w:abstractNum>
  <w:abstractNum w:abstractNumId="43">
    <w:nsid w:val="520EEDD1"/>
    <w:multiLevelType w:val="hybridMultilevel"/>
    <w:lvl w:ilvl="0">
      <w:lvlJc w:val="left"/>
      <w:lvlText w:val="%1."/>
      <w:numFmt w:val="upperLetter"/>
      <w:start w:val="13"/>
    </w:lvl>
  </w:abstractNum>
  <w:abstractNum w:abstractNumId="44">
    <w:nsid w:val="374A3FE6"/>
    <w:multiLevelType w:val="hybridMultilevel"/>
    <w:lvl w:ilvl="0">
      <w:lvlJc w:val="left"/>
      <w:lvlText w:val="%1."/>
      <w:numFmt w:val="upperLetter"/>
      <w:start w:val="14"/>
    </w:lvl>
  </w:abstractNum>
  <w:abstractNum w:abstractNumId="45">
    <w:nsid w:val="4F4EF005"/>
    <w:multiLevelType w:val="hybridMultilevel"/>
    <w:lvl w:ilvl="0">
      <w:lvlJc w:val="left"/>
      <w:lvlText w:val="%1."/>
      <w:numFmt w:val="upperLetter"/>
      <w:start w:val="15"/>
    </w:lvl>
  </w:abstractNum>
  <w:abstractNum w:abstractNumId="46">
    <w:nsid w:val="23F9C13C"/>
    <w:multiLevelType w:val="hybridMultilevel"/>
    <w:lvl w:ilvl="0">
      <w:lvlJc w:val="left"/>
      <w:lvlText w:val="%1."/>
      <w:numFmt w:val="upperLetter"/>
      <w:start w:val="16"/>
    </w:lvl>
  </w:abstractNum>
  <w:abstractNum w:abstractNumId="47">
    <w:nsid w:val="649BB77C"/>
    <w:multiLevelType w:val="hybridMultilevel"/>
    <w:lvl w:ilvl="0">
      <w:lvlJc w:val="left"/>
      <w:lvlText w:val="%1."/>
      <w:numFmt w:val="upperLetter"/>
      <w:start w:val="17"/>
    </w:lvl>
  </w:abstractNum>
  <w:abstractNum w:abstractNumId="48">
    <w:nsid w:val="275AC794"/>
    <w:multiLevelType w:val="hybridMultilevel"/>
    <w:lvl w:ilvl="0">
      <w:lvlJc w:val="left"/>
      <w:lvlText w:val="%1."/>
      <w:numFmt w:val="upperLetter"/>
      <w:start w:val="18"/>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3"/>
    </w:lvl>
  </w:abstractNum>
  <w:abstractNum w:abstractNumId="53">
    <w:nsid w:val="47398C89"/>
    <w:multiLevelType w:val="hybridMultilevel"/>
    <w:lvl w:ilvl="0">
      <w:lvlJc w:val="left"/>
      <w:lvlText w:val="(%1)"/>
      <w:numFmt w:val="lowerLetter"/>
      <w:start w:val="4"/>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2"/>
    </w:lvl>
  </w:abstractNum>
  <w:abstractNum w:abstractNumId="57">
    <w:nsid w:val="D34B6A8"/>
    <w:multiLevelType w:val="hybridMultilevel"/>
    <w:lvl w:ilvl="0">
      <w:lvlJc w:val="left"/>
      <w:lvlText w:val="%1."/>
      <w:numFmt w:val="decimal"/>
      <w:start w:val="3"/>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2019-12-29T10:33:55Z</dcterms:created>
  <dcterms:modified xsi:type="dcterms:W3CDTF">2019-12-29T10:33:55Z</dcterms:modified>
</cp:coreProperties>
</file>