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70" w:lineRule="exact"/>
        <w:rPr>
          <w:sz w:val="24"/>
          <w:szCs w:val="24"/>
          <w:color w:val="auto"/>
        </w:rPr>
      </w:pPr>
    </w:p>
    <w:p>
      <w:pPr>
        <w:ind w:left="2840"/>
        <w:spacing w:after="0"/>
        <w:rPr>
          <w:sz w:val="20"/>
          <w:szCs w:val="20"/>
          <w:color w:val="auto"/>
        </w:rPr>
      </w:pPr>
      <w:r>
        <w:rPr>
          <w:rFonts w:ascii="Arial" w:cs="Arial" w:eastAsia="Arial" w:hAnsi="Arial"/>
          <w:sz w:val="18"/>
          <w:szCs w:val="18"/>
          <w:b w:val="1"/>
          <w:bCs w:val="1"/>
          <w:color w:val="auto"/>
        </w:rPr>
        <w:t>________________________________________________________________</w:t>
      </w:r>
    </w:p>
    <w:p>
      <w:pPr>
        <w:spacing w:after="0" w:line="8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ind w:left="2840"/>
        <w:spacing w:after="0"/>
        <w:rPr>
          <w:sz w:val="20"/>
          <w:szCs w:val="20"/>
          <w:color w:val="auto"/>
        </w:rPr>
      </w:pPr>
      <w:r>
        <w:rPr>
          <w:rFonts w:ascii="Arial" w:cs="Arial" w:eastAsia="Arial" w:hAnsi="Arial"/>
          <w:sz w:val="18"/>
          <w:szCs w:val="18"/>
          <w:b w:val="1"/>
          <w:bCs w:val="1"/>
          <w:color w:val="auto"/>
        </w:rPr>
        <w:t>________________________________________________________________</w:t>
      </w:r>
    </w:p>
    <w:p>
      <w:pPr>
        <w:spacing w:after="0" w:line="142" w:lineRule="exact"/>
        <w:rPr>
          <w:sz w:val="24"/>
          <w:szCs w:val="24"/>
          <w:color w:val="auto"/>
        </w:rPr>
      </w:pPr>
    </w:p>
    <w:p>
      <w:pPr>
        <w:ind w:left="720" w:right="20" w:hanging="685"/>
        <w:spacing w:after="0" w:line="256"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 THE QUARTERLY PERIOD ENDED MARCH 31, 2014</w:t>
      </w:r>
    </w:p>
    <w:p>
      <w:pPr>
        <w:spacing w:after="0" w:line="9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240"/>
          </w:cols>
          <w:pgMar w:left="240" w:top="220" w:right="419" w:bottom="1440" w:gutter="0" w:footer="0" w:header="0"/>
        </w:sectPr>
      </w:pPr>
    </w:p>
    <w:p>
      <w:pPr>
        <w:spacing w:after="0" w:line="64" w:lineRule="exact"/>
        <w:rPr>
          <w:sz w:val="24"/>
          <w:szCs w:val="24"/>
          <w:color w:val="auto"/>
        </w:rPr>
      </w:pPr>
    </w:p>
    <w:p>
      <w:pPr>
        <w:ind w:left="2960"/>
        <w:spacing w:after="0"/>
        <w:rPr>
          <w:sz w:val="20"/>
          <w:szCs w:val="20"/>
          <w:color w:val="auto"/>
        </w:rPr>
      </w:pPr>
      <w:r>
        <w:rPr>
          <w:rFonts w:ascii="Arial" w:cs="Arial" w:eastAsia="Arial" w:hAnsi="Arial"/>
          <w:sz w:val="18"/>
          <w:szCs w:val="18"/>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90" w:lineRule="exact"/>
        <w:rPr>
          <w:sz w:val="24"/>
          <w:szCs w:val="24"/>
          <w:color w:val="auto"/>
        </w:rPr>
      </w:pPr>
    </w:p>
    <w:p>
      <w:pPr>
        <w:sectPr>
          <w:pgSz w:w="11900" w:h="16838" w:orient="portrait"/>
          <w:cols w:equalWidth="0" w:num="2">
            <w:col w:w="6560" w:space="720"/>
            <w:col w:w="3960"/>
          </w:cols>
          <w:pgMar w:left="240" w:top="220" w:right="419" w:bottom="1440" w:gutter="0" w:footer="0" w:header="0"/>
          <w:type w:val="continuous"/>
        </w:sectPr>
      </w:pPr>
    </w:p>
    <w:p>
      <w:pPr>
        <w:jc w:val="center"/>
        <w:ind w:right="-199"/>
        <w:spacing w:after="0"/>
        <w:rPr>
          <w:sz w:val="20"/>
          <w:szCs w:val="20"/>
          <w:color w:val="auto"/>
        </w:rPr>
      </w:pPr>
      <w:r>
        <w:rPr>
          <w:rFonts w:ascii="Arial" w:cs="Arial" w:eastAsia="Arial" w:hAnsi="Arial"/>
          <w:sz w:val="18"/>
          <w:szCs w:val="18"/>
          <w:b w:val="1"/>
          <w:bCs w:val="1"/>
          <w:color w:val="auto"/>
        </w:rPr>
        <w:t>COMMISSION FILE NUMBER: 0-23599</w:t>
      </w:r>
    </w:p>
    <w:p>
      <w:pPr>
        <w:sectPr>
          <w:pgSz w:w="11900" w:h="16838" w:orient="portrait"/>
          <w:cols w:equalWidth="0" w:num="1">
            <w:col w:w="11240"/>
          </w:cols>
          <w:pgMar w:left="240" w:top="220" w:right="419" w:bottom="1440" w:gutter="0" w:footer="0" w:header="0"/>
          <w:type w:val="continuous"/>
        </w:sectPr>
      </w:pPr>
    </w:p>
    <w:p>
      <w:pPr>
        <w:spacing w:after="0" w:line="90" w:lineRule="exact"/>
        <w:rPr>
          <w:sz w:val="24"/>
          <w:szCs w:val="24"/>
          <w:color w:val="auto"/>
        </w:rPr>
      </w:pPr>
    </w:p>
    <w:p>
      <w:pPr>
        <w:ind w:left="2840"/>
        <w:spacing w:after="0"/>
        <w:rPr>
          <w:sz w:val="20"/>
          <w:szCs w:val="20"/>
          <w:color w:val="auto"/>
        </w:rPr>
      </w:pPr>
      <w:r>
        <w:rPr>
          <w:rFonts w:ascii="Arial" w:cs="Arial" w:eastAsia="Arial" w:hAnsi="Arial"/>
          <w:sz w:val="18"/>
          <w:szCs w:val="18"/>
          <w:b w:val="1"/>
          <w:bCs w:val="1"/>
          <w:color w:val="auto"/>
        </w:rPr>
        <w:t>________________________________________________________________</w:t>
      </w:r>
    </w:p>
    <w:p>
      <w:pPr>
        <w:spacing w:after="0" w:line="79"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MERCURY SYSTEMS, INC.</w:t>
      </w:r>
    </w:p>
    <w:p>
      <w:pPr>
        <w:spacing w:after="0" w:line="7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7" w:lineRule="exact"/>
        <w:rPr>
          <w:sz w:val="24"/>
          <w:szCs w:val="24"/>
          <w:color w:val="auto"/>
        </w:rPr>
      </w:pPr>
    </w:p>
    <w:p>
      <w:pPr>
        <w:ind w:left="2840"/>
        <w:spacing w:after="0"/>
        <w:rPr>
          <w:sz w:val="20"/>
          <w:szCs w:val="20"/>
          <w:color w:val="auto"/>
        </w:rPr>
      </w:pPr>
      <w:r>
        <w:rPr>
          <w:rFonts w:ascii="Arial" w:cs="Arial" w:eastAsia="Arial" w:hAnsi="Arial"/>
          <w:sz w:val="18"/>
          <w:szCs w:val="18"/>
          <w:b w:val="1"/>
          <w:bCs w:val="1"/>
          <w:color w:val="auto"/>
        </w:rPr>
        <w:t>________________________________________________________________</w:t>
      </w:r>
    </w:p>
    <w:p>
      <w:pPr>
        <w:spacing w:after="0" w:line="387" w:lineRule="exact"/>
        <w:rPr>
          <w:sz w:val="24"/>
          <w:szCs w:val="24"/>
          <w:color w:val="auto"/>
        </w:rPr>
      </w:pPr>
    </w:p>
    <w:tbl>
      <w:tblPr>
        <w:tblLayout w:type="fixed"/>
        <w:tblInd w:w="1620" w:type="dxa"/>
        <w:tblCellMar>
          <w:top w:w="0" w:type="dxa"/>
          <w:left w:w="0" w:type="dxa"/>
          <w:bottom w:w="0" w:type="dxa"/>
          <w:right w:w="0" w:type="dxa"/>
        </w:tblCellMar>
      </w:tblPr>
      <w:tr>
        <w:trPr>
          <w:trHeight w:val="234"/>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7"/>
              </w:rPr>
              <w:t>MASSACHUSETTS</w:t>
            </w:r>
          </w:p>
        </w:tc>
        <w:tc>
          <w:tcPr>
            <w:tcW w:w="5260" w:type="dxa"/>
            <w:vAlign w:val="bottom"/>
          </w:tcPr>
          <w:p>
            <w:pPr>
              <w:jc w:val="right"/>
              <w:ind w:right="40"/>
              <w:spacing w:after="0"/>
              <w:rPr>
                <w:sz w:val="20"/>
                <w:szCs w:val="20"/>
                <w:color w:val="auto"/>
              </w:rPr>
            </w:pPr>
            <w:r>
              <w:rPr>
                <w:rFonts w:ascii="Arial" w:cs="Arial" w:eastAsia="Arial" w:hAnsi="Arial"/>
                <w:sz w:val="18"/>
                <w:szCs w:val="18"/>
                <w:b w:val="1"/>
                <w:bCs w:val="1"/>
                <w:color w:val="auto"/>
              </w:rPr>
              <w:t>04-2741391</w:t>
            </w:r>
          </w:p>
        </w:tc>
      </w:tr>
      <w:tr>
        <w:trPr>
          <w:trHeight w:val="180"/>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2"/>
              </w:rPr>
              <w:t>(State or other jurisdiction of</w:t>
            </w:r>
          </w:p>
        </w:tc>
        <w:tc>
          <w:tcPr>
            <w:tcW w:w="5260" w:type="dxa"/>
            <w:vAlign w:val="bottom"/>
          </w:tcPr>
          <w:p>
            <w:pPr>
              <w:jc w:val="center"/>
              <w:ind w:left="4060"/>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 or organization)</w:t>
            </w:r>
          </w:p>
        </w:tc>
        <w:tc>
          <w:tcPr>
            <w:tcW w:w="5260" w:type="dxa"/>
            <w:vAlign w:val="bottom"/>
          </w:tcPr>
          <w:p>
            <w:pPr>
              <w:jc w:val="center"/>
              <w:ind w:left="4060"/>
              <w:spacing w:after="0"/>
              <w:rPr>
                <w:sz w:val="20"/>
                <w:szCs w:val="20"/>
                <w:color w:val="auto"/>
              </w:rPr>
            </w:pPr>
            <w:r>
              <w:rPr>
                <w:rFonts w:ascii="Arial" w:cs="Arial" w:eastAsia="Arial" w:hAnsi="Arial"/>
                <w:sz w:val="14"/>
                <w:szCs w:val="14"/>
                <w:b w:val="1"/>
                <w:bCs w:val="1"/>
                <w:color w:val="auto"/>
                <w:w w:val="94"/>
              </w:rPr>
              <w:t>Identification No.)</w:t>
            </w:r>
          </w:p>
        </w:tc>
      </w:tr>
      <w:tr>
        <w:trPr>
          <w:trHeight w:val="466"/>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9"/>
              </w:rPr>
              <w:t>201 RIVERNECK ROAD</w:t>
            </w:r>
          </w:p>
        </w:tc>
        <w:tc>
          <w:tcPr>
            <w:tcW w:w="5260" w:type="dxa"/>
            <w:vAlign w:val="bottom"/>
          </w:tcPr>
          <w:p>
            <w:pPr>
              <w:spacing w:after="0"/>
              <w:rPr>
                <w:sz w:val="24"/>
                <w:szCs w:val="24"/>
                <w:color w:val="auto"/>
              </w:rPr>
            </w:pPr>
          </w:p>
        </w:tc>
      </w:tr>
      <w:tr>
        <w:trPr>
          <w:trHeight w:val="234"/>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rPr>
              <w:t>CHELMSFORD, MA</w:t>
            </w:r>
          </w:p>
        </w:tc>
        <w:tc>
          <w:tcPr>
            <w:tcW w:w="5260" w:type="dxa"/>
            <w:vAlign w:val="bottom"/>
          </w:tcPr>
          <w:p>
            <w:pPr>
              <w:jc w:val="right"/>
              <w:ind w:right="260"/>
              <w:spacing w:after="0"/>
              <w:rPr>
                <w:sz w:val="20"/>
                <w:szCs w:val="20"/>
                <w:color w:val="auto"/>
              </w:rPr>
            </w:pPr>
            <w:r>
              <w:rPr>
                <w:rFonts w:ascii="Arial" w:cs="Arial" w:eastAsia="Arial" w:hAnsi="Arial"/>
                <w:sz w:val="18"/>
                <w:szCs w:val="18"/>
                <w:b w:val="1"/>
                <w:bCs w:val="1"/>
                <w:color w:val="auto"/>
              </w:rPr>
              <w:t>01824</w:t>
            </w:r>
          </w:p>
        </w:tc>
      </w:tr>
      <w:tr>
        <w:trPr>
          <w:trHeight w:val="218"/>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260" w:type="dxa"/>
            <w:vAlign w:val="bottom"/>
          </w:tcPr>
          <w:p>
            <w:pPr>
              <w:jc w:val="center"/>
              <w:ind w:left="4060"/>
              <w:spacing w:after="0"/>
              <w:rPr>
                <w:sz w:val="20"/>
                <w:szCs w:val="20"/>
                <w:color w:val="auto"/>
              </w:rPr>
            </w:pPr>
            <w:r>
              <w:rPr>
                <w:rFonts w:ascii="Arial" w:cs="Arial" w:eastAsia="Arial" w:hAnsi="Arial"/>
                <w:sz w:val="14"/>
                <w:szCs w:val="14"/>
                <w:b w:val="1"/>
                <w:bCs w:val="1"/>
                <w:color w:val="auto"/>
                <w:w w:val="98"/>
              </w:rPr>
              <w:t>(Zip Code)</w:t>
            </w:r>
          </w:p>
        </w:tc>
      </w:tr>
      <w:tr>
        <w:trPr>
          <w:trHeight w:val="286"/>
        </w:trPr>
        <w:tc>
          <w:tcPr>
            <w:tcW w:w="2420" w:type="dxa"/>
            <w:vAlign w:val="bottom"/>
          </w:tcPr>
          <w:p>
            <w:pPr>
              <w:spacing w:after="0"/>
              <w:rPr>
                <w:sz w:val="24"/>
                <w:szCs w:val="24"/>
                <w:color w:val="auto"/>
              </w:rPr>
            </w:pPr>
          </w:p>
        </w:tc>
        <w:tc>
          <w:tcPr>
            <w:tcW w:w="5260" w:type="dxa"/>
            <w:vAlign w:val="bottom"/>
          </w:tcPr>
          <w:p>
            <w:pPr>
              <w:jc w:val="right"/>
              <w:ind w:right="3000"/>
              <w:spacing w:after="0"/>
              <w:rPr>
                <w:sz w:val="20"/>
                <w:szCs w:val="20"/>
                <w:color w:val="auto"/>
              </w:rPr>
            </w:pPr>
            <w:r>
              <w:rPr>
                <w:rFonts w:ascii="Arial" w:cs="Arial" w:eastAsia="Arial" w:hAnsi="Arial"/>
                <w:sz w:val="18"/>
                <w:szCs w:val="18"/>
                <w:b w:val="1"/>
                <w:bCs w:val="1"/>
                <w:color w:val="auto"/>
              </w:rPr>
              <w:t>978-256-1300</w:t>
            </w:r>
          </w:p>
        </w:tc>
      </w:tr>
      <w:tr>
        <w:trPr>
          <w:trHeight w:val="186"/>
        </w:trPr>
        <w:tc>
          <w:tcPr>
            <w:tcW w:w="2420" w:type="dxa"/>
            <w:vAlign w:val="bottom"/>
          </w:tcPr>
          <w:p>
            <w:pPr>
              <w:spacing w:after="0"/>
              <w:rPr>
                <w:sz w:val="16"/>
                <w:szCs w:val="16"/>
                <w:color w:val="auto"/>
              </w:rPr>
            </w:pPr>
          </w:p>
        </w:tc>
        <w:tc>
          <w:tcPr>
            <w:tcW w:w="5260" w:type="dxa"/>
            <w:vAlign w:val="bottom"/>
          </w:tcPr>
          <w:p>
            <w:pPr>
              <w:jc w:val="center"/>
              <w:ind w:right="184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48" w:lineRule="exact"/>
        <w:rPr>
          <w:sz w:val="24"/>
          <w:szCs w:val="24"/>
          <w:color w:val="auto"/>
        </w:rPr>
      </w:pPr>
    </w:p>
    <w:p>
      <w:pPr>
        <w:ind w:left="2860"/>
        <w:spacing w:after="0"/>
        <w:rPr>
          <w:sz w:val="20"/>
          <w:szCs w:val="20"/>
          <w:color w:val="auto"/>
        </w:rPr>
      </w:pPr>
      <w:r>
        <w:rPr>
          <w:rFonts w:ascii="Arial" w:cs="Arial" w:eastAsia="Arial" w:hAnsi="Arial"/>
          <w:sz w:val="18"/>
          <w:szCs w:val="18"/>
          <w:b w:val="1"/>
          <w:bCs w:val="1"/>
          <w:color w:val="auto"/>
        </w:rPr>
        <w:t>________________________________________________________________</w:t>
      </w:r>
    </w:p>
    <w:p>
      <w:pPr>
        <w:spacing w:after="0" w:line="94"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right="6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47" w:lineRule="exact"/>
        <w:rPr>
          <w:sz w:val="24"/>
          <w:szCs w:val="24"/>
          <w:color w:val="auto"/>
        </w:rPr>
      </w:pPr>
    </w:p>
    <w:p>
      <w:pPr>
        <w:ind w:right="4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 229.405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49"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definitions of “large accelerated filer,” “accelerated filer” and “smaller reporting company” in Rule 12b-2 of the Exchange Act.</w:t>
      </w:r>
    </w:p>
    <w:p>
      <w:pPr>
        <w:sectPr>
          <w:pgSz w:w="11900" w:h="16838" w:orient="portrait"/>
          <w:cols w:equalWidth="0" w:num="1">
            <w:col w:w="11240"/>
          </w:cols>
          <w:pgMar w:left="240" w:top="220" w:right="419" w:bottom="1440" w:gutter="0" w:footer="0" w:header="0"/>
          <w:type w:val="continuous"/>
        </w:sectPr>
      </w:pPr>
    </w:p>
    <w:p>
      <w:pPr>
        <w:spacing w:after="0" w:line="15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4"/>
          <w:szCs w:val="24"/>
          <w:color w:val="auto"/>
        </w:rPr>
      </w:pPr>
    </w:p>
    <w:p>
      <w:pPr>
        <w:sectPr>
          <w:pgSz w:w="11900" w:h="16838" w:orient="portrait"/>
          <w:cols w:equalWidth="0" w:num="4">
            <w:col w:w="1960" w:space="720"/>
            <w:col w:w="4640" w:space="720"/>
            <w:col w:w="2240" w:space="720"/>
            <w:col w:w="240"/>
          </w:cols>
          <w:pgMar w:left="240" w:top="220" w:right="419" w:bottom="1440" w:gutter="0" w:footer="0" w:header="0"/>
          <w:type w:val="continuous"/>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4">
            <w:col w:w="1960" w:space="720"/>
            <w:col w:w="4640" w:space="720"/>
            <w:col w:w="2240" w:space="720"/>
            <w:col w:w="240"/>
          </w:cols>
          <w:pgMar w:left="240" w:top="220" w:right="419" w:bottom="1440" w:gutter="0" w:footer="0" w:header="0"/>
          <w:type w:val="continuous"/>
        </w:sectPr>
      </w:pPr>
    </w:p>
    <w:p>
      <w:pPr>
        <w:ind w:left="440"/>
        <w:spacing w:after="0" w:line="196" w:lineRule="exact"/>
        <w:tabs>
          <w:tab w:leader="none" w:pos="8820" w:val="left"/>
        </w:tabs>
        <w:rPr>
          <w:sz w:val="20"/>
          <w:szCs w:val="20"/>
          <w:color w:val="auto"/>
        </w:rPr>
      </w:pPr>
      <w:r>
        <w:rPr>
          <w:rFonts w:ascii="Arial" w:cs="Arial" w:eastAsia="Arial" w:hAnsi="Arial"/>
          <w:sz w:val="17"/>
          <w:szCs w:val="17"/>
          <w:color w:val="auto"/>
        </w:rPr>
        <w:t>Indicate by check mark whether the registrant is a shell company (as defined by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8"/>
          <w:szCs w:val="18"/>
          <w:color w:val="auto"/>
        </w:rPr>
        <w:t>No x</w:t>
      </w:r>
    </w:p>
    <w:p>
      <w:pPr>
        <w:spacing w:after="0" w:line="90" w:lineRule="exact"/>
        <w:rPr>
          <w:sz w:val="24"/>
          <w:szCs w:val="24"/>
          <w:color w:val="auto"/>
        </w:rPr>
      </w:pPr>
    </w:p>
    <w:p>
      <w:pPr>
        <w:sectPr>
          <w:pgSz w:w="11900" w:h="16838" w:orient="portrait"/>
          <w:cols w:equalWidth="0" w:num="2">
            <w:col w:w="9340" w:space="180"/>
            <w:col w:w="1720"/>
          </w:cols>
          <w:pgMar w:left="240" w:top="220" w:right="41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Shares of Common Stock outstanding as of April 30, 2014: 33,252,927 shares</w:t>
      </w:r>
    </w:p>
    <w:p>
      <w:pPr>
        <w:sectPr>
          <w:pgSz w:w="11900" w:h="16838" w:orient="portrait"/>
          <w:cols w:equalWidth="0" w:num="1">
            <w:col w:w="11240"/>
          </w:cols>
          <w:pgMar w:left="240" w:top="220" w:right="41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MERCURY SYSTEMS, INC.</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PAGE</w:t>
            </w:r>
          </w:p>
        </w:tc>
      </w:tr>
      <w:tr>
        <w:trPr>
          <w:trHeight w:val="192"/>
        </w:trPr>
        <w:tc>
          <w:tcPr>
            <w:tcW w:w="1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rPr>
              <w:t>NUMBER</w:t>
            </w:r>
          </w:p>
        </w:tc>
      </w:tr>
      <w:tr>
        <w:trPr>
          <w:trHeight w:val="230"/>
        </w:trPr>
        <w:tc>
          <w:tcPr>
            <w:tcW w:w="10360" w:type="dxa"/>
            <w:vAlign w:val="bottom"/>
            <w:gridSpan w:val="15"/>
          </w:tcPr>
          <w:p>
            <w:pPr>
              <w:spacing w:after="0"/>
              <w:rPr>
                <w:sz w:val="20"/>
                <w:szCs w:val="20"/>
                <w:color w:val="auto"/>
              </w:rPr>
            </w:pPr>
            <w:r>
              <w:rPr>
                <w:rFonts w:ascii="Arial" w:cs="Arial" w:eastAsia="Arial" w:hAnsi="Arial"/>
                <w:sz w:val="18"/>
                <w:szCs w:val="18"/>
                <w:color w:val="auto"/>
              </w:rPr>
              <w:t>PART I. FINANCIAL INFORMATION</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67"/>
        </w:trPr>
        <w:tc>
          <w:tcPr>
            <w:tcW w:w="1940" w:type="dxa"/>
            <w:vAlign w:val="bottom"/>
          </w:tcPr>
          <w:p>
            <w:pPr>
              <w:spacing w:after="0"/>
              <w:rPr>
                <w:sz w:val="20"/>
                <w:szCs w:val="20"/>
                <w:color w:val="auto"/>
              </w:rPr>
            </w:pPr>
            <w:r>
              <w:rPr>
                <w:rFonts w:ascii="Arial" w:cs="Arial" w:eastAsia="Arial" w:hAnsi="Arial"/>
                <w:sz w:val="18"/>
                <w:szCs w:val="18"/>
                <w:color w:val="auto"/>
              </w:rPr>
              <w:t>Item 1.</w:t>
            </w:r>
          </w:p>
        </w:tc>
        <w:tc>
          <w:tcPr>
            <w:tcW w:w="2380" w:type="dxa"/>
            <w:vAlign w:val="bottom"/>
            <w:tcBorders>
              <w:bottom w:val="single" w:sz="8" w:color="0000FF"/>
            </w:tcBorders>
            <w:gridSpan w:val="7"/>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Financial Statements (unaudited)</w:t>
              </w:r>
            </w:hyperlink>
          </w:p>
        </w:tc>
        <w:tc>
          <w:tcPr>
            <w:tcW w:w="6040" w:type="dxa"/>
            <w:vAlign w:val="bottom"/>
            <w:gridSpan w:val="7"/>
          </w:tcPr>
          <w:p>
            <w:pPr>
              <w:spacing w:after="0"/>
              <w:rPr>
                <w:sz w:val="24"/>
                <w:szCs w:val="24"/>
                <w:color w:val="auto"/>
              </w:rPr>
            </w:pPr>
          </w:p>
        </w:tc>
        <w:tc>
          <w:tcPr>
            <w:tcW w:w="90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0" w:type="dxa"/>
            <w:vAlign w:val="bottom"/>
          </w:tcPr>
          <w:p>
            <w:pPr>
              <w:spacing w:after="0"/>
              <w:rPr>
                <w:sz w:val="24"/>
                <w:szCs w:val="24"/>
                <w:color w:val="auto"/>
              </w:rPr>
            </w:pPr>
          </w:p>
        </w:tc>
      </w:tr>
      <w:tr>
        <w:trPr>
          <w:trHeight w:val="574"/>
        </w:trPr>
        <w:tc>
          <w:tcPr>
            <w:tcW w:w="1940" w:type="dxa"/>
            <w:vAlign w:val="bottom"/>
          </w:tcPr>
          <w:p>
            <w:pPr>
              <w:spacing w:after="0"/>
              <w:rPr>
                <w:sz w:val="24"/>
                <w:szCs w:val="24"/>
                <w:color w:val="auto"/>
              </w:rPr>
            </w:pPr>
          </w:p>
        </w:tc>
        <w:tc>
          <w:tcPr>
            <w:tcW w:w="8420" w:type="dxa"/>
            <w:vAlign w:val="bottom"/>
            <w:gridSpan w:val="14"/>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Consolidated Balance Sheets as of March 31, 2014 and June 30, 2013</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1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940" w:type="dxa"/>
            <w:vAlign w:val="bottom"/>
          </w:tcPr>
          <w:p>
            <w:pPr>
              <w:spacing w:after="0"/>
              <w:rPr>
                <w:sz w:val="24"/>
                <w:szCs w:val="24"/>
                <w:color w:val="auto"/>
              </w:rPr>
            </w:pPr>
          </w:p>
        </w:tc>
        <w:tc>
          <w:tcPr>
            <w:tcW w:w="802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Statements of Operations and Comprehensive (Loss) Income for the three and nine months ended</w:t>
              </w:r>
            </w:hyperlink>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940" w:type="dxa"/>
            <w:vAlign w:val="bottom"/>
          </w:tcPr>
          <w:p>
            <w:pPr>
              <w:spacing w:after="0"/>
              <w:rPr>
                <w:sz w:val="17"/>
                <w:szCs w:val="17"/>
                <w:color w:val="auto"/>
              </w:rPr>
            </w:pPr>
          </w:p>
        </w:tc>
        <w:tc>
          <w:tcPr>
            <w:tcW w:w="18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March 31, 2014 and 2013</w:t>
              </w:r>
            </w:hyperlink>
          </w:p>
        </w:tc>
        <w:tc>
          <w:tcPr>
            <w:tcW w:w="6560" w:type="dxa"/>
            <w:vAlign w:val="bottom"/>
            <w:gridSpan w:val="8"/>
          </w:tcPr>
          <w:p>
            <w:pPr>
              <w:spacing w:after="0"/>
              <w:rPr>
                <w:sz w:val="17"/>
                <w:szCs w:val="17"/>
                <w:color w:val="auto"/>
              </w:rPr>
            </w:pPr>
          </w:p>
        </w:tc>
        <w:tc>
          <w:tcPr>
            <w:tcW w:w="90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4</w:t>
              </w:r>
            </w:hyperlink>
          </w:p>
        </w:tc>
        <w:tc>
          <w:tcPr>
            <w:tcW w:w="20" w:type="dxa"/>
            <w:vAlign w:val="bottom"/>
          </w:tcPr>
          <w:p>
            <w:pPr>
              <w:spacing w:after="0"/>
              <w:rPr>
                <w:sz w:val="17"/>
                <w:szCs w:val="17"/>
                <w:color w:val="auto"/>
              </w:rPr>
            </w:pPr>
          </w:p>
        </w:tc>
      </w:tr>
      <w:tr>
        <w:trPr>
          <w:trHeight w:val="574"/>
        </w:trPr>
        <w:tc>
          <w:tcPr>
            <w:tcW w:w="1940" w:type="dxa"/>
            <w:vAlign w:val="bottom"/>
          </w:tcPr>
          <w:p>
            <w:pPr>
              <w:spacing w:after="0"/>
              <w:rPr>
                <w:sz w:val="24"/>
                <w:szCs w:val="24"/>
                <w:color w:val="auto"/>
              </w:rPr>
            </w:pPr>
          </w:p>
        </w:tc>
        <w:tc>
          <w:tcPr>
            <w:tcW w:w="6700" w:type="dxa"/>
            <w:vAlign w:val="bottom"/>
            <w:tcBorders>
              <w:bottom w:val="single" w:sz="8" w:color="0000FF"/>
            </w:tcBorders>
            <w:gridSpan w:val="12"/>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Consolidated Statements of Cash Flows for the nine months ended March 31, 2014 and 2013</w:t>
              </w:r>
            </w:hyperlink>
          </w:p>
        </w:tc>
        <w:tc>
          <w:tcPr>
            <w:tcW w:w="1720" w:type="dxa"/>
            <w:vAlign w:val="bottom"/>
            <w:gridSpan w:val="2"/>
          </w:tcPr>
          <w:p>
            <w:pPr>
              <w:spacing w:after="0"/>
              <w:rPr>
                <w:sz w:val="24"/>
                <w:szCs w:val="24"/>
                <w:color w:val="auto"/>
              </w:rPr>
            </w:pPr>
          </w:p>
        </w:tc>
        <w:tc>
          <w:tcPr>
            <w:tcW w:w="90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5</w:t>
              </w:r>
            </w:hyperlink>
          </w:p>
        </w:tc>
        <w:tc>
          <w:tcPr>
            <w:tcW w:w="20" w:type="dxa"/>
            <w:vAlign w:val="bottom"/>
          </w:tcPr>
          <w:p>
            <w:pPr>
              <w:spacing w:after="0"/>
              <w:rPr>
                <w:sz w:val="24"/>
                <w:szCs w:val="24"/>
                <w:color w:val="auto"/>
              </w:rPr>
            </w:pPr>
          </w:p>
        </w:tc>
      </w:tr>
      <w:tr>
        <w:trPr>
          <w:trHeight w:val="574"/>
        </w:trPr>
        <w:tc>
          <w:tcPr>
            <w:tcW w:w="1940" w:type="dxa"/>
            <w:vAlign w:val="bottom"/>
          </w:tcPr>
          <w:p>
            <w:pPr>
              <w:spacing w:after="0"/>
              <w:rPr>
                <w:sz w:val="24"/>
                <w:szCs w:val="24"/>
                <w:color w:val="auto"/>
              </w:rPr>
            </w:pPr>
          </w:p>
        </w:tc>
        <w:tc>
          <w:tcPr>
            <w:tcW w:w="8420" w:type="dxa"/>
            <w:vAlign w:val="bottom"/>
            <w:gridSpan w:val="14"/>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Notes to Consolidated Financial Statements</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6</w:t>
              </w:r>
            </w:hyperlink>
          </w:p>
        </w:tc>
      </w:tr>
      <w:tr>
        <w:trPr>
          <w:trHeight w:val="20"/>
        </w:trPr>
        <w:tc>
          <w:tcPr>
            <w:tcW w:w="1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94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1"/>
          </w:tcPr>
          <w:p>
            <w:pPr>
              <w:spacing w:after="0"/>
              <w:rPr>
                <w:rFonts w:ascii="Arial" w:cs="Arial" w:eastAsia="Arial" w:hAnsi="Arial"/>
                <w:sz w:val="18"/>
                <w:szCs w:val="18"/>
                <w:color w:val="0000FF"/>
                <w:w w:val="90"/>
              </w:rPr>
            </w:pPr>
            <w:hyperlink w:anchor="page16">
              <w:r>
                <w:rPr>
                  <w:rFonts w:ascii="Arial" w:cs="Arial" w:eastAsia="Arial" w:hAnsi="Arial"/>
                  <w:sz w:val="18"/>
                  <w:szCs w:val="18"/>
                  <w:color w:val="0000FF"/>
                  <w:w w:val="90"/>
                </w:rPr>
                <w:t>Management’s Discussion and Analysis of Financial Condition and Results of Operations</w:t>
              </w:r>
            </w:hyperlink>
          </w:p>
        </w:tc>
        <w:tc>
          <w:tcPr>
            <w:tcW w:w="1960" w:type="dxa"/>
            <w:vAlign w:val="bottom"/>
            <w:gridSpan w:val="3"/>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16">
              <w:r>
                <w:rPr>
                  <w:rFonts w:ascii="Arial" w:cs="Arial" w:eastAsia="Arial" w:hAnsi="Arial"/>
                  <w:sz w:val="18"/>
                  <w:szCs w:val="18"/>
                  <w:color w:val="0000EE"/>
                </w:rPr>
                <w:t>17</w:t>
              </w:r>
            </w:hyperlink>
          </w:p>
        </w:tc>
      </w:tr>
      <w:tr>
        <w:trPr>
          <w:trHeight w:val="20"/>
        </w:trPr>
        <w:tc>
          <w:tcPr>
            <w:tcW w:w="1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940" w:type="dxa"/>
            <w:vAlign w:val="bottom"/>
          </w:tcPr>
          <w:p>
            <w:pPr>
              <w:spacing w:after="0"/>
              <w:rPr>
                <w:sz w:val="20"/>
                <w:szCs w:val="20"/>
                <w:color w:val="auto"/>
              </w:rPr>
            </w:pPr>
            <w:r>
              <w:rPr>
                <w:rFonts w:ascii="Arial" w:cs="Arial" w:eastAsia="Arial" w:hAnsi="Arial"/>
                <w:sz w:val="18"/>
                <w:szCs w:val="18"/>
                <w:color w:val="auto"/>
              </w:rPr>
              <w:t>Item 3.</w:t>
            </w:r>
          </w:p>
        </w:tc>
        <w:tc>
          <w:tcPr>
            <w:tcW w:w="6460" w:type="dxa"/>
            <w:vAlign w:val="bottom"/>
            <w:gridSpan w:val="11"/>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Quantitative and Qualitative Disclosures about Market Risk</w:t>
              </w:r>
            </w:hyperlink>
          </w:p>
        </w:tc>
        <w:tc>
          <w:tcPr>
            <w:tcW w:w="1960" w:type="dxa"/>
            <w:vAlign w:val="bottom"/>
            <w:gridSpan w:val="3"/>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26">
              <w:r>
                <w:rPr>
                  <w:rFonts w:ascii="Arial" w:cs="Arial" w:eastAsia="Arial" w:hAnsi="Arial"/>
                  <w:sz w:val="18"/>
                  <w:szCs w:val="18"/>
                  <w:color w:val="0000EE"/>
                </w:rPr>
                <w:t>27</w:t>
              </w:r>
            </w:hyperlink>
          </w:p>
        </w:tc>
      </w:tr>
      <w:tr>
        <w:trPr>
          <w:trHeight w:val="20"/>
        </w:trPr>
        <w:tc>
          <w:tcPr>
            <w:tcW w:w="1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412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940" w:type="dxa"/>
            <w:vAlign w:val="bottom"/>
          </w:tcPr>
          <w:p>
            <w:pPr>
              <w:spacing w:after="0"/>
              <w:rPr>
                <w:sz w:val="20"/>
                <w:szCs w:val="20"/>
                <w:color w:val="auto"/>
              </w:rPr>
            </w:pPr>
            <w:r>
              <w:rPr>
                <w:rFonts w:ascii="Arial" w:cs="Arial" w:eastAsia="Arial" w:hAnsi="Arial"/>
                <w:sz w:val="18"/>
                <w:szCs w:val="18"/>
                <w:color w:val="auto"/>
              </w:rPr>
              <w:t>Item 4.</w:t>
            </w:r>
          </w:p>
        </w:tc>
        <w:tc>
          <w:tcPr>
            <w:tcW w:w="4300" w:type="dxa"/>
            <w:vAlign w:val="bottom"/>
            <w:gridSpan w:val="9"/>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Controls and Procedures</w:t>
              </w:r>
            </w:hyperlink>
          </w:p>
        </w:tc>
        <w:tc>
          <w:tcPr>
            <w:tcW w:w="4120" w:type="dxa"/>
            <w:vAlign w:val="bottom"/>
            <w:gridSpan w:val="5"/>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27</w:t>
              </w:r>
            </w:hyperlink>
          </w:p>
        </w:tc>
      </w:tr>
      <w:tr>
        <w:trPr>
          <w:trHeight w:val="20"/>
        </w:trPr>
        <w:tc>
          <w:tcPr>
            <w:tcW w:w="1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660" w:type="dxa"/>
            <w:vAlign w:val="bottom"/>
            <w:gridSpan w:val="9"/>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15"/>
        </w:trPr>
        <w:tc>
          <w:tcPr>
            <w:tcW w:w="10360" w:type="dxa"/>
            <w:vAlign w:val="bottom"/>
            <w:gridSpan w:val="15"/>
          </w:tcPr>
          <w:p>
            <w:pPr>
              <w:spacing w:after="0"/>
              <w:rPr>
                <w:sz w:val="20"/>
                <w:szCs w:val="20"/>
                <w:color w:val="auto"/>
              </w:rPr>
            </w:pPr>
            <w:r>
              <w:rPr>
                <w:rFonts w:ascii="Arial" w:cs="Arial" w:eastAsia="Arial" w:hAnsi="Arial"/>
                <w:sz w:val="18"/>
                <w:szCs w:val="18"/>
                <w:color w:val="auto"/>
              </w:rPr>
              <w:t>PART II. OTHER INFORMATION</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54"/>
        </w:trPr>
        <w:tc>
          <w:tcPr>
            <w:tcW w:w="194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gridSpan w:val="4"/>
          </w:tcPr>
          <w:p>
            <w:pPr>
              <w:spacing w:after="0"/>
              <w:rPr>
                <w:rFonts w:ascii="Arial" w:cs="Arial" w:eastAsia="Arial" w:hAnsi="Arial"/>
                <w:sz w:val="18"/>
                <w:szCs w:val="18"/>
                <w:color w:val="0000FF"/>
                <w:w w:val="88"/>
              </w:rPr>
            </w:pPr>
            <w:hyperlink w:anchor="page28">
              <w:r>
                <w:rPr>
                  <w:rFonts w:ascii="Arial" w:cs="Arial" w:eastAsia="Arial" w:hAnsi="Arial"/>
                  <w:sz w:val="18"/>
                  <w:szCs w:val="18"/>
                  <w:color w:val="0000FF"/>
                  <w:w w:val="88"/>
                </w:rPr>
                <w:t>Legal Proceedings</w:t>
              </w:r>
            </w:hyperlink>
          </w:p>
        </w:tc>
        <w:tc>
          <w:tcPr>
            <w:tcW w:w="7080" w:type="dxa"/>
            <w:vAlign w:val="bottom"/>
            <w:gridSpan w:val="10"/>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20"/>
        </w:trPr>
        <w:tc>
          <w:tcPr>
            <w:tcW w:w="1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940" w:type="dxa"/>
            <w:vAlign w:val="bottom"/>
          </w:tcPr>
          <w:p>
            <w:pPr>
              <w:spacing w:after="0"/>
              <w:rPr>
                <w:sz w:val="20"/>
                <w:szCs w:val="20"/>
                <w:color w:val="auto"/>
              </w:rPr>
            </w:pPr>
            <w:r>
              <w:rPr>
                <w:rFonts w:ascii="Arial" w:cs="Arial" w:eastAsia="Arial" w:hAnsi="Arial"/>
                <w:sz w:val="18"/>
                <w:szCs w:val="18"/>
                <w:color w:val="auto"/>
              </w:rPr>
              <w:t>Item 1A.</w:t>
            </w:r>
          </w:p>
        </w:tc>
        <w:tc>
          <w:tcPr>
            <w:tcW w:w="1340" w:type="dxa"/>
            <w:vAlign w:val="bottom"/>
            <w:gridSpan w:val="4"/>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Risk Factors</w:t>
              </w:r>
            </w:hyperlink>
          </w:p>
        </w:tc>
        <w:tc>
          <w:tcPr>
            <w:tcW w:w="7080" w:type="dxa"/>
            <w:vAlign w:val="bottom"/>
            <w:gridSpan w:val="10"/>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20"/>
        </w:trPr>
        <w:tc>
          <w:tcPr>
            <w:tcW w:w="1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520" w:type="dxa"/>
            <w:vAlign w:val="bottom"/>
            <w:gridSpan w:val="11"/>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94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Pr>
          <w:p>
            <w:pPr>
              <w:spacing w:after="0"/>
              <w:rPr>
                <w:rFonts w:ascii="Arial" w:cs="Arial" w:eastAsia="Arial" w:hAnsi="Arial"/>
                <w:sz w:val="18"/>
                <w:szCs w:val="18"/>
                <w:color w:val="0000FF"/>
                <w:w w:val="91"/>
              </w:rPr>
            </w:pPr>
            <w:hyperlink w:anchor="page28">
              <w:r>
                <w:rPr>
                  <w:rFonts w:ascii="Arial" w:cs="Arial" w:eastAsia="Arial" w:hAnsi="Arial"/>
                  <w:sz w:val="18"/>
                  <w:szCs w:val="18"/>
                  <w:color w:val="0000FF"/>
                  <w:w w:val="91"/>
                </w:rPr>
                <w:t>Exhibits</w:t>
              </w:r>
            </w:hyperlink>
          </w:p>
        </w:tc>
        <w:tc>
          <w:tcPr>
            <w:tcW w:w="300" w:type="dxa"/>
            <w:vAlign w:val="bottom"/>
            <w:gridSpan w:val="2"/>
          </w:tcPr>
          <w:p>
            <w:pPr>
              <w:spacing w:after="0"/>
              <w:rPr>
                <w:sz w:val="24"/>
                <w:szCs w:val="24"/>
                <w:color w:val="auto"/>
              </w:rPr>
            </w:pPr>
          </w:p>
        </w:tc>
        <w:tc>
          <w:tcPr>
            <w:tcW w:w="7520" w:type="dxa"/>
            <w:vAlign w:val="bottom"/>
            <w:gridSpan w:val="11"/>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20"/>
        </w:trPr>
        <w:tc>
          <w:tcPr>
            <w:tcW w:w="1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60" w:type="dxa"/>
            <w:vAlign w:val="bottom"/>
            <w:gridSpan w:val="1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940" w:type="dxa"/>
            <w:vAlign w:val="bottom"/>
          </w:tcPr>
          <w:p>
            <w:pPr>
              <w:spacing w:after="0"/>
              <w:rPr>
                <w:sz w:val="24"/>
                <w:szCs w:val="24"/>
                <w:color w:val="auto"/>
              </w:rPr>
            </w:pPr>
          </w:p>
        </w:tc>
        <w:tc>
          <w:tcPr>
            <w:tcW w:w="760" w:type="dxa"/>
            <w:vAlign w:val="bottom"/>
            <w:gridSpan w:val="2"/>
          </w:tcPr>
          <w:p>
            <w:pPr>
              <w:spacing w:after="0"/>
              <w:rPr>
                <w:rFonts w:ascii="Arial" w:cs="Arial" w:eastAsia="Arial" w:hAnsi="Arial"/>
                <w:sz w:val="18"/>
                <w:szCs w:val="18"/>
                <w:color w:val="0000FF"/>
                <w:w w:val="85"/>
              </w:rPr>
            </w:pPr>
            <w:hyperlink w:anchor="page28">
              <w:r>
                <w:rPr>
                  <w:rFonts w:ascii="Arial" w:cs="Arial" w:eastAsia="Arial" w:hAnsi="Arial"/>
                  <w:sz w:val="18"/>
                  <w:szCs w:val="18"/>
                  <w:color w:val="0000FF"/>
                  <w:w w:val="85"/>
                </w:rPr>
                <w:t>Signatures</w:t>
              </w:r>
            </w:hyperlink>
          </w:p>
        </w:tc>
        <w:tc>
          <w:tcPr>
            <w:tcW w:w="7660" w:type="dxa"/>
            <w:vAlign w:val="bottom"/>
            <w:gridSpan w:val="12"/>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29</w:t>
              </w:r>
            </w:hyperlink>
          </w:p>
        </w:tc>
      </w:tr>
      <w:tr>
        <w:trPr>
          <w:trHeight w:val="669"/>
        </w:trPr>
        <w:tc>
          <w:tcPr>
            <w:tcW w:w="1940" w:type="dxa"/>
            <w:vAlign w:val="bottom"/>
          </w:tcPr>
          <w:p>
            <w:pPr>
              <w:spacing w:after="0"/>
              <w:rPr>
                <w:sz w:val="24"/>
                <w:szCs w:val="24"/>
                <w:color w:val="auto"/>
              </w:rPr>
            </w:pPr>
          </w:p>
        </w:tc>
        <w:tc>
          <w:tcPr>
            <w:tcW w:w="760" w:type="dxa"/>
            <w:vAlign w:val="bottom"/>
            <w:tcBorders>
              <w:top w:val="single" w:sz="8" w:color="0000FF"/>
            </w:tcBorders>
            <w:gridSpan w:val="2"/>
          </w:tcPr>
          <w:p>
            <w:pPr>
              <w:spacing w:after="0"/>
              <w:rPr>
                <w:sz w:val="24"/>
                <w:szCs w:val="24"/>
                <w:color w:val="auto"/>
              </w:rPr>
            </w:pPr>
          </w:p>
        </w:tc>
        <w:tc>
          <w:tcPr>
            <w:tcW w:w="3540" w:type="dxa"/>
            <w:vAlign w:val="bottom"/>
            <w:gridSpan w:val="7"/>
          </w:tcPr>
          <w:p>
            <w:pPr>
              <w:jc w:val="right"/>
              <w:ind w:right="520"/>
              <w:spacing w:after="0"/>
              <w:rPr>
                <w:sz w:val="20"/>
                <w:szCs w:val="20"/>
                <w:color w:val="auto"/>
              </w:rPr>
            </w:pPr>
            <w:r>
              <w:rPr>
                <w:rFonts w:ascii="Arial" w:cs="Arial" w:eastAsia="Arial" w:hAnsi="Arial"/>
                <w:sz w:val="18"/>
                <w:szCs w:val="18"/>
                <w:color w:val="auto"/>
              </w:rPr>
              <w:t>2</w:t>
            </w:r>
          </w:p>
        </w:tc>
        <w:tc>
          <w:tcPr>
            <w:tcW w:w="7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80" w:top="580"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7900" w:type="dxa"/>
            <w:vAlign w:val="bottom"/>
          </w:tcPr>
          <w:p>
            <w:pPr>
              <w:jc w:val="center"/>
              <w:ind w:left="2070"/>
              <w:spacing w:after="0"/>
              <w:rPr>
                <w:sz w:val="20"/>
                <w:szCs w:val="20"/>
                <w:color w:val="auto"/>
              </w:rPr>
            </w:pPr>
            <w:r>
              <w:rPr>
                <w:rFonts w:ascii="Arial" w:cs="Arial" w:eastAsia="Arial" w:hAnsi="Arial"/>
                <w:sz w:val="18"/>
                <w:szCs w:val="18"/>
                <w:b w:val="1"/>
                <w:bCs w:val="1"/>
                <w:color w:val="auto"/>
              </w:rPr>
              <w:t>PART I. FINANCIAL INFORMATION</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567"/>
        </w:trPr>
        <w:tc>
          <w:tcPr>
            <w:tcW w:w="6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900" w:type="dxa"/>
            <w:vAlign w:val="bottom"/>
          </w:tcPr>
          <w:p>
            <w:pPr>
              <w:ind w:left="300"/>
              <w:spacing w:after="0"/>
              <w:rPr>
                <w:sz w:val="20"/>
                <w:szCs w:val="20"/>
                <w:color w:val="auto"/>
              </w:rPr>
            </w:pPr>
            <w:r>
              <w:rPr>
                <w:rFonts w:ascii="Arial" w:cs="Arial" w:eastAsia="Arial" w:hAnsi="Arial"/>
                <w:sz w:val="18"/>
                <w:szCs w:val="18"/>
                <w:b w:val="1"/>
                <w:bCs w:val="1"/>
                <w:color w:val="auto"/>
              </w:rPr>
              <w:t>FINANCIAL STATEMENTS</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680" w:type="dxa"/>
            <w:vAlign w:val="bottom"/>
          </w:tcPr>
          <w:p>
            <w:pPr>
              <w:spacing w:after="0"/>
              <w:rPr>
                <w:sz w:val="23"/>
                <w:szCs w:val="23"/>
                <w:color w:val="auto"/>
              </w:rPr>
            </w:pPr>
          </w:p>
        </w:tc>
        <w:tc>
          <w:tcPr>
            <w:tcW w:w="7900" w:type="dxa"/>
            <w:vAlign w:val="bottom"/>
          </w:tcPr>
          <w:p>
            <w:pPr>
              <w:jc w:val="center"/>
              <w:ind w:left="2090"/>
              <w:spacing w:after="0"/>
              <w:rPr>
                <w:sz w:val="20"/>
                <w:szCs w:val="20"/>
                <w:color w:val="auto"/>
              </w:rPr>
            </w:pPr>
            <w:r>
              <w:rPr>
                <w:rFonts w:ascii="Arial" w:cs="Arial" w:eastAsia="Arial" w:hAnsi="Arial"/>
                <w:sz w:val="18"/>
                <w:szCs w:val="18"/>
                <w:b w:val="1"/>
                <w:bCs w:val="1"/>
                <w:color w:val="auto"/>
                <w:w w:val="99"/>
              </w:rPr>
              <w:t>MERCURY SYSTEMS, INC.</w:t>
            </w: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6"/>
        </w:trPr>
        <w:tc>
          <w:tcPr>
            <w:tcW w:w="680" w:type="dxa"/>
            <w:vAlign w:val="bottom"/>
          </w:tcPr>
          <w:p>
            <w:pPr>
              <w:spacing w:after="0"/>
              <w:rPr>
                <w:sz w:val="22"/>
                <w:szCs w:val="22"/>
                <w:color w:val="auto"/>
              </w:rPr>
            </w:pPr>
          </w:p>
        </w:tc>
        <w:tc>
          <w:tcPr>
            <w:tcW w:w="7900" w:type="dxa"/>
            <w:vAlign w:val="bottom"/>
          </w:tcPr>
          <w:p>
            <w:pPr>
              <w:jc w:val="center"/>
              <w:ind w:left="2090"/>
              <w:spacing w:after="0"/>
              <w:rPr>
                <w:sz w:val="20"/>
                <w:szCs w:val="20"/>
                <w:color w:val="auto"/>
              </w:rPr>
            </w:pPr>
            <w:r>
              <w:rPr>
                <w:rFonts w:ascii="Arial" w:cs="Arial" w:eastAsia="Arial" w:hAnsi="Arial"/>
                <w:sz w:val="18"/>
                <w:szCs w:val="18"/>
                <w:b w:val="1"/>
                <w:bCs w:val="1"/>
                <w:color w:val="auto"/>
                <w:w w:val="99"/>
              </w:rPr>
              <w:t>CONSOLIDATED BALANCE SHEETS</w:t>
            </w: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16"/>
        </w:trPr>
        <w:tc>
          <w:tcPr>
            <w:tcW w:w="680" w:type="dxa"/>
            <w:vAlign w:val="bottom"/>
          </w:tcPr>
          <w:p>
            <w:pPr>
              <w:spacing w:after="0"/>
              <w:rPr>
                <w:sz w:val="18"/>
                <w:szCs w:val="18"/>
                <w:color w:val="auto"/>
              </w:rPr>
            </w:pPr>
          </w:p>
        </w:tc>
        <w:tc>
          <w:tcPr>
            <w:tcW w:w="7900" w:type="dxa"/>
            <w:vAlign w:val="bottom"/>
          </w:tcPr>
          <w:p>
            <w:pPr>
              <w:jc w:val="center"/>
              <w:ind w:left="2070"/>
              <w:spacing w:after="0"/>
              <w:rPr>
                <w:sz w:val="20"/>
                <w:szCs w:val="20"/>
                <w:color w:val="auto"/>
              </w:rPr>
            </w:pPr>
            <w:r>
              <w:rPr>
                <w:rFonts w:ascii="Arial" w:cs="Arial" w:eastAsia="Arial" w:hAnsi="Arial"/>
                <w:sz w:val="18"/>
                <w:szCs w:val="18"/>
                <w:color w:val="auto"/>
                <w:w w:val="87"/>
              </w:rPr>
              <w:t>(In thousands, except share and per share data)</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680" w:type="dxa"/>
            <w:vAlign w:val="bottom"/>
          </w:tcPr>
          <w:p>
            <w:pPr>
              <w:spacing w:after="0"/>
              <w:rPr>
                <w:sz w:val="20"/>
                <w:szCs w:val="20"/>
                <w:color w:val="auto"/>
              </w:rPr>
            </w:pPr>
          </w:p>
        </w:tc>
        <w:tc>
          <w:tcPr>
            <w:tcW w:w="7900" w:type="dxa"/>
            <w:vAlign w:val="bottom"/>
          </w:tcPr>
          <w:p>
            <w:pPr>
              <w:jc w:val="center"/>
              <w:ind w:left="2070"/>
              <w:spacing w:after="0"/>
              <w:rPr>
                <w:sz w:val="20"/>
                <w:szCs w:val="20"/>
                <w:color w:val="auto"/>
              </w:rPr>
            </w:pPr>
            <w:r>
              <w:rPr>
                <w:rFonts w:ascii="Arial" w:cs="Arial" w:eastAsia="Arial" w:hAnsi="Arial"/>
                <w:sz w:val="18"/>
                <w:szCs w:val="18"/>
                <w:color w:val="auto"/>
                <w:w w:val="91"/>
              </w:rPr>
              <w:t>(Unaudited)</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88"/>
        </w:trPr>
        <w:tc>
          <w:tcPr>
            <w:tcW w:w="68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24"/>
                <w:szCs w:val="24"/>
                <w:color w:val="auto"/>
              </w:rPr>
            </w:pPr>
          </w:p>
        </w:tc>
        <w:tc>
          <w:tcPr>
            <w:tcW w:w="1100" w:type="dxa"/>
            <w:vAlign w:val="bottom"/>
          </w:tcPr>
          <w:p>
            <w:pPr>
              <w:jc w:val="right"/>
              <w:ind w:right="351"/>
              <w:spacing w:after="0"/>
              <w:rPr>
                <w:sz w:val="20"/>
                <w:szCs w:val="20"/>
                <w:color w:val="auto"/>
              </w:rPr>
            </w:pPr>
            <w:r>
              <w:rPr>
                <w:rFonts w:ascii="Arial" w:cs="Arial" w:eastAsia="Arial" w:hAnsi="Arial"/>
                <w:sz w:val="14"/>
                <w:szCs w:val="14"/>
                <w:b w:val="1"/>
                <w:bCs w:val="1"/>
                <w:color w:val="auto"/>
              </w:rPr>
              <w:t>June 30,</w:t>
            </w:r>
          </w:p>
        </w:tc>
      </w:tr>
      <w:tr>
        <w:trPr>
          <w:trHeight w:val="192"/>
        </w:trPr>
        <w:tc>
          <w:tcPr>
            <w:tcW w:w="680" w:type="dxa"/>
            <w:vAlign w:val="bottom"/>
            <w:tcBorders>
              <w:bottom w:val="single" w:sz="8" w:color="CCEEFF"/>
            </w:tcBorders>
          </w:tcPr>
          <w:p>
            <w:pPr>
              <w:spacing w:after="0"/>
              <w:rPr>
                <w:sz w:val="16"/>
                <w:szCs w:val="16"/>
                <w:color w:val="auto"/>
              </w:rPr>
            </w:pPr>
          </w:p>
        </w:tc>
        <w:tc>
          <w:tcPr>
            <w:tcW w:w="79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r>
      <w:tr>
        <w:trPr>
          <w:trHeight w:val="250"/>
        </w:trPr>
        <w:tc>
          <w:tcPr>
            <w:tcW w:w="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7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45,710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39,126</w:t>
            </w:r>
          </w:p>
        </w:tc>
      </w:tr>
      <w:tr>
        <w:trPr>
          <w:trHeight w:val="229"/>
        </w:trPr>
        <w:tc>
          <w:tcPr>
            <w:tcW w:w="8580" w:type="dxa"/>
            <w:vAlign w:val="bottom"/>
            <w:gridSpan w:val="2"/>
          </w:tcPr>
          <w:p>
            <w:pPr>
              <w:ind w:left="380"/>
              <w:spacing w:after="0"/>
              <w:rPr>
                <w:sz w:val="20"/>
                <w:szCs w:val="20"/>
                <w:color w:val="auto"/>
              </w:rPr>
            </w:pPr>
            <w:r>
              <w:rPr>
                <w:rFonts w:ascii="Arial" w:cs="Arial" w:eastAsia="Arial" w:hAnsi="Arial"/>
                <w:sz w:val="18"/>
                <w:szCs w:val="18"/>
                <w:color w:val="auto"/>
                <w:w w:val="95"/>
              </w:rPr>
              <w:t>Accounts receivable, net of allowance for doubtful accounts of $37 and $33 at March 31, 2014 and June 30,</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2013, respectively</w:t>
            </w:r>
          </w:p>
        </w:tc>
        <w:tc>
          <w:tcPr>
            <w:tcW w:w="22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33,535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30,498</w:t>
            </w:r>
          </w:p>
        </w:tc>
      </w:tr>
      <w:tr>
        <w:trPr>
          <w:trHeight w:val="27"/>
        </w:trPr>
        <w:tc>
          <w:tcPr>
            <w:tcW w:w="8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Unbilled receivables and costs in excess of billings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17,743</w:t>
            </w:r>
          </w:p>
        </w:tc>
      </w:tr>
      <w:tr>
        <w:trPr>
          <w:trHeight w:val="243"/>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Inventory</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35,330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37,432</w:t>
            </w:r>
          </w:p>
        </w:tc>
      </w:tr>
      <w:tr>
        <w:trPr>
          <w:trHeight w:val="27"/>
        </w:trPr>
        <w:tc>
          <w:tcPr>
            <w:tcW w:w="8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11,672</w:t>
            </w:r>
          </w:p>
        </w:tc>
      </w:tr>
      <w:tr>
        <w:trPr>
          <w:trHeight w:val="243"/>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Prepaid income taxes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3,113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2,369</w:t>
            </w:r>
          </w:p>
        </w:tc>
      </w:tr>
      <w:tr>
        <w:trPr>
          <w:trHeight w:val="27"/>
        </w:trPr>
        <w:tc>
          <w:tcPr>
            <w:tcW w:w="8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4,683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7,461</w:t>
            </w:r>
          </w:p>
        </w:tc>
      </w:tr>
      <w:tr>
        <w:trPr>
          <w:trHeight w:val="237"/>
        </w:trPr>
        <w:tc>
          <w:tcPr>
            <w:tcW w:w="680" w:type="dxa"/>
            <w:vAlign w:val="bottom"/>
          </w:tcPr>
          <w:p>
            <w:pPr>
              <w:spacing w:after="0"/>
              <w:rPr>
                <w:sz w:val="20"/>
                <w:szCs w:val="20"/>
                <w:color w:val="auto"/>
              </w:rPr>
            </w:pPr>
          </w:p>
        </w:tc>
        <w:tc>
          <w:tcPr>
            <w:tcW w:w="790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151,041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146,301</w:t>
            </w:r>
          </w:p>
        </w:tc>
      </w:tr>
      <w:tr>
        <w:trPr>
          <w:trHeight w:val="27"/>
        </w:trPr>
        <w:tc>
          <w:tcPr>
            <w:tcW w:w="8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546</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15,226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15,019</w:t>
            </w:r>
          </w:p>
        </w:tc>
      </w:tr>
      <w:tr>
        <w:trPr>
          <w:trHeight w:val="27"/>
        </w:trPr>
        <w:tc>
          <w:tcPr>
            <w:tcW w:w="8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177,116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176,521</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28,954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34,866</w:t>
            </w:r>
          </w:p>
        </w:tc>
      </w:tr>
      <w:tr>
        <w:trPr>
          <w:trHeight w:val="27"/>
        </w:trPr>
        <w:tc>
          <w:tcPr>
            <w:tcW w:w="8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1,178</w:t>
            </w:r>
          </w:p>
        </w:tc>
      </w:tr>
      <w:tr>
        <w:trPr>
          <w:trHeight w:val="237"/>
        </w:trPr>
        <w:tc>
          <w:tcPr>
            <w:tcW w:w="680" w:type="dxa"/>
            <w:vAlign w:val="bottom"/>
          </w:tcPr>
          <w:p>
            <w:pPr>
              <w:spacing w:after="0"/>
              <w:rPr>
                <w:sz w:val="20"/>
                <w:szCs w:val="20"/>
                <w:color w:val="auto"/>
              </w:rPr>
            </w:pPr>
          </w:p>
        </w:tc>
        <w:tc>
          <w:tcPr>
            <w:tcW w:w="79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373,596</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374,431</w:t>
            </w:r>
          </w:p>
        </w:tc>
      </w:tr>
      <w:tr>
        <w:trPr>
          <w:trHeight w:val="67"/>
        </w:trPr>
        <w:tc>
          <w:tcPr>
            <w:tcW w:w="8580" w:type="dxa"/>
            <w:vAlign w:val="bottom"/>
            <w:tcBorders>
              <w:bottom w:val="single" w:sz="8" w:color="CCEEFF"/>
            </w:tcBorders>
            <w:gridSpan w:val="2"/>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231"/>
        </w:trPr>
        <w:tc>
          <w:tcPr>
            <w:tcW w:w="858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4,813</w:t>
            </w:r>
          </w:p>
        </w:tc>
      </w:tr>
      <w:tr>
        <w:trPr>
          <w:trHeight w:val="243"/>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9,440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7,999</w:t>
            </w:r>
          </w:p>
        </w:tc>
      </w:tr>
      <w:tr>
        <w:trPr>
          <w:trHeight w:val="27"/>
        </w:trPr>
        <w:tc>
          <w:tcPr>
            <w:tcW w:w="8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Accrued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12,218</w:t>
            </w:r>
          </w:p>
        </w:tc>
      </w:tr>
      <w:tr>
        <w:trPr>
          <w:trHeight w:val="243"/>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Deferred revenues and customer advances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4,476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5,788</w:t>
            </w:r>
          </w:p>
        </w:tc>
      </w:tr>
      <w:tr>
        <w:trPr>
          <w:trHeight w:val="27"/>
        </w:trPr>
        <w:tc>
          <w:tcPr>
            <w:tcW w:w="680" w:type="dxa"/>
            <w:vAlign w:val="bottom"/>
            <w:tcBorders>
              <w:bottom w:val="single" w:sz="8" w:color="CCEEFF"/>
            </w:tcBorders>
          </w:tcPr>
          <w:p>
            <w:pPr>
              <w:spacing w:after="0"/>
              <w:rPr>
                <w:sz w:val="2"/>
                <w:szCs w:val="2"/>
                <w:color w:val="auto"/>
              </w:rPr>
            </w:pPr>
          </w:p>
        </w:tc>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80" w:type="dxa"/>
            <w:vAlign w:val="bottom"/>
            <w:tcBorders>
              <w:bottom w:val="single" w:sz="8" w:color="CCEEFF"/>
            </w:tcBorders>
            <w:shd w:val="clear" w:color="auto" w:fill="CCEEFF"/>
          </w:tcPr>
          <w:p>
            <w:pPr>
              <w:spacing w:after="0"/>
              <w:rPr>
                <w:sz w:val="21"/>
                <w:szCs w:val="21"/>
                <w:color w:val="auto"/>
              </w:rPr>
            </w:pPr>
          </w:p>
        </w:tc>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30,818</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Deferred gain on sale-leaseback</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2,375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3,242</w:t>
            </w:r>
          </w:p>
        </w:tc>
      </w:tr>
      <w:tr>
        <w:trPr>
          <w:trHeight w:val="27"/>
        </w:trPr>
        <w:tc>
          <w:tcPr>
            <w:tcW w:w="8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7,721</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Income taxes payable</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2,771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2,880</w:t>
            </w:r>
          </w:p>
        </w:tc>
      </w:tr>
      <w:tr>
        <w:trPr>
          <w:trHeight w:val="27"/>
        </w:trPr>
        <w:tc>
          <w:tcPr>
            <w:tcW w:w="8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1,269</w:t>
            </w:r>
          </w:p>
        </w:tc>
      </w:tr>
      <w:tr>
        <w:trPr>
          <w:trHeight w:val="237"/>
        </w:trPr>
        <w:tc>
          <w:tcPr>
            <w:tcW w:w="680" w:type="dxa"/>
            <w:vAlign w:val="bottom"/>
          </w:tcPr>
          <w:p>
            <w:pPr>
              <w:spacing w:after="0"/>
              <w:rPr>
                <w:sz w:val="20"/>
                <w:szCs w:val="20"/>
                <w:color w:val="auto"/>
              </w:rPr>
            </w:pPr>
          </w:p>
        </w:tc>
        <w:tc>
          <w:tcPr>
            <w:tcW w:w="79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41,334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45,930</w:t>
            </w:r>
          </w:p>
        </w:tc>
      </w:tr>
      <w:tr>
        <w:trPr>
          <w:trHeight w:val="27"/>
        </w:trPr>
        <w:tc>
          <w:tcPr>
            <w:tcW w:w="8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H)</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Preferred stock, $0.01 par value; 1,000,000 shares authorized; no shares issued or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580" w:type="dxa"/>
            <w:vAlign w:val="bottom"/>
            <w:gridSpan w:val="2"/>
          </w:tcPr>
          <w:p>
            <w:pPr>
              <w:ind w:left="380"/>
              <w:spacing w:after="0"/>
              <w:rPr>
                <w:sz w:val="20"/>
                <w:szCs w:val="20"/>
                <w:color w:val="auto"/>
              </w:rPr>
            </w:pPr>
            <w:r>
              <w:rPr>
                <w:rFonts w:ascii="Arial" w:cs="Arial" w:eastAsia="Arial" w:hAnsi="Arial"/>
                <w:sz w:val="18"/>
                <w:szCs w:val="18"/>
                <w:color w:val="auto"/>
                <w:w w:val="92"/>
              </w:rPr>
              <w:t>Common stock, $0.01 par value; 85,000,000 shares authorized; 31,189,145 and 30,381,254 shares issued and</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outstanding at March 31, 2014 and June 30, 2013, respectively</w:t>
            </w:r>
          </w:p>
        </w:tc>
        <w:tc>
          <w:tcPr>
            <w:tcW w:w="22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304</w:t>
            </w:r>
          </w:p>
        </w:tc>
      </w:tr>
      <w:tr>
        <w:trPr>
          <w:trHeight w:val="27"/>
        </w:trPr>
        <w:tc>
          <w:tcPr>
            <w:tcW w:w="8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239,335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231,711</w:t>
            </w:r>
          </w:p>
        </w:tc>
      </w:tr>
      <w:tr>
        <w:trPr>
          <w:trHeight w:val="243"/>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91,645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95,524</w:t>
            </w:r>
          </w:p>
        </w:tc>
      </w:tr>
      <w:tr>
        <w:trPr>
          <w:trHeight w:val="27"/>
        </w:trPr>
        <w:tc>
          <w:tcPr>
            <w:tcW w:w="8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962</w:t>
            </w:r>
          </w:p>
        </w:tc>
      </w:tr>
      <w:tr>
        <w:trPr>
          <w:trHeight w:val="237"/>
        </w:trPr>
        <w:tc>
          <w:tcPr>
            <w:tcW w:w="680" w:type="dxa"/>
            <w:vAlign w:val="bottom"/>
          </w:tcPr>
          <w:p>
            <w:pPr>
              <w:spacing w:after="0"/>
              <w:rPr>
                <w:sz w:val="20"/>
                <w:szCs w:val="20"/>
                <w:color w:val="auto"/>
              </w:rPr>
            </w:pPr>
          </w:p>
        </w:tc>
        <w:tc>
          <w:tcPr>
            <w:tcW w:w="7900" w:type="dxa"/>
            <w:vAlign w:val="bottom"/>
          </w:tcPr>
          <w:p>
            <w:pPr>
              <w:ind w:left="4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332,262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328,501</w:t>
            </w:r>
          </w:p>
        </w:tc>
      </w:tr>
      <w:tr>
        <w:trPr>
          <w:trHeight w:val="27"/>
        </w:trPr>
        <w:tc>
          <w:tcPr>
            <w:tcW w:w="680" w:type="dxa"/>
            <w:vAlign w:val="bottom"/>
            <w:tcBorders>
              <w:bottom w:val="single" w:sz="8" w:color="CCEEFF"/>
            </w:tcBorders>
          </w:tcPr>
          <w:p>
            <w:pPr>
              <w:spacing w:after="0"/>
              <w:rPr>
                <w:sz w:val="2"/>
                <w:szCs w:val="2"/>
                <w:color w:val="auto"/>
              </w:rPr>
            </w:pPr>
          </w:p>
        </w:tc>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680" w:type="dxa"/>
            <w:vAlign w:val="bottom"/>
            <w:tcBorders>
              <w:bottom w:val="single" w:sz="8" w:color="CCEEFF"/>
            </w:tcBorders>
            <w:shd w:val="clear" w:color="auto" w:fill="CCEEFF"/>
          </w:tcPr>
          <w:p>
            <w:pPr>
              <w:spacing w:after="0"/>
              <w:rPr>
                <w:sz w:val="22"/>
                <w:szCs w:val="22"/>
                <w:color w:val="auto"/>
              </w:rPr>
            </w:pPr>
          </w:p>
        </w:tc>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373,596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374,431</w:t>
            </w:r>
          </w:p>
        </w:tc>
      </w:tr>
      <w:tr>
        <w:trPr>
          <w:trHeight w:val="20"/>
        </w:trPr>
        <w:tc>
          <w:tcPr>
            <w:tcW w:w="680" w:type="dxa"/>
            <w:vAlign w:val="bottom"/>
            <w:tcBorders>
              <w:top w:val="single" w:sz="8" w:color="CCEEFF"/>
            </w:tcBorders>
          </w:tcPr>
          <w:p>
            <w:pPr>
              <w:spacing w:after="0" w:line="20" w:lineRule="exact"/>
              <w:rPr>
                <w:sz w:val="1"/>
                <w:szCs w:val="1"/>
                <w:color w:val="auto"/>
              </w:rPr>
            </w:pPr>
          </w:p>
        </w:tc>
        <w:tc>
          <w:tcPr>
            <w:tcW w:w="7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580"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580" w:right="239" w:bottom="1440" w:gutter="0" w:footer="0" w:header="0"/>
          <w:type w:val="continuous"/>
        </w:sectPr>
      </w:pPr>
    </w:p>
    <w:bookmarkStart w:id="3" w:name="page4"/>
    <w:bookmarkEnd w:id="3"/>
    <w:p>
      <w:pPr>
        <w:ind w:left="4580"/>
        <w:spacing w:after="0"/>
        <w:rPr>
          <w:sz w:val="20"/>
          <w:szCs w:val="20"/>
          <w:color w:val="auto"/>
        </w:rPr>
      </w:pPr>
      <w:r>
        <w:rPr>
          <w:rFonts w:ascii="Arial" w:cs="Arial" w:eastAsia="Arial" w:hAnsi="Arial"/>
          <w:sz w:val="18"/>
          <w:szCs w:val="18"/>
          <w:b w:val="1"/>
          <w:bCs w:val="1"/>
          <w:color w:val="auto"/>
        </w:rPr>
        <w:t>MERCURY SYSTEMS, INC.</w:t>
      </w:r>
    </w:p>
    <w:p>
      <w:pPr>
        <w:spacing w:after="0" w:line="117"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CONSOLIDATED STATEMENTS OF OPERATIONS AND COMPREHENSIVE (LOSS)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00" w:type="dxa"/>
            <w:vAlign w:val="bottom"/>
            <w:gridSpan w:val="4"/>
          </w:tcPr>
          <w:p>
            <w:pPr>
              <w:jc w:val="right"/>
              <w:ind w:right="49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6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55,500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54,123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162,530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153,355</w:t>
            </w: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30,373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31,549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89,880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92,819</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Gross margin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25,127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22,574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72,650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60,536</w:t>
            </w: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42,955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43,025</w:t>
            </w:r>
          </w:p>
        </w:tc>
        <w:tc>
          <w:tcPr>
            <w:tcW w:w="0" w:type="dxa"/>
            <w:vAlign w:val="bottom"/>
          </w:tcPr>
          <w:p>
            <w:pPr>
              <w:spacing w:after="0"/>
              <w:rPr>
                <w:sz w:val="1"/>
                <w:szCs w:val="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8,377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7,503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27,952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25,130</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6,374</w:t>
            </w:r>
          </w:p>
        </w:tc>
        <w:tc>
          <w:tcPr>
            <w:tcW w:w="0" w:type="dxa"/>
            <w:vAlign w:val="bottom"/>
          </w:tcPr>
          <w:p>
            <w:pPr>
              <w:spacing w:after="0"/>
              <w:rPr>
                <w:sz w:val="1"/>
                <w:szCs w:val="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Restructuring and other charges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3,502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3,584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5,429</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costs and other related expenses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37"/>
        </w:trPr>
        <w:tc>
          <w:tcPr>
            <w:tcW w:w="654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26,881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24,037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80,427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80,262</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(19,726)</w:t>
            </w: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1,209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(19,271)</w:t>
            </w: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Tax benefit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(8,075)</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(11,196)</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net (loss) earnings per share: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40" w:type="dxa"/>
            <w:vAlign w:val="bottom"/>
            <w:vMerge w:val="continue"/>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67"/>
        </w:trPr>
        <w:tc>
          <w:tcPr>
            <w:tcW w:w="65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5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net (loss) earnings per share: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Weighted-average shares outstanding:</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31,156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30,235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30,932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30,075</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31,156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30,410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30,932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30,075</w:t>
            </w:r>
          </w:p>
        </w:tc>
        <w:tc>
          <w:tcPr>
            <w:tcW w:w="0" w:type="dxa"/>
            <w:vAlign w:val="bottom"/>
          </w:tcPr>
          <w:p>
            <w:pPr>
              <w:spacing w:after="0"/>
              <w:rPr>
                <w:sz w:val="1"/>
                <w:szCs w:val="1"/>
                <w:color w:val="auto"/>
              </w:rPr>
            </w:pPr>
          </w:p>
        </w:tc>
      </w:tr>
      <w:tr>
        <w:trPr>
          <w:trHeight w:val="67"/>
        </w:trPr>
        <w:tc>
          <w:tcPr>
            <w:tcW w:w="65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5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Comprehensive (loss) income:</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(3,879)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(11,196)</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color w:val="auto"/>
              </w:rPr>
              <w:t>Total comprehensive (loss) income</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(11,469)</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688" w:right="239" w:bottom="1440" w:gutter="0" w:footer="0" w:header="0"/>
        </w:sectPr>
      </w:pPr>
    </w:p>
    <w:bookmarkStart w:id="4" w:name="page5"/>
    <w:bookmarkEnd w:id="4"/>
    <w:p>
      <w:pPr>
        <w:ind w:left="4580"/>
        <w:spacing w:after="0"/>
        <w:rPr>
          <w:sz w:val="20"/>
          <w:szCs w:val="20"/>
          <w:color w:val="auto"/>
        </w:rPr>
      </w:pPr>
      <w:r>
        <w:rPr>
          <w:rFonts w:ascii="Arial" w:cs="Arial" w:eastAsia="Arial" w:hAnsi="Arial"/>
          <w:sz w:val="18"/>
          <w:szCs w:val="18"/>
          <w:b w:val="1"/>
          <w:bCs w:val="1"/>
          <w:color w:val="auto"/>
        </w:rPr>
        <w:t>MERCURY SYSTEMS, INC.</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8" w:lineRule="exact"/>
        <w:rPr>
          <w:sz w:val="20"/>
          <w:szCs w:val="20"/>
          <w:color w:val="auto"/>
        </w:rPr>
      </w:pPr>
    </w:p>
    <w:p>
      <w:pPr>
        <w:ind w:left="926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4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83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Net loss</w:t>
            </w:r>
          </w:p>
        </w:tc>
        <w:tc>
          <w:tcPr>
            <w:tcW w:w="900" w:type="dxa"/>
            <w:vAlign w:val="bottom"/>
          </w:tcPr>
          <w:p>
            <w:pPr>
              <w:jc w:val="right"/>
              <w:ind w:right="692"/>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(3,879)</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(11,196)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Depreciation and amortization expense</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11,892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12,844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Stock-based compensation expense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6,265</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Deferred income taxes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(5,177)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(6,468)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Excess tax benefit from stock-based compensation</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Other non-cash items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 net of effects of businesses acquired:</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receivable, unbilled receivables, and costs in excess of billings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(3,807)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5,316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Inventory</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Prepaid income taxes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1,747</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Other non-current assets</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payable and accrued expenses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(14,596)</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Deferred revenues and customer advances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(1,287)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taxes payable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Other non-current liabilities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11,732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(6,693)</w:t>
            </w:r>
          </w:p>
        </w:tc>
        <w:tc>
          <w:tcPr>
            <w:tcW w:w="0" w:type="dxa"/>
            <w:vAlign w:val="bottom"/>
          </w:tcPr>
          <w:p>
            <w:pPr>
              <w:spacing w:after="0"/>
              <w:rPr>
                <w:sz w:val="1"/>
                <w:szCs w:val="1"/>
                <w:color w:val="auto"/>
              </w:rPr>
            </w:pP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9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4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of businesses, net of cash acquired</w:t>
            </w:r>
          </w:p>
        </w:tc>
        <w:tc>
          <w:tcPr>
            <w:tcW w:w="9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(67,721)</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Purchases of property and equipment</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(5,067)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(2,259)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 in other investing activities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(5,367)</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(70,245)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Proceeds from employee stock plans</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872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Excess tax benefits from stock-based compensation</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Payments of deferred financing and offering costs</w:t>
            </w:r>
          </w:p>
        </w:tc>
        <w:tc>
          <w:tcPr>
            <w:tcW w:w="90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of acquired debt</w:t>
            </w:r>
          </w:p>
        </w:tc>
        <w:tc>
          <w:tcPr>
            <w:tcW w:w="9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(6,575)</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Decrease in restricted cash</w:t>
            </w:r>
          </w:p>
        </w:tc>
        <w:tc>
          <w:tcPr>
            <w:tcW w:w="90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of capital lease obligations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6,584</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(80,819)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39,126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115,964</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900" w:type="dxa"/>
            <w:vAlign w:val="bottom"/>
            <w:tcBorders>
              <w:top w:val="single" w:sz="8" w:color="auto"/>
            </w:tcBorders>
          </w:tcPr>
          <w:p>
            <w:pPr>
              <w:jc w:val="right"/>
              <w:ind w:right="692"/>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7"/>
              </w:rPr>
              <w:t>45,710</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35,145</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Cash paid (received) during the period for:</w:t>
            </w:r>
          </w:p>
        </w:tc>
        <w:tc>
          <w:tcPr>
            <w:tcW w:w="9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Interest</w:t>
            </w:r>
          </w:p>
        </w:tc>
        <w:tc>
          <w:tcPr>
            <w:tcW w:w="900" w:type="dxa"/>
            <w:vAlign w:val="bottom"/>
          </w:tcPr>
          <w:p>
            <w:pPr>
              <w:jc w:val="right"/>
              <w:ind w:right="692"/>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Income taxes</w:t>
            </w:r>
          </w:p>
        </w:tc>
        <w:tc>
          <w:tcPr>
            <w:tcW w:w="900" w:type="dxa"/>
            <w:vAlign w:val="bottom"/>
            <w:tcBorders>
              <w:bottom w:val="single" w:sz="8" w:color="CCEEFF"/>
            </w:tcBorders>
            <w:shd w:val="clear" w:color="auto" w:fill="CCEEFF"/>
          </w:tcPr>
          <w:p>
            <w:pPr>
              <w:jc w:val="right"/>
              <w:ind w:right="692"/>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(1,827)</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Supplemental disclosures—non-cash activities:</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Issuance of restricted stock awards to employees</w:t>
            </w:r>
          </w:p>
        </w:tc>
        <w:tc>
          <w:tcPr>
            <w:tcW w:w="900" w:type="dxa"/>
            <w:vAlign w:val="bottom"/>
            <w:tcBorders>
              <w:bottom w:val="single" w:sz="8" w:color="CCEEFF"/>
            </w:tcBorders>
            <w:shd w:val="clear" w:color="auto" w:fill="CCEEFF"/>
          </w:tcPr>
          <w:p>
            <w:pPr>
              <w:jc w:val="right"/>
              <w:ind w:right="692"/>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8,313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12,496</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Capital lease</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900" w:type="dxa"/>
            <w:vAlign w:val="bottom"/>
          </w:tcPr>
          <w:p>
            <w:pPr>
              <w:jc w:val="right"/>
              <w:ind w:right="692"/>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Share-based business combination consideration</w:t>
            </w:r>
          </w:p>
        </w:tc>
        <w:tc>
          <w:tcPr>
            <w:tcW w:w="900" w:type="dxa"/>
            <w:vAlign w:val="bottom"/>
            <w:tcBorders>
              <w:bottom w:val="single" w:sz="8" w:color="CCEEFF"/>
            </w:tcBorders>
            <w:shd w:val="clear" w:color="auto" w:fill="CCEEFF"/>
          </w:tcPr>
          <w:p>
            <w:pPr>
              <w:jc w:val="right"/>
              <w:ind w:right="692"/>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580" w:right="239" w:bottom="1440" w:gutter="0" w:footer="0" w:header="0"/>
        </w:sect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80" w:right="239" w:bottom="1440" w:gutter="0" w:footer="0" w:header="0"/>
          <w:type w:val="continuous"/>
        </w:sectPr>
      </w:pPr>
    </w:p>
    <w:bookmarkStart w:id="5" w:name="page6"/>
    <w:bookmarkEnd w:id="5"/>
    <w:p>
      <w:pPr>
        <w:ind w:left="4580"/>
        <w:spacing w:after="0"/>
        <w:rPr>
          <w:sz w:val="20"/>
          <w:szCs w:val="20"/>
          <w:color w:val="auto"/>
        </w:rPr>
      </w:pPr>
      <w:r>
        <w:rPr>
          <w:rFonts w:ascii="Arial" w:cs="Arial" w:eastAsia="Arial" w:hAnsi="Arial"/>
          <w:sz w:val="18"/>
          <w:szCs w:val="18"/>
          <w:b w:val="1"/>
          <w:bCs w:val="1"/>
          <w:color w:val="auto"/>
        </w:rPr>
        <w:t>MERCURY SYSTEMS,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(Amounts 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ind w:right="160" w:firstLine="432"/>
        <w:spacing w:after="0" w:line="291" w:lineRule="auto"/>
        <w:rPr>
          <w:sz w:val="20"/>
          <w:szCs w:val="20"/>
          <w:color w:val="auto"/>
        </w:rPr>
      </w:pPr>
      <w:r>
        <w:rPr>
          <w:rFonts w:ascii="Arial" w:cs="Arial" w:eastAsia="Arial" w:hAnsi="Arial"/>
          <w:sz w:val="16"/>
          <w:szCs w:val="16"/>
          <w:color w:val="auto"/>
        </w:rPr>
        <w:t>Mercury Systems, Inc. (the “Company” or “Mercury”) provides commercially developed, open sensor and Big Data processing systems, software and services for critical commercial, defense and intelligence applications. The Company delivers innovative solutions, rapid time-to-value and world-class service and support to our defense prime contractor customers. The Company's products and solutions have been deployed in more than 300 programs with over 25 different defense prime contractors. Key programs include Aegis, Patriot, Surface Electronic Warfare Improvement Program ("SEWIP"), F-15, Predator and Reaper. The Company also delivers services and solutions in support of the intelligence community. Mercury Systems operates across a broad spectrum of defense and intelligence programs and the Company delivers its solutions and services via three operating segments: (i) Mercury Commercial Electronics ("MCE"); (ii) Mercury Defense Systems ("MDS") and; (iii) Mercury Intelligence Systems ("MIS").</w:t>
      </w:r>
    </w:p>
    <w:p>
      <w:pPr>
        <w:spacing w:after="0" w:line="59"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MCE delivers innovative, commercially developed, open sensor and Big Data processing systems, software and services that include embedded multi-computing and embedded sensor processing. Mercury's products include, but are not limited to, embedded processing boards, digital receiver boards, and chassis-based systems using air, conduction, and proprietary cooling technologies. MCE has added capabilities around radio frequency ("RF") and microwave technologies, including tuners, converters, transceivers, synthesizers, switch filters, and power amplifiers and limiters, as well as new scalable manufacturing capabilities. MDS leverages commercially available technologies and solutions (or “building blocks”) from the Company's MCE business. MDS leverages this technology to develop integrated sensor processing subsystems and capabilities, for the C4ISR (command, control, communications, computers, intelligence, surveillance and reconnaissance), electronic warfare ("EW"), electronic counter measures ("ECM"), signals intelligence ("SIGINT") and radar test and simulation markets. MIS delivers Big Data processing capabilities, software data processing solutions and predictive analytics capabilities to address intelligence community and Department of Defense ("DoD") mission needs. These three operating segments allow the Company to deliver capabilities that combine technology building blocks, deep domain expertise in the defense sector and critical solution areas, and specialized skills in serving the DoD and the intelligence community.</w:t>
      </w:r>
    </w:p>
    <w:p>
      <w:pPr>
        <w:spacing w:after="0" w:line="206"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ASIS OF</w:t>
      </w:r>
      <w:r>
        <w:rPr>
          <w:rFonts w:ascii="Arial" w:cs="Arial" w:eastAsia="Arial" w:hAnsi="Arial"/>
          <w:sz w:val="18"/>
          <w:szCs w:val="18"/>
          <w:color w:val="auto"/>
        </w:rPr>
        <w:t xml:space="preserve"> P</w:t>
      </w:r>
      <w:r>
        <w:rPr>
          <w:rFonts w:ascii="Arial" w:cs="Arial" w:eastAsia="Arial" w:hAnsi="Arial"/>
          <w:sz w:val="14"/>
          <w:szCs w:val="14"/>
          <w:color w:val="auto"/>
        </w:rPr>
        <w:t>RESENTATION</w:t>
      </w:r>
    </w:p>
    <w:p>
      <w:pPr>
        <w:spacing w:after="0" w:line="131"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The accompanying consolidated financial statements have been prepared by the Company in accordance with accounting principles generally accepted in the United States of America (“U.S. GAAP”) for interim financial information and with the instructions to the Form 10-Q and Article 10 of Regulation S-X. Certain information and footnote disclosures, normally included in annual consolidated financial statements have been condensed or omitted pursuant to those rules and regulations; however, in the opinion of management the financial information reflects all adjustments, consisting of adjustments of a normal recurring nature, necessary for fair presentation. These consolidated financial statements should be read in conjunction with the audited consolidated financial statements and related notes for the fiscal year ended June 30, 2013 which are contained in the Company’s Annual Report on Form 10-K filed with the Securities and Exchange Commission (“SEC”) on August 16, 2013. The results for the three and nine months ended March 31, 2014 are not necessarily indicative of the results to be expected for the full fiscal year.</w:t>
      </w:r>
    </w:p>
    <w:p>
      <w:pPr>
        <w:spacing w:after="0" w:line="71"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Company is comprised of the following three operating segments: MCE, MDS and MIS. The Company reports MCE as a standalone reportable segment and has aggregated MDS and MIS to form the reportable segment Mercury Defense and Intelligence Systems (“MDIS”). See Note K of the Notes to Consolidated Financial Statements for further discussion.</w:t>
      </w:r>
    </w:p>
    <w:p>
      <w:pPr>
        <w:spacing w:after="0" w:line="73"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transactions and balances have been eliminated in consolidation.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SE OF</w:t>
      </w:r>
      <w:r>
        <w:rPr>
          <w:rFonts w:ascii="Arial" w:cs="Arial" w:eastAsia="Arial" w:hAnsi="Arial"/>
          <w:sz w:val="18"/>
          <w:szCs w:val="18"/>
          <w:color w:val="auto"/>
        </w:rPr>
        <w:t xml:space="preserve"> E</w:t>
      </w:r>
      <w:r>
        <w:rPr>
          <w:rFonts w:ascii="Arial" w:cs="Arial" w:eastAsia="Arial" w:hAnsi="Arial"/>
          <w:sz w:val="14"/>
          <w:szCs w:val="14"/>
          <w:color w:val="auto"/>
        </w:rPr>
        <w:t>STIMATES</w:t>
      </w:r>
    </w:p>
    <w:p>
      <w:pPr>
        <w:spacing w:after="0" w:line="13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80"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EVENUE</w:t>
      </w:r>
      <w:r>
        <w:rPr>
          <w:rFonts w:ascii="Arial" w:cs="Arial" w:eastAsia="Arial" w:hAnsi="Arial"/>
          <w:sz w:val="18"/>
          <w:szCs w:val="18"/>
          <w:color w:val="auto"/>
        </w:rPr>
        <w:t xml:space="preserve"> R</w:t>
      </w:r>
      <w:r>
        <w:rPr>
          <w:rFonts w:ascii="Arial" w:cs="Arial" w:eastAsia="Arial" w:hAnsi="Arial"/>
          <w:sz w:val="14"/>
          <w:szCs w:val="14"/>
          <w:color w:val="auto"/>
        </w:rPr>
        <w:t>ECOGNITION</w:t>
      </w:r>
    </w:p>
    <w:p>
      <w:pPr>
        <w:spacing w:after="0" w:line="131" w:lineRule="exact"/>
        <w:rPr>
          <w:sz w:val="20"/>
          <w:szCs w:val="20"/>
          <w:color w:val="auto"/>
        </w:rPr>
      </w:pPr>
    </w:p>
    <w:p>
      <w:pPr>
        <w:ind w:right="200" w:firstLine="432"/>
        <w:spacing w:after="0" w:line="279" w:lineRule="auto"/>
        <w:rPr>
          <w:sz w:val="20"/>
          <w:szCs w:val="20"/>
          <w:color w:val="auto"/>
        </w:rPr>
      </w:pPr>
      <w:r>
        <w:rPr>
          <w:rFonts w:ascii="Arial" w:cs="Arial" w:eastAsia="Arial" w:hAnsi="Arial"/>
          <w:sz w:val="17"/>
          <w:szCs w:val="17"/>
          <w:color w:val="auto"/>
        </w:rPr>
        <w:t xml:space="preserve">The Company relies upon FASB ASC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to account for its revenue transactions. Revenue from sales are recognized upon shipment provided that title and risk of loss have passed to the customer, there is persuasive evidence of an arrangement, the sales price is fixed or determinable, collection of the related receivable is reasonably assured, and customer acceptance criteria, if any, have been successfully demonstrated. Out-of-pocket expenses that are reimbursed by the customer are included in revenue and cost of revenue.</w:t>
      </w:r>
    </w:p>
    <w:p>
      <w:pPr>
        <w:spacing w:after="0" w:line="63"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Certain contracts with customers require the Company to perform tests of its products prior to shipment to ensure their performance complies with the Company’s published product specifications and, on occasion, with additional customer-requested specifications. In these cases, the Company conducts such tests and, if they are completed successfully, includes a written confirmation with each order shipped. As a result, at the time of each product shipment, the Company believes that no further customer testing requirements exist and that there is no uncertainty of acceptance by its customer.</w:t>
      </w:r>
    </w:p>
    <w:p>
      <w:pPr>
        <w:spacing w:after="0" w:line="4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The Company uses FASB Accounting Standards Update (“ASU”) No. 2009-13 (“FASB ASU 2009-13”), </w:t>
      </w:r>
      <w:r>
        <w:rPr>
          <w:rFonts w:ascii="Arial" w:cs="Arial" w:eastAsia="Arial" w:hAnsi="Arial"/>
          <w:sz w:val="18"/>
          <w:szCs w:val="18"/>
          <w:i w:val="1"/>
          <w:iCs w:val="1"/>
          <w:color w:val="auto"/>
        </w:rPr>
        <w:t>Multiple-Deliverable Revenue Arrangements</w:t>
      </w:r>
      <w:r>
        <w:rPr>
          <w:rFonts w:ascii="Arial" w:cs="Arial" w:eastAsia="Arial" w:hAnsi="Arial"/>
          <w:sz w:val="18"/>
          <w:szCs w:val="18"/>
          <w:color w:val="auto"/>
        </w:rPr>
        <w:t>. FASB ASU 2009-13 establishes a selling price hierarchy for determining the selling price of a deliverable, which includes: (1) vendor-specific objective evidence (“VSOE”) if available; (2) third-party evidence (“TPE”) if VSOE is not available; and (3) best estimated selling price (“BESP”), if neither VSOE nor TPE is available. Additionally, FASB ASU 2009-13 expands the disclosure requirements related to a vendor’s multiple-deliverable revenue arrangements.</w:t>
      </w:r>
    </w:p>
    <w:p>
      <w:pPr>
        <w:spacing w:after="0" w:line="80"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The Company enters into multiple-deliverable arrangements that may include a combination of hardware components, related integration or other services. These arrangements generally do not include any performance-, cancellation-, termination- or refund-type provisions. Total revenue recognized under multiple-deliverable revenue arrangements was 34% and 38% of total revenues in the three and nine months ended March 31, 2014, respectively. Total revenue recognized under multiple-deliverable revenue arrangements was 30% and 31% of total revenues in the three and nine months ended March 31, 2013, respectively.</w:t>
      </w:r>
    </w:p>
    <w:p>
      <w:pPr>
        <w:spacing w:after="0" w:line="80"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In accordance with the provisions of FASB ASU 2009-13, the Company allocates arrangement consideration to each deliverable in an arrangement based on its relative selling price. The Company generally expects that it will not be able to establish VSOE or TPE due to limited single element transactions and the nature of the markets in which the Company competes, and, as such, the Company typically determines its relative selling price using BESP.</w:t>
      </w:r>
    </w:p>
    <w:p>
      <w:pPr>
        <w:spacing w:after="0" w:line="39"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Company uses BESP in its allocation of arrangement consideration. The objective of BESP is to determine the price at which the Company would transact if the product or service were sold by the Company on a standalone basis.</w:t>
      </w:r>
    </w:p>
    <w:p>
      <w:pPr>
        <w:spacing w:after="0" w:line="62"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The Company’s determination of BESP involves the consideration of several factors based on the specific facts and circumstances of each arrangement. Specifically, the Company considers the cost to produce the deliverable, the anticipated margin on that deliverable, the selling price and profit margin for similar parts, the Company’s ongoing pricing strategy and policies (as evident from the price list established and updated by management on a regular basis), the value of any enhancements that have been built into the deliverable and the characteristics of the varying markets in which the deliverable is sold.</w:t>
      </w:r>
    </w:p>
    <w:p>
      <w:pPr>
        <w:spacing w:after="0" w:line="46" w:lineRule="exact"/>
        <w:rPr>
          <w:sz w:val="20"/>
          <w:szCs w:val="20"/>
          <w:color w:val="auto"/>
        </w:rPr>
      </w:pPr>
    </w:p>
    <w:p>
      <w:pPr>
        <w:ind w:right="320" w:firstLine="432"/>
        <w:spacing w:after="0" w:line="264" w:lineRule="auto"/>
        <w:rPr>
          <w:sz w:val="20"/>
          <w:szCs w:val="20"/>
          <w:color w:val="auto"/>
        </w:rPr>
      </w:pPr>
      <w:r>
        <w:rPr>
          <w:rFonts w:ascii="Arial" w:cs="Arial" w:eastAsia="Arial" w:hAnsi="Arial"/>
          <w:sz w:val="18"/>
          <w:szCs w:val="18"/>
          <w:color w:val="auto"/>
        </w:rPr>
        <w:t>The Company analyzes the selling prices used in its allocation of arrangement consideration on an annual basis at a minimum. Selling prices will be analyzed on a more frequent basis if a significant change in the Company’s business necessitates a more timely analysis or if the Company experiences significant variances in its selling prices.</w:t>
      </w:r>
    </w:p>
    <w:p>
      <w:pPr>
        <w:spacing w:after="0" w:line="73"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Each deliverable within the Company’s multiple-deliverable revenue arrangements is accounted for as a separate unit of accounting under the guidance of FASB ASU 2009-13 if both of the following criteria are met: the delivered item or items have value to the customer on a standalone basis; and for an arrangement that includes a general right of return relative to the delivered item(s), delivery or performance of the undelivered item(s) is considered probable and substantially in the control of the Company. The Company's revenue arrangements generally do not include a general right of return relative to delivered products. The Company considers a deliverable to have standalone value if the item is sold separately by the Company or another vendor or if the item could be resold by the customer.</w:t>
      </w:r>
    </w:p>
    <w:p>
      <w:pPr>
        <w:spacing w:after="0" w:line="85" w:lineRule="exact"/>
        <w:rPr>
          <w:sz w:val="20"/>
          <w:szCs w:val="20"/>
          <w:color w:val="auto"/>
        </w:rPr>
      </w:pPr>
    </w:p>
    <w:p>
      <w:pPr>
        <w:ind w:right="760" w:firstLine="432"/>
        <w:spacing w:after="0" w:line="342" w:lineRule="auto"/>
        <w:rPr>
          <w:sz w:val="20"/>
          <w:szCs w:val="20"/>
          <w:color w:val="auto"/>
        </w:rPr>
      </w:pPr>
      <w:r>
        <w:rPr>
          <w:rFonts w:ascii="Arial" w:cs="Arial" w:eastAsia="Arial" w:hAnsi="Arial"/>
          <w:sz w:val="16"/>
          <w:szCs w:val="16"/>
          <w:color w:val="auto"/>
        </w:rPr>
        <w:t>Deliverables not meeting the criteria for being a separate unit of accounting are combined with a deliverable that does meet that criterion. The appropriate allocation of arrangement consideration and recognition of revenue is then determined for the combined unit of accounting.</w:t>
      </w:r>
    </w:p>
    <w:p>
      <w:pPr>
        <w:spacing w:after="0" w:line="16"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 xml:space="preserve">The Company also engages in long-term contracts for development, production and services activities which it accounts for consistent with FASB ASC 605-35, </w:t>
      </w:r>
      <w:r>
        <w:rPr>
          <w:rFonts w:ascii="Arial" w:cs="Arial" w:eastAsia="Arial" w:hAnsi="Arial"/>
          <w:sz w:val="16"/>
          <w:szCs w:val="16"/>
          <w:i w:val="1"/>
          <w:iCs w:val="1"/>
          <w:color w:val="auto"/>
        </w:rPr>
        <w:t>Accounting for Performance of Construction-Type and Certain Production-Type Contracts</w:t>
      </w:r>
      <w:r>
        <w:rPr>
          <w:rFonts w:ascii="Arial" w:cs="Arial" w:eastAsia="Arial" w:hAnsi="Arial"/>
          <w:sz w:val="16"/>
          <w:szCs w:val="16"/>
          <w:color w:val="auto"/>
        </w:rPr>
        <w:t>, and other relevant revenue recognition accounting literature. The Company considers the nature of these contracts and the types of products and services provided when determining the proper accounting for a particular contract. Generally for fixed-price contracts, other than service-type contracts, revenue is recognized primarily under the percentage of completion method or, for certain short-term contracts, by the completed contract method. Revenue from service-type fixed-price contracts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46" w:right="239" w:bottom="1440" w:gutter="0" w:footer="0" w:header="0"/>
        </w:sectPr>
      </w:pPr>
    </w:p>
    <w:bookmarkStart w:id="7" w:name="page8"/>
    <w:bookmarkEnd w:id="7"/>
    <w:p>
      <w:pPr>
        <w:ind w:right="40"/>
        <w:spacing w:after="0" w:line="273" w:lineRule="auto"/>
        <w:rPr>
          <w:sz w:val="20"/>
          <w:szCs w:val="20"/>
          <w:color w:val="auto"/>
        </w:rPr>
      </w:pPr>
      <w:r>
        <w:rPr>
          <w:rFonts w:ascii="Arial" w:cs="Arial" w:eastAsia="Arial" w:hAnsi="Arial"/>
          <w:sz w:val="17"/>
          <w:szCs w:val="17"/>
          <w:color w:val="auto"/>
        </w:rPr>
        <w:t>is recognized ratably over the contract period or by other appropriate input or output methods to measure service provided, and contract costs are expensed as incurred. The Company establishes billing terms at the time project deliverables and milestones are agreed. Revenues recognized in excess of the amounts invoiced to clients are classified as unbilled receivables. The risk to the Company on a fixed-price contract is that if estimates to complete the contract change from one period to the next, profit levels will vary from period to period. For time and materials contracts, revenue reflects the number of direct labor hours expended in the performance of a contract multiplied by the contract billing rate, as well as reimbursement of other billable direct costs. For all types of contracts, the Company recognizes anticipated contract losses as soon as they become known and estimable.</w:t>
      </w:r>
    </w:p>
    <w:p>
      <w:pPr>
        <w:spacing w:after="0" w:line="70"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The use of contract accounting requires significant judgment relative to estimating total contract revenues and costs, including assumptions relative to the length of time to complete the contract, the nature and complexity of the work to be performed, anticipated increases in wages and prices for subcontractor services and materials, and the availability of subcontractor services and materials. The Company’s estimates are based upon the professional knowledge and experience of its engineers, program managers and other personnel, who review each long-term contract monthly to assess the contract’s schedule, performance, technical matters and estimated cost at completion. When adjustments in estimated contract costs are identified, such revisions may result in current period adjustments to earnings applicable to performance in prior periods.</w:t>
      </w:r>
    </w:p>
    <w:p>
      <w:pPr>
        <w:spacing w:after="0" w:line="70"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color w:val="auto"/>
        </w:rPr>
        <w:t>The Company does not provide its customers with rights of product return, other than those related to warranty provisions that permit repair or replacement of defective goods. The Company accrues for anticipated warranty costs upon product shipment. Revenues from product royalties are recognized upon invoice by the Company. Additionally, all revenues are reported net of government assessed sales or value-added taxes.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EIGHTED</w:t>
      </w:r>
      <w:r>
        <w:rPr>
          <w:rFonts w:ascii="Arial" w:cs="Arial" w:eastAsia="Arial" w:hAnsi="Arial"/>
          <w:sz w:val="18"/>
          <w:szCs w:val="18"/>
          <w:color w:val="auto"/>
        </w:rPr>
        <w:t>-A</w:t>
      </w:r>
      <w:r>
        <w:rPr>
          <w:rFonts w:ascii="Arial" w:cs="Arial" w:eastAsia="Arial" w:hAnsi="Arial"/>
          <w:sz w:val="14"/>
          <w:szCs w:val="14"/>
          <w:color w:val="auto"/>
        </w:rPr>
        <w:t>VERAGE</w:t>
      </w:r>
      <w:r>
        <w:rPr>
          <w:rFonts w:ascii="Arial" w:cs="Arial" w:eastAsia="Arial" w:hAnsi="Arial"/>
          <w:sz w:val="18"/>
          <w:szCs w:val="18"/>
          <w:color w:val="auto"/>
        </w:rPr>
        <w:t xml:space="preserve"> S</w:t>
      </w:r>
      <w:r>
        <w:rPr>
          <w:rFonts w:ascii="Arial" w:cs="Arial" w:eastAsia="Arial" w:hAnsi="Arial"/>
          <w:sz w:val="14"/>
          <w:szCs w:val="14"/>
          <w:color w:val="auto"/>
        </w:rPr>
        <w:t>HARES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Weighted-average shares were calculated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2300" w:type="dxa"/>
            <w:vAlign w:val="bottom"/>
            <w:gridSpan w:val="4"/>
          </w:tcPr>
          <w:p>
            <w:pPr>
              <w:ind w:left="120"/>
              <w:spacing w:after="0"/>
              <w:rPr>
                <w:sz w:val="20"/>
                <w:szCs w:val="20"/>
                <w:color w:val="auto"/>
              </w:rPr>
            </w:pPr>
            <w:r>
              <w:rPr>
                <w:rFonts w:ascii="Arial" w:cs="Arial" w:eastAsia="Arial" w:hAnsi="Arial"/>
                <w:sz w:val="14"/>
                <w:szCs w:val="14"/>
                <w:b w:val="1"/>
                <w:bCs w:val="1"/>
                <w:color w:val="auto"/>
              </w:rPr>
              <w:t>Three Months Ended March 31,</w:t>
            </w:r>
          </w:p>
        </w:tc>
        <w:tc>
          <w:tcPr>
            <w:tcW w:w="2140" w:type="dxa"/>
            <w:vAlign w:val="bottom"/>
            <w:gridSpan w:val="3"/>
          </w:tcPr>
          <w:p>
            <w:pPr>
              <w:jc w:val="right"/>
              <w:ind w:right="14"/>
              <w:spacing w:after="0"/>
              <w:rPr>
                <w:sz w:val="20"/>
                <w:szCs w:val="20"/>
                <w:color w:val="auto"/>
              </w:rPr>
            </w:pPr>
            <w:r>
              <w:rPr>
                <w:rFonts w:ascii="Arial" w:cs="Arial" w:eastAsia="Arial" w:hAnsi="Arial"/>
                <w:sz w:val="14"/>
                <w:szCs w:val="14"/>
                <w:b w:val="1"/>
                <w:bCs w:val="1"/>
                <w:color w:val="auto"/>
              </w:rPr>
              <w:t>Nine Months Ended March 31,</w:t>
            </w:r>
          </w:p>
        </w:tc>
      </w:tr>
      <w:tr>
        <w:trPr>
          <w:trHeight w:val="264"/>
        </w:trPr>
        <w:tc>
          <w:tcPr>
            <w:tcW w:w="6980" w:type="dxa"/>
            <w:vAlign w:val="bottom"/>
            <w:tcBorders>
              <w:bottom w:val="single" w:sz="8" w:color="CCEEFF"/>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2013</w:t>
            </w: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weighted-average shares outstanding</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31,156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30,235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30,932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30,075</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Effect of dilutive equity instruments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weighted-average shares outstanding</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31,156</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30,410</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30,932</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30,075</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300" w:firstLine="432"/>
        <w:spacing w:after="0" w:line="259" w:lineRule="auto"/>
        <w:rPr>
          <w:sz w:val="20"/>
          <w:szCs w:val="20"/>
          <w:color w:val="auto"/>
        </w:rPr>
      </w:pPr>
      <w:r>
        <w:rPr>
          <w:rFonts w:ascii="Arial" w:cs="Arial" w:eastAsia="Arial" w:hAnsi="Arial"/>
          <w:sz w:val="18"/>
          <w:szCs w:val="18"/>
          <w:color w:val="auto"/>
        </w:rPr>
        <w:t>Equity instruments to purchase 3,590 shares of common stock were not included in the calculation of diluted net earnings per share for the three and nine months ended March 31, 2014, because the equity instruments were anti-dilutive. Equity instruments to purchase 3,351 and 1,543 shares of common stock were not included in the calculation of diluted net earnings per share for the three and nine months ended March 31, 2013, because the equity instruments were anti-dilutive.</w:t>
      </w:r>
    </w:p>
    <w:p>
      <w:pPr>
        <w:spacing w:after="0" w:line="210"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 xml:space="preserve">The Company measures at fair value certain financial assets and liabilities, including cash equivalents and restricted cash. FASB ASC 820,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 and Disclosures</w:t>
      </w:r>
      <w:r>
        <w:rPr>
          <w:rFonts w:ascii="Arial" w:cs="Arial" w:eastAsia="Arial" w:hAnsi="Arial"/>
          <w:sz w:val="18"/>
          <w:szCs w:val="18"/>
          <w:color w:val="auto"/>
        </w:rPr>
        <w:t>, specifies a hierarchy of valuation techniques based on whether the inputs to those valuation techniques are observable or</w:t>
      </w:r>
      <w:r>
        <w:rPr>
          <w:rFonts w:ascii="Arial" w:cs="Arial" w:eastAsia="Arial" w:hAnsi="Arial"/>
          <w:sz w:val="18"/>
          <w:szCs w:val="18"/>
          <w:i w:val="1"/>
          <w:iCs w:val="1"/>
          <w:color w:val="auto"/>
        </w:rPr>
        <w:t xml:space="preserve"> </w:t>
      </w:r>
      <w:r>
        <w:rPr>
          <w:rFonts w:ascii="Arial" w:cs="Arial" w:eastAsia="Arial" w:hAnsi="Arial"/>
          <w:sz w:val="18"/>
          <w:szCs w:val="18"/>
          <w:color w:val="auto"/>
        </w:rPr>
        <w:t>unobservable. Observable inputs reflect market data obtained from independent sources, while unobservable inputs reflect the Company’s market assumptions. These two types of inputs have created the following fair-value hierarchy:</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1—Quoted prices for identical instruments in active markets;</w:t>
      </w:r>
    </w:p>
    <w:p>
      <w:pPr>
        <w:spacing w:after="0" w:line="117" w:lineRule="exact"/>
        <w:rPr>
          <w:sz w:val="20"/>
          <w:szCs w:val="20"/>
          <w:color w:val="auto"/>
        </w:rPr>
      </w:pPr>
    </w:p>
    <w:p>
      <w:pPr>
        <w:ind w:left="660" w:right="300"/>
        <w:spacing w:after="0" w:line="308" w:lineRule="auto"/>
        <w:rPr>
          <w:sz w:val="20"/>
          <w:szCs w:val="20"/>
          <w:color w:val="auto"/>
        </w:rPr>
      </w:pPr>
      <w:r>
        <w:rPr>
          <w:rFonts w:ascii="Arial" w:cs="Arial" w:eastAsia="Arial" w:hAnsi="Arial"/>
          <w:sz w:val="17"/>
          <w:szCs w:val="17"/>
          <w:color w:val="auto"/>
        </w:rPr>
        <w:t>Level 2—Quoted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spacing w:after="0" w:line="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Level 3—Valuations derived from valuation techniques in which one or more significant inputs or significant value drivers are unobservable.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92" w:right="239" w:bottom="1440" w:gutter="0" w:footer="0" w:header="0"/>
        </w:sectPr>
      </w:pPr>
    </w:p>
    <w:bookmarkStart w:id="8" w:name="page9"/>
    <w:bookmarkEnd w:id="8"/>
    <w:p>
      <w:pPr>
        <w:ind w:left="440"/>
        <w:spacing w:after="0"/>
        <w:rPr>
          <w:sz w:val="20"/>
          <w:szCs w:val="20"/>
          <w:color w:val="auto"/>
        </w:rPr>
      </w:pPr>
      <w:r>
        <w:rPr>
          <w:rFonts w:ascii="Arial" w:cs="Arial" w:eastAsia="Arial" w:hAnsi="Arial"/>
          <w:sz w:val="18"/>
          <w:szCs w:val="18"/>
          <w:color w:val="auto"/>
        </w:rPr>
        <w:t>The following table summarizes the Company’s financial assets measured at fair value on a recurring basis at March 31, 2014:</w:t>
      </w:r>
    </w:p>
    <w:p>
      <w:pPr>
        <w:spacing w:after="0" w:line="230" w:lineRule="exact"/>
        <w:rPr>
          <w:sz w:val="20"/>
          <w:szCs w:val="20"/>
          <w:color w:val="auto"/>
        </w:rPr>
      </w:pPr>
    </w:p>
    <w:p>
      <w:pPr>
        <w:ind w:left="7980"/>
        <w:spacing w:after="0"/>
        <w:rPr>
          <w:sz w:val="20"/>
          <w:szCs w:val="20"/>
          <w:color w:val="auto"/>
        </w:rPr>
      </w:pPr>
      <w:r>
        <w:rPr>
          <w:rFonts w:ascii="Arial" w:cs="Arial" w:eastAsia="Arial" w:hAnsi="Arial"/>
          <w:sz w:val="14"/>
          <w:szCs w:val="14"/>
          <w:b w:val="1"/>
          <w:bCs w:val="1"/>
          <w:color w:val="auto"/>
        </w:rPr>
        <w:t>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33959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2014</w:t>
            </w:r>
          </w:p>
        </w:tc>
        <w:tc>
          <w:tcPr>
            <w:tcW w:w="260" w:type="dxa"/>
            <w:vAlign w:val="bottom"/>
          </w:tcPr>
          <w:p>
            <w:pPr>
              <w:spacing w:after="0"/>
              <w:rPr>
                <w:sz w:val="16"/>
                <w:szCs w:val="16"/>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6"/>
                <w:szCs w:val="16"/>
                <w:color w:val="auto"/>
              </w:rPr>
            </w:pPr>
          </w:p>
        </w:tc>
        <w:tc>
          <w:tcPr>
            <w:tcW w:w="1360" w:type="dxa"/>
            <w:vAlign w:val="bottom"/>
            <w:gridSpan w:val="3"/>
          </w:tcPr>
          <w:p>
            <w:pPr>
              <w:ind w:left="140"/>
              <w:spacing w:after="0"/>
              <w:rPr>
                <w:sz w:val="20"/>
                <w:szCs w:val="20"/>
                <w:color w:val="auto"/>
              </w:rPr>
            </w:pPr>
            <w:r>
              <w:rPr>
                <w:rFonts w:ascii="Arial" w:cs="Arial" w:eastAsia="Arial" w:hAnsi="Arial"/>
                <w:sz w:val="14"/>
                <w:szCs w:val="14"/>
                <w:b w:val="1"/>
                <w:bCs w:val="1"/>
                <w:color w:val="auto"/>
              </w:rPr>
              <w:t>Level 2</w:t>
            </w:r>
          </w:p>
        </w:tc>
        <w:tc>
          <w:tcPr>
            <w:tcW w:w="1000" w:type="dxa"/>
            <w:vAlign w:val="bottom"/>
          </w:tcPr>
          <w:p>
            <w:pPr>
              <w:ind w:left="1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50"/>
        </w:trPr>
        <w:tc>
          <w:tcPr>
            <w:tcW w:w="6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45,710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45,710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1000" w:type="dxa"/>
            <w:vAlign w:val="bottom"/>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cash</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80" w:type="dxa"/>
            <w:vAlign w:val="bottom"/>
            <w:vMerge w:val="restart"/>
          </w:tcPr>
          <w:p>
            <w:pPr>
              <w:ind w:left="38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8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46,256</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46,256</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gridSpan w:val="3"/>
          </w:tcPr>
          <w:p>
            <w:pPr>
              <w:ind w:left="700"/>
              <w:spacing w:after="0"/>
              <w:rPr>
                <w:sz w:val="20"/>
                <w:szCs w:val="20"/>
                <w:color w:val="auto"/>
              </w:rPr>
            </w:pPr>
            <w:r>
              <w:rPr>
                <w:rFonts w:ascii="Arial" w:cs="Arial" w:eastAsia="Arial" w:hAnsi="Arial"/>
                <w:sz w:val="18"/>
                <w:szCs w:val="18"/>
                <w:color w:val="auto"/>
              </w:rPr>
              <w:t>—   $</w:t>
            </w:r>
          </w:p>
        </w:tc>
        <w:tc>
          <w:tcPr>
            <w:tcW w:w="1000" w:type="dxa"/>
            <w:vAlign w:val="bottom"/>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The carrying values of cash and cash equivalents, including all U.S. Treasury Bills and money market funds, accounts receivable and payable, and accrued liabilities approximate fair value due to the short-term maturities of these assets and liabilities.</w:t>
      </w:r>
    </w:p>
    <w:p>
      <w:pPr>
        <w:spacing w:after="0" w:line="193"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ind w:right="160" w:firstLine="432"/>
        <w:spacing w:after="0" w:line="302" w:lineRule="auto"/>
        <w:rPr>
          <w:sz w:val="20"/>
          <w:szCs w:val="20"/>
          <w:color w:val="auto"/>
        </w:rPr>
      </w:pPr>
      <w:r>
        <w:rPr>
          <w:rFonts w:ascii="Arial" w:cs="Arial" w:eastAsia="Arial" w:hAnsi="Arial"/>
          <w:sz w:val="16"/>
          <w:szCs w:val="16"/>
          <w:color w:val="auto"/>
        </w:rPr>
        <w:t>Inventory is stated at the lower of cost (first-in, first-out) or market value, and consists of materials, labor and overhead. On a quarterly basis, the Company uses consistent methodologies to evaluate inventory for net realizable value. The Company reduces the value of inventory for excess and obsolete inventory, consisting of on-hand and non-cancelable on-order inventory in excess of estimated usage. The excess and obsolete inventory evaluation is based upon assumptions about future demand, history, product mix and possible alternative uses. Inventory was comprised of the following:</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40" w:type="dxa"/>
            <w:vAlign w:val="bottom"/>
          </w:tcPr>
          <w:p>
            <w:pPr>
              <w:spacing w:after="0"/>
              <w:rPr>
                <w:sz w:val="16"/>
                <w:szCs w:val="16"/>
                <w:color w:val="auto"/>
              </w:rPr>
            </w:pPr>
          </w:p>
        </w:tc>
        <w:tc>
          <w:tcPr>
            <w:tcW w:w="1240" w:type="dxa"/>
            <w:vAlign w:val="bottom"/>
            <w:gridSpan w:val="3"/>
          </w:tcPr>
          <w:p>
            <w:pPr>
              <w:ind w:left="100"/>
              <w:spacing w:after="0"/>
              <w:rPr>
                <w:sz w:val="20"/>
                <w:szCs w:val="20"/>
                <w:color w:val="auto"/>
              </w:rPr>
            </w:pPr>
            <w:r>
              <w:rPr>
                <w:rFonts w:ascii="Arial" w:cs="Arial" w:eastAsia="Arial" w:hAnsi="Arial"/>
                <w:sz w:val="14"/>
                <w:szCs w:val="14"/>
                <w:b w:val="1"/>
                <w:bCs w:val="1"/>
                <w:color w:val="auto"/>
              </w:rPr>
              <w:t>March 31, 2014</w:t>
            </w:r>
          </w:p>
        </w:tc>
        <w:tc>
          <w:tcPr>
            <w:tcW w:w="140" w:type="dxa"/>
            <w:vAlign w:val="bottom"/>
          </w:tcPr>
          <w:p>
            <w:pPr>
              <w:spacing w:after="0"/>
              <w:rPr>
                <w:sz w:val="16"/>
                <w:szCs w:val="16"/>
                <w:color w:val="auto"/>
              </w:rPr>
            </w:pPr>
          </w:p>
        </w:tc>
        <w:tc>
          <w:tcPr>
            <w:tcW w:w="1000" w:type="dxa"/>
            <w:vAlign w:val="bottom"/>
          </w:tcPr>
          <w:p>
            <w:pPr>
              <w:jc w:val="right"/>
              <w:ind w:right="54"/>
              <w:spacing w:after="0"/>
              <w:rPr>
                <w:sz w:val="20"/>
                <w:szCs w:val="20"/>
                <w:color w:val="auto"/>
              </w:rPr>
            </w:pPr>
            <w:r>
              <w:rPr>
                <w:rFonts w:ascii="Arial" w:cs="Arial" w:eastAsia="Arial" w:hAnsi="Arial"/>
                <w:sz w:val="14"/>
                <w:szCs w:val="14"/>
                <w:b w:val="1"/>
                <w:bCs w:val="1"/>
                <w:color w:val="auto"/>
                <w:w w:val="92"/>
              </w:rPr>
              <w:t>June 30, 2013</w:t>
            </w:r>
          </w:p>
        </w:tc>
      </w:tr>
      <w:tr>
        <w:trPr>
          <w:trHeight w:val="250"/>
        </w:trPr>
        <w:tc>
          <w:tcPr>
            <w:tcW w:w="9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2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17,512</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14,848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13,432</w:t>
            </w:r>
          </w:p>
        </w:tc>
      </w:tr>
      <w:tr>
        <w:trPr>
          <w:trHeight w:val="27"/>
        </w:trPr>
        <w:tc>
          <w:tcPr>
            <w:tcW w:w="9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6,488</w:t>
            </w:r>
          </w:p>
        </w:tc>
      </w:tr>
      <w:tr>
        <w:trPr>
          <w:trHeight w:val="237"/>
        </w:trPr>
        <w:tc>
          <w:tcPr>
            <w:tcW w:w="9040" w:type="dxa"/>
            <w:vAlign w:val="bottom"/>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tcBorders>
          </w:tcPr>
          <w:p>
            <w:pPr>
              <w:jc w:val="right"/>
              <w:ind w:right="116"/>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35,330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37,432</w:t>
            </w:r>
          </w:p>
        </w:tc>
      </w:tr>
      <w:tr>
        <w:trPr>
          <w:trHeight w:val="27"/>
        </w:trPr>
        <w:tc>
          <w:tcPr>
            <w:tcW w:w="9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9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are no amounts in inventory relating to contracts having production cycles longer than one year.</w:t>
      </w:r>
    </w:p>
    <w:p>
      <w:pPr>
        <w:spacing w:after="0" w:line="248"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changes in the carrying amount of goodwill for the nine months ended March 31, 2014:</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gridSpan w:val="2"/>
          </w:tcPr>
          <w:p>
            <w:pPr>
              <w:ind w:left="200"/>
              <w:spacing w:after="0"/>
              <w:rPr>
                <w:sz w:val="20"/>
                <w:szCs w:val="20"/>
                <w:color w:val="auto"/>
              </w:rPr>
            </w:pPr>
            <w:r>
              <w:rPr>
                <w:rFonts w:ascii="Arial" w:cs="Arial" w:eastAsia="Arial" w:hAnsi="Arial"/>
                <w:sz w:val="14"/>
                <w:szCs w:val="14"/>
                <w:b w:val="1"/>
                <w:bCs w:val="1"/>
                <w:color w:val="auto"/>
              </w:rPr>
              <w:t>MCE</w:t>
            </w:r>
          </w:p>
        </w:tc>
        <w:tc>
          <w:tcPr>
            <w:tcW w:w="320" w:type="dxa"/>
            <w:vAlign w:val="bottom"/>
          </w:tcPr>
          <w:p>
            <w:pPr>
              <w:spacing w:after="0"/>
              <w:rPr>
                <w:sz w:val="16"/>
                <w:szCs w:val="16"/>
                <w:color w:val="auto"/>
              </w:rPr>
            </w:pPr>
          </w:p>
        </w:tc>
        <w:tc>
          <w:tcPr>
            <w:tcW w:w="1140" w:type="dxa"/>
            <w:vAlign w:val="bottom"/>
            <w:gridSpan w:val="2"/>
          </w:tcPr>
          <w:p>
            <w:pPr>
              <w:ind w:left="200"/>
              <w:spacing w:after="0"/>
              <w:rPr>
                <w:sz w:val="20"/>
                <w:szCs w:val="20"/>
                <w:color w:val="auto"/>
              </w:rPr>
            </w:pPr>
            <w:r>
              <w:rPr>
                <w:rFonts w:ascii="Arial" w:cs="Arial" w:eastAsia="Arial" w:hAnsi="Arial"/>
                <w:sz w:val="14"/>
                <w:szCs w:val="14"/>
                <w:b w:val="1"/>
                <w:bCs w:val="1"/>
                <w:color w:val="auto"/>
              </w:rPr>
              <w:t>MDS</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MIS</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34"/>
              <w:spacing w:after="0"/>
              <w:rPr>
                <w:sz w:val="20"/>
                <w:szCs w:val="20"/>
                <w:color w:val="auto"/>
              </w:rPr>
            </w:pPr>
            <w:r>
              <w:rPr>
                <w:rFonts w:ascii="Arial" w:cs="Arial" w:eastAsia="Arial" w:hAnsi="Arial"/>
                <w:sz w:val="14"/>
                <w:szCs w:val="14"/>
                <w:b w:val="1"/>
                <w:bCs w:val="1"/>
                <w:color w:val="auto"/>
              </w:rPr>
              <w:t>Total</w:t>
            </w: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2013</w:t>
            </w:r>
          </w:p>
        </w:tc>
        <w:tc>
          <w:tcPr>
            <w:tcW w:w="32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133,783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33,768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8,970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176,521</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Goodwill adjustment for the Micronetics acquisition</w:t>
            </w:r>
          </w:p>
        </w:tc>
        <w:tc>
          <w:tcPr>
            <w:tcW w:w="3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595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595</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2014</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134,378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33,768</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8,970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177,116</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the nine months ended March 31, 2014, there were no triggering events, as defined by FASB ASC 350, which required an interim goodwill impairment test. The Company performs its annual goodwill impairment test in the fourth quarter of each fiscal year. Prior to the end of the measurement period for the Micronetics acquisition, August 7, 2013, the Company recorded a $91 adjustment to goodwill resulting from changes in the fair value estimates derived from additional information gathered. Additionally, the Company adjusted approximately $504 of goodwill which was identified subsequent to the measurement period as a correction of an immaterial error that was fully offset by deferred income taxes. The Company concluded that the impact of the correction was neither quantitatively nor qualitatively material to its March 31, 2014 consolidated balance sheet nor to each of the prior respective quarter ends during fiscal 2014.</w:t>
      </w:r>
    </w:p>
    <w:p>
      <w:pPr>
        <w:spacing w:after="0" w:line="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determines its reporting units in accordance with FASB ASC 350, by assessing whether discrete financial information is available and if management regularly reviews the operating results of that component. Following this assessment, the Company determined that its reporting units are the same as its operating segments, MCE, MDS and MIS.</w:t>
      </w:r>
    </w:p>
    <w:p>
      <w:pPr>
        <w:spacing w:after="0" w:line="204"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Plan</w:t>
      </w:r>
    </w:p>
    <w:p>
      <w:pPr>
        <w:spacing w:after="0" w:line="121"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On January 27, 2014, the Company announced a restructuring plan that was implemented as part of the final phase of integration activities relating to the Company’s recent acquisitions. The integration plan includes the consolidation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92" w:right="239" w:bottom="1440" w:gutter="0" w:footer="0" w:header="0"/>
        </w:sectPr>
      </w:pPr>
    </w:p>
    <w:bookmarkStart w:id="9" w:name="page10"/>
    <w:bookmarkEnd w:id="9"/>
    <w:p>
      <w:pPr>
        <w:ind w:right="640"/>
        <w:spacing w:after="0" w:line="277" w:lineRule="auto"/>
        <w:rPr>
          <w:sz w:val="20"/>
          <w:szCs w:val="20"/>
          <w:color w:val="auto"/>
        </w:rPr>
      </w:pPr>
      <w:r>
        <w:rPr>
          <w:rFonts w:ascii="Arial" w:cs="Arial" w:eastAsia="Arial" w:hAnsi="Arial"/>
          <w:sz w:val="18"/>
          <w:szCs w:val="18"/>
          <w:color w:val="auto"/>
        </w:rPr>
        <w:t>manufacturing facilities, centralization of administrative functions using common information systems and processes and realignment of research and development resources.</w:t>
      </w:r>
    </w:p>
    <w:p>
      <w:pPr>
        <w:spacing w:after="0" w:line="62" w:lineRule="exact"/>
        <w:rPr>
          <w:sz w:val="20"/>
          <w:szCs w:val="20"/>
          <w:color w:val="auto"/>
        </w:rPr>
      </w:pPr>
    </w:p>
    <w:p>
      <w:pPr>
        <w:ind w:right="160" w:firstLine="432"/>
        <w:spacing w:after="0" w:line="279" w:lineRule="auto"/>
        <w:rPr>
          <w:sz w:val="20"/>
          <w:szCs w:val="20"/>
          <w:color w:val="auto"/>
        </w:rPr>
      </w:pPr>
      <w:r>
        <w:rPr>
          <w:rFonts w:ascii="Arial" w:cs="Arial" w:eastAsia="Arial" w:hAnsi="Arial"/>
          <w:sz w:val="17"/>
          <w:szCs w:val="17"/>
          <w:color w:val="auto"/>
        </w:rPr>
        <w:t>During the three months ended March 31, 2014, the Company incurred restructuring charges of $3,502 associated with involuntary separation costs related to a reduction in force which eliminated 61 positions largely in administrative, manufacturing and engineering functions in addition to the Monroe, Connecticut facility closure. Future restructuring expenses associated with the integration plan are expected to be approximately $5,380, which are expected to be completed by January of 2015. These restructuring expenses affect both the MCE and MDIS reportable segments.</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detail of activity for the Company’s restructuring plans: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Severance &amp;</w:t>
            </w:r>
          </w:p>
        </w:tc>
        <w:tc>
          <w:tcPr>
            <w:tcW w:w="30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Facilities</w:t>
            </w:r>
          </w:p>
        </w:tc>
        <w:tc>
          <w:tcPr>
            <w:tcW w:w="360" w:type="dxa"/>
            <w:vAlign w:val="bottom"/>
          </w:tcPr>
          <w:p>
            <w:pPr>
              <w:spacing w:after="0"/>
              <w:rPr>
                <w:sz w:val="14"/>
                <w:szCs w:val="14"/>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Related</w:t>
            </w:r>
          </w:p>
        </w:tc>
        <w:tc>
          <w:tcPr>
            <w:tcW w:w="30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&amp; Other</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liability at June 30, 2013</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MCE restructuring charges</w:t>
            </w:r>
          </w:p>
        </w:tc>
        <w:tc>
          <w:tcPr>
            <w:tcW w:w="2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3,478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3,643</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MDIS restructuring charges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Cash paid</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(1,998)</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Reversals(*)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Restructuring liability at March 31, 2014</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2,275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2,306</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color w:val="auto"/>
        </w:rPr>
        <w:t xml:space="preserve">( </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Reversals result from the finalization of settlements owed.</w:t>
      </w:r>
    </w:p>
    <w:p>
      <w:pPr>
        <w:spacing w:after="0" w:line="117"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All of the restructuring charges are classified as operating expenses in the consolidated statements of operations and comprehensive (loss) income and any remaining obligations are expected to be paid within the next twelve months. The remaining restructuring liability is classified as accrued expenses in the consolidated balance sheets.</w:t>
      </w:r>
    </w:p>
    <w:p>
      <w:pPr>
        <w:spacing w:after="0" w:line="204"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180" w:firstLine="432"/>
        <w:spacing w:after="0" w:line="270" w:lineRule="auto"/>
        <w:rPr>
          <w:sz w:val="20"/>
          <w:szCs w:val="20"/>
          <w:color w:val="auto"/>
        </w:rPr>
      </w:pPr>
      <w:r>
        <w:rPr>
          <w:rFonts w:ascii="Arial" w:cs="Arial" w:eastAsia="Arial" w:hAnsi="Arial"/>
          <w:sz w:val="17"/>
          <w:szCs w:val="17"/>
          <w:color w:val="auto"/>
        </w:rPr>
        <w:t>The Company recorded a tax benefit of $848 and $2,232 on a loss before income taxes of $1,426 and $1,444 for the three months ended March 31, 2014 and 2013, respectively. The Company recorded a tax benefit of $2,720 and $8,075 on a loss before income taxes of $6,599 and $19,271 for the nine months ended March 31, 2014 and 2013. Income tax benefit for the three and nine months ended March 31, 2014 differed from the federal statutory rate primarily due to the impact of federal research and development tax credits, Section 199 manufacturing deduction and stock compensation. Income tax benefit for the three and nine months ended March 31, 2013 differed from the federal statutory rate primarily due to the impact of federal research and development tax credits. During the nine months ended March 31, 2014, the Company included an income tax benefit of approximately $231 for an immaterial error related to the Company's June 30, 2013 and 2012 income taxes payable. The Company concluded that the impact of the correction was neither quantitatively nor qualitatively material to the prior fiscal years ended June 30, 2013 and 2012 and each of its respective quarters ended during these fiscal years or the nine months ended March 31, 2014.</w:t>
      </w:r>
    </w:p>
    <w:p>
      <w:pPr>
        <w:spacing w:after="0" w:line="74" w:lineRule="exact"/>
        <w:rPr>
          <w:sz w:val="20"/>
          <w:szCs w:val="20"/>
          <w:color w:val="auto"/>
        </w:rPr>
      </w:pPr>
    </w:p>
    <w:p>
      <w:pPr>
        <w:jc w:val="both"/>
        <w:ind w:right="340" w:firstLine="432"/>
        <w:spacing w:after="0" w:line="264" w:lineRule="auto"/>
        <w:rPr>
          <w:sz w:val="20"/>
          <w:szCs w:val="20"/>
          <w:color w:val="auto"/>
        </w:rPr>
      </w:pPr>
      <w:r>
        <w:rPr>
          <w:rFonts w:ascii="Arial" w:cs="Arial" w:eastAsia="Arial" w:hAnsi="Arial"/>
          <w:sz w:val="18"/>
          <w:szCs w:val="18"/>
          <w:color w:val="auto"/>
        </w:rPr>
        <w:t>No material changes in the Company’s unrecognized tax positions occurred during the three and nine months ended March 31, 2014. The Company estimates that the unrecognized tax benefits of up to $1,139 could be realized within the next 12 months as a result of resolutions of tax positions and the expiration of applicable statutes of limitations.</w:t>
      </w:r>
    </w:p>
    <w:p>
      <w:pPr>
        <w:spacing w:after="0" w:line="204"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EGAL</w:t>
      </w:r>
      <w:r>
        <w:rPr>
          <w:rFonts w:ascii="Arial" w:cs="Arial" w:eastAsia="Arial" w:hAnsi="Arial"/>
          <w:sz w:val="18"/>
          <w:szCs w:val="18"/>
          <w:color w:val="auto"/>
        </w:rPr>
        <w:t xml:space="preserve"> C</w:t>
      </w:r>
      <w:r>
        <w:rPr>
          <w:rFonts w:ascii="Arial" w:cs="Arial" w:eastAsia="Arial" w:hAnsi="Arial"/>
          <w:sz w:val="14"/>
          <w:szCs w:val="14"/>
          <w:color w:val="auto"/>
        </w:rPr>
        <w:t>LAIMS</w:t>
      </w:r>
    </w:p>
    <w:p>
      <w:pPr>
        <w:spacing w:after="0" w:line="131"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The Company is subject to litigation, claims, investigations and audits arising from time to time in the ordinary course of our business. Although legal proceedings are inherently unpredictable, the Company believes that it has valid defenses with respect to any matters currently pending against the Company and intends to defend itself vigorously. The outcome of these matters, individually and in the aggregate, is not expected to have a material impact on the Company’s cash flows, results of operations, or financial position.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NDEMNIFICATION</w:t>
      </w:r>
      <w:r>
        <w:rPr>
          <w:rFonts w:ascii="Arial" w:cs="Arial" w:eastAsia="Arial" w:hAnsi="Arial"/>
          <w:sz w:val="18"/>
          <w:szCs w:val="18"/>
          <w:color w:val="auto"/>
        </w:rPr>
        <w:t xml:space="preserve"> O</w:t>
      </w:r>
      <w:r>
        <w:rPr>
          <w:rFonts w:ascii="Arial" w:cs="Arial" w:eastAsia="Arial" w:hAnsi="Arial"/>
          <w:sz w:val="14"/>
          <w:szCs w:val="14"/>
          <w:color w:val="auto"/>
        </w:rPr>
        <w:t>BLIGATIONS</w:t>
      </w:r>
    </w:p>
    <w:p>
      <w:pPr>
        <w:spacing w:after="0" w:line="131"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Company’s standard product sales and license agreements entered into in the ordinary course of business typically contain an indemnification provision pursuant to which the Company indemnifies, holds harmless, and agrees to reimburse the indemnified party for losses suffered or incurred by the indemnified party in connection with any patent, copyright or other intellectual property infringement claim by any third party with respect to the Company’s products. Such provisions generally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92" w:right="239" w:bottom="1440" w:gutter="0" w:footer="0" w:header="0"/>
        </w:sectPr>
      </w:pPr>
    </w:p>
    <w:bookmarkStart w:id="10" w:name="page11"/>
    <w:bookmarkEnd w:id="10"/>
    <w:p>
      <w:pPr>
        <w:ind w:right="860"/>
        <w:spacing w:after="0" w:line="277" w:lineRule="auto"/>
        <w:rPr>
          <w:sz w:val="20"/>
          <w:szCs w:val="20"/>
          <w:color w:val="auto"/>
        </w:rPr>
      </w:pPr>
      <w:r>
        <w:rPr>
          <w:rFonts w:ascii="Arial" w:cs="Arial" w:eastAsia="Arial" w:hAnsi="Arial"/>
          <w:sz w:val="18"/>
          <w:szCs w:val="18"/>
          <w:color w:val="auto"/>
        </w:rPr>
        <w:t>survive termination or expiration of the agreements. The potential amount of future payments the Company could be required to make under these indemnification provisions is, in some instances, unlimited.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URCHASE</w:t>
      </w:r>
      <w:r>
        <w:rPr>
          <w:rFonts w:ascii="Arial" w:cs="Arial" w:eastAsia="Arial" w:hAnsi="Arial"/>
          <w:sz w:val="18"/>
          <w:szCs w:val="18"/>
          <w:color w:val="auto"/>
        </w:rPr>
        <w:t xml:space="preserve"> C</w:t>
      </w:r>
      <w:r>
        <w:rPr>
          <w:rFonts w:ascii="Arial" w:cs="Arial" w:eastAsia="Arial" w:hAnsi="Arial"/>
          <w:sz w:val="14"/>
          <w:szCs w:val="14"/>
          <w:color w:val="auto"/>
        </w:rPr>
        <w:t>OMMITMENTS</w:t>
      </w:r>
    </w:p>
    <w:p>
      <w:pPr>
        <w:spacing w:after="0" w:line="131" w:lineRule="exact"/>
        <w:rPr>
          <w:sz w:val="20"/>
          <w:szCs w:val="20"/>
          <w:color w:val="auto"/>
        </w:rPr>
      </w:pPr>
    </w:p>
    <w:p>
      <w:pPr>
        <w:ind w:right="120" w:firstLine="432"/>
        <w:spacing w:after="0" w:line="308" w:lineRule="auto"/>
        <w:rPr>
          <w:sz w:val="20"/>
          <w:szCs w:val="20"/>
          <w:color w:val="auto"/>
        </w:rPr>
      </w:pPr>
      <w:r>
        <w:rPr>
          <w:rFonts w:ascii="Arial" w:cs="Arial" w:eastAsia="Arial" w:hAnsi="Arial"/>
          <w:sz w:val="17"/>
          <w:szCs w:val="17"/>
          <w:color w:val="auto"/>
        </w:rPr>
        <w:t>As of March 31, 2014, the Company had entered into non-cancelable purchase commitments for certain inventory components and services used in its normal operations. The purchase commitments covered by these agreements are for less than one year and aggregate to $27,590.</w:t>
      </w:r>
    </w:p>
    <w:p>
      <w:pPr>
        <w:spacing w:after="0" w:line="170"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Senior Unsecured Credit Facility</w:t>
      </w:r>
    </w:p>
    <w:p>
      <w:pPr>
        <w:spacing w:after="0" w:line="117"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On October 12, 2012, the Company entered into a credit agreement (the “Credit Agreement”) with a syndicate of commercial banks, with KeyBank National Association acting as the administrative agent. The Credit Agreement provides for a $200,000 senior unsecured revolving line of credit (the “Revolver”). The Company can borrow up to $200,000 based on consolidated EBITDA for a trailing four quarter period and subject to compliance with the financial covenants discussed below. The Revolver is available for working capital, acquisitions, and general corporate purposes of the Company and its subsidiaries. The Revolver is available for borrowing during a five year period, with interest payable periodically during such period as provided in the Credit Agreement and principal due at the maturity of the Revolver.</w:t>
      </w:r>
    </w:p>
    <w:p>
      <w:pPr>
        <w:spacing w:after="0" w:line="85"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The Credit Agreement has an accordion feature permitting the Company to request from the lenders an increase in the aggregate amount of the credit facility in the form of an incremental revolver or term loan in an amount not to exceed $50,000. Any such increase would require only the consent of the lenders increasing their respective commitments under the credit facility.</w:t>
      </w:r>
    </w:p>
    <w:p>
      <w:pPr>
        <w:spacing w:after="0" w:line="73" w:lineRule="exact"/>
        <w:rPr>
          <w:sz w:val="20"/>
          <w:szCs w:val="20"/>
          <w:color w:val="auto"/>
        </w:rPr>
      </w:pPr>
    </w:p>
    <w:p>
      <w:pPr>
        <w:ind w:right="160" w:firstLine="432"/>
        <w:spacing w:after="0" w:line="312" w:lineRule="auto"/>
        <w:rPr>
          <w:sz w:val="20"/>
          <w:szCs w:val="20"/>
          <w:color w:val="auto"/>
        </w:rPr>
      </w:pPr>
      <w:r>
        <w:rPr>
          <w:rFonts w:ascii="Arial" w:cs="Arial" w:eastAsia="Arial" w:hAnsi="Arial"/>
          <w:sz w:val="16"/>
          <w:szCs w:val="16"/>
          <w:color w:val="auto"/>
        </w:rPr>
        <w:t>The interest rates applicable to borrowings under the Credit Agreement involve various rate options that are available to the Company. The rates are calculated using a combination of conventional base rate measures plus a margin over those rates. The base rates consist of LIBOR rates or prime rates. The actual rates will depend on the level of these underlying rates plus a margin based on the Company’s leverage at the time of borrowing.</w:t>
      </w:r>
    </w:p>
    <w:p>
      <w:pPr>
        <w:spacing w:after="0" w:line="39"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Borrowings under the Credit Agreement are senior unsecured loans. Each of the Company’s domestic subsidiaries is a guarantor under the Credit Agreement.</w:t>
      </w:r>
    </w:p>
    <w:p>
      <w:pPr>
        <w:spacing w:after="0" w:line="62"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The Credit Agreement provides for conventional affirmative and negative covenants, including a maximum leverage ratio of 3.50x and a minimum interest coverage ratio of 3.0x. Each of the two ratios referred to above is calculated based on consolidated EBITDA, as defined in the Credit Agreement, for each consecutive four fiscal quarter period, after giving pro forma effect for any acquisitions or dispositions. Acquisitions are permitted under the Credit Agreement without any dollar limitation so long as, among other requirements, no default or event of default exists or would result therefore; as of March 31, 2014, the Company is in compliance with a maximum leverage ratio of 3.50x and a minimum interest coverage ratio of 3.0x. In addition, the Credit Agreement contains certain customary representations and warranties, and events of default.</w:t>
      </w:r>
    </w:p>
    <w:p>
      <w:pPr>
        <w:spacing w:after="0" w:line="70" w:lineRule="exact"/>
        <w:rPr>
          <w:sz w:val="20"/>
          <w:szCs w:val="20"/>
          <w:color w:val="auto"/>
        </w:rPr>
      </w:pPr>
    </w:p>
    <w:p>
      <w:pPr>
        <w:ind w:right="180" w:firstLine="432"/>
        <w:spacing w:after="0" w:line="342" w:lineRule="auto"/>
        <w:rPr>
          <w:sz w:val="20"/>
          <w:szCs w:val="20"/>
          <w:color w:val="auto"/>
        </w:rPr>
      </w:pPr>
      <w:r>
        <w:rPr>
          <w:rFonts w:ascii="Arial" w:cs="Arial" w:eastAsia="Arial" w:hAnsi="Arial"/>
          <w:sz w:val="16"/>
          <w:szCs w:val="16"/>
          <w:color w:val="auto"/>
        </w:rPr>
        <w:t>As of March 31, 2014, there was $66,082 of borrowing capacity available. There were no borrowings outstanding on the Credit Agreement; however, there were outstanding letters of credit of $4,070. The Company was in compliance with all covenants and conditions under the Credit Agreement.</w:t>
      </w:r>
    </w:p>
    <w:p>
      <w:pPr>
        <w:spacing w:after="0" w:line="147"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 xml:space="preserve"> O</w:t>
      </w:r>
      <w:r>
        <w:rPr>
          <w:rFonts w:ascii="Arial" w:cs="Arial" w:eastAsia="Arial" w:hAnsi="Arial"/>
          <w:sz w:val="14"/>
          <w:szCs w:val="14"/>
          <w:color w:val="auto"/>
        </w:rPr>
        <w:t>PTION</w:t>
      </w:r>
      <w:r>
        <w:rPr>
          <w:rFonts w:ascii="Arial" w:cs="Arial" w:eastAsia="Arial" w:hAnsi="Arial"/>
          <w:sz w:val="18"/>
          <w:szCs w:val="18"/>
          <w:color w:val="auto"/>
        </w:rPr>
        <w:t xml:space="preserve"> P</w:t>
      </w:r>
      <w:r>
        <w:rPr>
          <w:rFonts w:ascii="Arial" w:cs="Arial" w:eastAsia="Arial" w:hAnsi="Arial"/>
          <w:sz w:val="14"/>
          <w:szCs w:val="14"/>
          <w:color w:val="auto"/>
        </w:rPr>
        <w:t>LANS</w:t>
      </w:r>
    </w:p>
    <w:p>
      <w:pPr>
        <w:spacing w:after="0" w:line="131"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The number of shares authorized for issuance under the Company’s 2005 Stock Incentive Plan, as amended and restated (the “2005 Plan”), is 8,018 shares at March 31, 2014. On November 7, 2013, the Company's number of shares authorized for issuance under the 2005 Plan increased by 254 shares as a result of forfeitures, cancellations and/or terminations from the Company's 1997 Stock Option Plan (the "1997 Plan"). The 2005 Plan will be increased by any future cancellations, forfeitures or terminations (other than by exercise) under the 1997 Plan. The 2005 Plan provides for the grant of non-qualified and incentive stock options, restricted stock, stock appreciation rights and deferred stock awards to employees and non-employees. All stock options are granted with an exercise price of not less than 100% of the fair value of the Company’s common stock at the date of grant and the options generally have a term of seven years. There were 1,381 shares available for future grant under the 2005 Plan at March 31, 2014.</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MPLOYEE</w:t>
      </w:r>
      <w:r>
        <w:rPr>
          <w:rFonts w:ascii="Arial" w:cs="Arial" w:eastAsia="Arial" w:hAnsi="Arial"/>
          <w:sz w:val="18"/>
          <w:szCs w:val="18"/>
          <w:color w:val="auto"/>
        </w:rPr>
        <w:t xml:space="preserve"> S</w:t>
      </w:r>
      <w:r>
        <w:rPr>
          <w:rFonts w:ascii="Arial" w:cs="Arial" w:eastAsia="Arial" w:hAnsi="Arial"/>
          <w:sz w:val="14"/>
          <w:szCs w:val="14"/>
          <w:color w:val="auto"/>
        </w:rPr>
        <w:t>TOCK</w:t>
      </w:r>
      <w:r>
        <w:rPr>
          <w:rFonts w:ascii="Arial" w:cs="Arial" w:eastAsia="Arial" w:hAnsi="Arial"/>
          <w:sz w:val="18"/>
          <w:szCs w:val="18"/>
          <w:color w:val="auto"/>
        </w:rPr>
        <w:t xml:space="preserve"> P</w:t>
      </w:r>
      <w:r>
        <w:rPr>
          <w:rFonts w:ascii="Arial" w:cs="Arial" w:eastAsia="Arial" w:hAnsi="Arial"/>
          <w:sz w:val="14"/>
          <w:szCs w:val="14"/>
          <w:color w:val="auto"/>
        </w:rPr>
        <w:t>URCHASE</w:t>
      </w:r>
      <w:r>
        <w:rPr>
          <w:rFonts w:ascii="Arial" w:cs="Arial" w:eastAsia="Arial" w:hAnsi="Arial"/>
          <w:sz w:val="18"/>
          <w:szCs w:val="18"/>
          <w:color w:val="auto"/>
        </w:rPr>
        <w:t xml:space="preserve"> P</w:t>
      </w:r>
      <w:r>
        <w:rPr>
          <w:rFonts w:ascii="Arial" w:cs="Arial" w:eastAsia="Arial" w:hAnsi="Arial"/>
          <w:sz w:val="14"/>
          <w:szCs w:val="14"/>
          <w:color w:val="auto"/>
        </w:rPr>
        <w:t>LAN</w:t>
      </w:r>
    </w:p>
    <w:p>
      <w:pPr>
        <w:spacing w:after="0" w:line="131"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number of shares authorized for issuance under the Company’s 1997 Employee Stock Purchase Plan, as amended and restated (“ESPP”), is 1,400 shares. Under the ESPP, rights are granted to purchase shares of common stock at 85% of the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692" w:right="259" w:bottom="1440" w:gutter="0" w:footer="0" w:header="0"/>
        </w:sectPr>
      </w:pPr>
    </w:p>
    <w:bookmarkStart w:id="11" w:name="page12"/>
    <w:bookmarkEnd w:id="11"/>
    <w:p>
      <w:pPr>
        <w:ind w:right="60"/>
        <w:spacing w:after="0" w:line="259" w:lineRule="auto"/>
        <w:rPr>
          <w:sz w:val="20"/>
          <w:szCs w:val="20"/>
          <w:color w:val="auto"/>
        </w:rPr>
      </w:pPr>
      <w:r>
        <w:rPr>
          <w:rFonts w:ascii="Arial" w:cs="Arial" w:eastAsia="Arial" w:hAnsi="Arial"/>
          <w:sz w:val="18"/>
          <w:szCs w:val="18"/>
          <w:color w:val="auto"/>
        </w:rPr>
        <w:t>lesser of the market value of such shares at either the beginning or the end of each six-month offering period. The ESPP permits employees to purchase common stock through payroll deductions, which may not exceed 10% of an employee’s compensation as defined in the ESPP. There were 55 and 52 shares issued under the ESPP during the nine months ended March 31, 2014 and 2013, respectively. Shares available for future purchase under the ESPP totaled 201 at March 31, 2014.</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 xml:space="preserve"> O</w:t>
      </w:r>
      <w:r>
        <w:rPr>
          <w:rFonts w:ascii="Arial" w:cs="Arial" w:eastAsia="Arial" w:hAnsi="Arial"/>
          <w:sz w:val="14"/>
          <w:szCs w:val="14"/>
          <w:color w:val="auto"/>
        </w:rPr>
        <w:t>PTION AND</w:t>
      </w:r>
      <w:r>
        <w:rPr>
          <w:rFonts w:ascii="Arial" w:cs="Arial" w:eastAsia="Arial" w:hAnsi="Arial"/>
          <w:sz w:val="18"/>
          <w:szCs w:val="18"/>
          <w:color w:val="auto"/>
        </w:rPr>
        <w:t xml:space="preserve"> A</w:t>
      </w:r>
      <w:r>
        <w:rPr>
          <w:rFonts w:ascii="Arial" w:cs="Arial" w:eastAsia="Arial" w:hAnsi="Arial"/>
          <w:sz w:val="14"/>
          <w:szCs w:val="14"/>
          <w:color w:val="auto"/>
        </w:rPr>
        <w:t>WARD</w:t>
      </w:r>
      <w:r>
        <w:rPr>
          <w:rFonts w:ascii="Arial" w:cs="Arial" w:eastAsia="Arial" w:hAnsi="Arial"/>
          <w:sz w:val="18"/>
          <w:szCs w:val="18"/>
          <w:color w:val="auto"/>
        </w:rPr>
        <w:t xml:space="preserve"> A</w:t>
      </w:r>
      <w:r>
        <w:rPr>
          <w:rFonts w:ascii="Arial" w:cs="Arial" w:eastAsia="Arial" w:hAnsi="Arial"/>
          <w:sz w:val="14"/>
          <w:szCs w:val="14"/>
          <w:color w:val="auto"/>
        </w:rPr>
        <w:t>CTIVITY</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activity of the Company’s stock option plans since June 30, 2013:</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Options Outstanding</w:t>
            </w:r>
          </w:p>
        </w:tc>
        <w:tc>
          <w:tcPr>
            <w:tcW w:w="1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200" w:type="dxa"/>
            <w:vAlign w:val="bottom"/>
            <w:vMerge w:val="restart"/>
          </w:tcPr>
          <w:p>
            <w:pPr>
              <w:jc w:val="center"/>
              <w:ind w:left="428"/>
              <w:spacing w:after="0"/>
              <w:rPr>
                <w:sz w:val="20"/>
                <w:szCs w:val="20"/>
                <w:color w:val="auto"/>
              </w:rPr>
            </w:pPr>
            <w:r>
              <w:rPr>
                <w:rFonts w:ascii="Arial" w:cs="Arial" w:eastAsia="Arial" w:hAnsi="Arial"/>
                <w:sz w:val="14"/>
                <w:szCs w:val="14"/>
                <w:b w:val="1"/>
                <w:bCs w:val="1"/>
                <w:color w:val="auto"/>
                <w:w w:val="94"/>
              </w:rPr>
              <w:t>Number of</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Contractual Term</w:t>
            </w:r>
          </w:p>
        </w:tc>
        <w:tc>
          <w:tcPr>
            <w:tcW w:w="0" w:type="dxa"/>
            <w:vAlign w:val="bottom"/>
          </w:tcPr>
          <w:p>
            <w:pPr>
              <w:spacing w:after="0"/>
              <w:rPr>
                <w:sz w:val="1"/>
                <w:szCs w:val="1"/>
                <w:color w:val="auto"/>
              </w:rPr>
            </w:pPr>
          </w:p>
        </w:tc>
      </w:tr>
      <w:tr>
        <w:trPr>
          <w:trHeight w:val="192"/>
        </w:trPr>
        <w:tc>
          <w:tcPr>
            <w:tcW w:w="608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b w:val="1"/>
                <w:bCs w:val="1"/>
                <w:color w:val="auto"/>
                <w:w w:val="89"/>
              </w:rPr>
              <w:t>Shares</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June 30, 2013</w:t>
            </w:r>
          </w:p>
        </w:tc>
        <w:tc>
          <w:tcPr>
            <w:tcW w:w="1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4"/>
              </w:rPr>
              <w:t>2,070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13.44</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2.60</w:t>
            </w:r>
          </w:p>
        </w:tc>
        <w:tc>
          <w:tcPr>
            <w:tcW w:w="0" w:type="dxa"/>
            <w:vAlign w:val="bottom"/>
          </w:tcPr>
          <w:p>
            <w:pPr>
              <w:spacing w:after="0"/>
              <w:rPr>
                <w:sz w:val="1"/>
                <w:szCs w:val="1"/>
                <w:color w:val="auto"/>
              </w:rPr>
            </w:pPr>
          </w:p>
        </w:tc>
      </w:tr>
      <w:tr>
        <w:trPr>
          <w:trHeight w:val="243"/>
        </w:trPr>
        <w:tc>
          <w:tcPr>
            <w:tcW w:w="728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7.46</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80" w:type="dxa"/>
            <w:vAlign w:val="bottom"/>
            <w:gridSpan w:val="2"/>
          </w:tcPr>
          <w:p>
            <w:pPr>
              <w:ind w:left="40"/>
              <w:spacing w:after="0"/>
              <w:rPr>
                <w:sz w:val="20"/>
                <w:szCs w:val="20"/>
                <w:color w:val="auto"/>
              </w:rPr>
            </w:pPr>
            <w:r>
              <w:rPr>
                <w:rFonts w:ascii="Arial" w:cs="Arial" w:eastAsia="Arial" w:hAnsi="Arial"/>
                <w:sz w:val="18"/>
                <w:szCs w:val="18"/>
                <w:color w:val="auto"/>
              </w:rPr>
              <w:t>Cancelled</w:t>
            </w:r>
          </w:p>
        </w:tc>
        <w:tc>
          <w:tcPr>
            <w:tcW w:w="520" w:type="dxa"/>
            <w:vAlign w:val="bottom"/>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37"/>
              <w:spacing w:after="0"/>
              <w:rPr>
                <w:sz w:val="20"/>
                <w:szCs w:val="20"/>
                <w:color w:val="auto"/>
              </w:rPr>
            </w:pPr>
            <w:r>
              <w:rPr>
                <w:rFonts w:ascii="Arial" w:cs="Arial" w:eastAsia="Arial" w:hAnsi="Arial"/>
                <w:sz w:val="18"/>
                <w:szCs w:val="18"/>
                <w:color w:val="auto"/>
              </w:rPr>
              <w:t>19.50</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March 31, 2014</w:t>
            </w:r>
          </w:p>
        </w:tc>
        <w:tc>
          <w:tcPr>
            <w:tcW w:w="120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4"/>
              </w:rPr>
              <w:t>1,504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11.64</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2.52</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status of the Company’s non-vested restricted stock awards since June 30, 2013:</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300" w:type="dxa"/>
            <w:vAlign w:val="bottom"/>
            <w:tcBorders>
              <w:bottom w:val="single" w:sz="8" w:color="auto"/>
            </w:tcBorders>
            <w:gridSpan w:val="4"/>
          </w:tcPr>
          <w:p>
            <w:pPr>
              <w:jc w:val="right"/>
              <w:ind w:right="437"/>
              <w:spacing w:after="0"/>
              <w:rPr>
                <w:sz w:val="20"/>
                <w:szCs w:val="20"/>
                <w:color w:val="auto"/>
              </w:rPr>
            </w:pPr>
            <w:r>
              <w:rPr>
                <w:rFonts w:ascii="Arial" w:cs="Arial" w:eastAsia="Arial" w:hAnsi="Arial"/>
                <w:sz w:val="14"/>
                <w:szCs w:val="14"/>
                <w:b w:val="1"/>
                <w:bCs w:val="1"/>
                <w:color w:val="auto"/>
              </w:rPr>
              <w:t>Non-vested Restricted Stock Awards</w:t>
            </w:r>
          </w:p>
        </w:tc>
        <w:tc>
          <w:tcPr>
            <w:tcW w:w="0" w:type="dxa"/>
            <w:vAlign w:val="bottom"/>
          </w:tcPr>
          <w:p>
            <w:pPr>
              <w:spacing w:after="0"/>
              <w:rPr>
                <w:sz w:val="1"/>
                <w:szCs w:val="1"/>
                <w:color w:val="auto"/>
              </w:rPr>
            </w:pPr>
          </w:p>
        </w:tc>
      </w:tr>
      <w:tr>
        <w:trPr>
          <w:trHeight w:val="152"/>
        </w:trPr>
        <w:tc>
          <w:tcPr>
            <w:tcW w:w="8120" w:type="dxa"/>
            <w:vAlign w:val="bottom"/>
          </w:tcPr>
          <w:p>
            <w:pPr>
              <w:spacing w:after="0"/>
              <w:rPr>
                <w:sz w:val="13"/>
                <w:szCs w:val="13"/>
                <w:color w:val="auto"/>
              </w:rPr>
            </w:pPr>
          </w:p>
        </w:tc>
        <w:tc>
          <w:tcPr>
            <w:tcW w:w="1600" w:type="dxa"/>
            <w:vAlign w:val="bottom"/>
            <w:vMerge w:val="restart"/>
          </w:tcPr>
          <w:p>
            <w:pPr>
              <w:jc w:val="right"/>
              <w:ind w:right="377"/>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jc w:val="center"/>
              <w:ind w:right="97"/>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812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8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June 30, 2013</w:t>
            </w:r>
          </w:p>
        </w:tc>
        <w:tc>
          <w:tcPr>
            <w:tcW w:w="16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2,007</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10.82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17"/>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60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March 31, 2014</w:t>
            </w:r>
          </w:p>
        </w:tc>
        <w:tc>
          <w:tcPr>
            <w:tcW w:w="16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2,086</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10.15</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w:t>
      </w:r>
      <w:r>
        <w:rPr>
          <w:rFonts w:ascii="Arial" w:cs="Arial" w:eastAsia="Arial" w:hAnsi="Arial"/>
          <w:sz w:val="14"/>
          <w:szCs w:val="14"/>
          <w:color w:val="auto"/>
        </w:rPr>
        <w:t>BASED</w:t>
      </w:r>
      <w:r>
        <w:rPr>
          <w:rFonts w:ascii="Arial" w:cs="Arial" w:eastAsia="Arial" w:hAnsi="Arial"/>
          <w:sz w:val="18"/>
          <w:szCs w:val="18"/>
          <w:color w:val="auto"/>
        </w:rPr>
        <w:t xml:space="preserve"> C</w:t>
      </w:r>
      <w:r>
        <w:rPr>
          <w:rFonts w:ascii="Arial" w:cs="Arial" w:eastAsia="Arial" w:hAnsi="Arial"/>
          <w:sz w:val="14"/>
          <w:szCs w:val="14"/>
          <w:color w:val="auto"/>
        </w:rPr>
        <w:t>OMPENSATION</w:t>
      </w:r>
      <w:r>
        <w:rPr>
          <w:rFonts w:ascii="Arial" w:cs="Arial" w:eastAsia="Arial" w:hAnsi="Arial"/>
          <w:sz w:val="18"/>
          <w:szCs w:val="18"/>
          <w:color w:val="auto"/>
        </w:rPr>
        <w:t xml:space="preserve"> E</w:t>
      </w:r>
      <w:r>
        <w:rPr>
          <w:rFonts w:ascii="Arial" w:cs="Arial" w:eastAsia="Arial" w:hAnsi="Arial"/>
          <w:sz w:val="14"/>
          <w:szCs w:val="14"/>
          <w:color w:val="auto"/>
        </w:rPr>
        <w:t>XPENSE</w:t>
      </w:r>
    </w:p>
    <w:p>
      <w:pPr>
        <w:spacing w:after="0" w:line="131"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The Company recognized the full expense of its share-based payment plans in the consolidated statements of operations for the three and nine months ended March 31, 2014 and 2013 in accordance with FASB ASC 718 and did not capitalize any such costs on the consolidated balance sheets, as such costs that qualified for capitalization were not material. Under the fair value recognition provisions of FASB ASC 718, stock-based compensation cost is measured at the grant date based on the value of the award and is recognized as expense over the service period, net of estimated forfeitures. The following table presents share-based compensation expenses included in the Company’s consolidated statements of operations: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228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 March 31,</w:t>
            </w:r>
          </w:p>
        </w:tc>
        <w:tc>
          <w:tcPr>
            <w:tcW w:w="140" w:type="dxa"/>
            <w:vAlign w:val="bottom"/>
          </w:tcPr>
          <w:p>
            <w:pPr>
              <w:spacing w:after="0"/>
              <w:rPr>
                <w:sz w:val="16"/>
                <w:szCs w:val="16"/>
                <w:color w:val="auto"/>
              </w:rPr>
            </w:pPr>
          </w:p>
        </w:tc>
        <w:tc>
          <w:tcPr>
            <w:tcW w:w="2020" w:type="dxa"/>
            <w:vAlign w:val="bottom"/>
            <w:gridSpan w:val="4"/>
          </w:tcPr>
          <w:p>
            <w:pPr>
              <w:jc w:val="right"/>
              <w:ind w:right="33"/>
              <w:spacing w:after="0"/>
              <w:rPr>
                <w:sz w:val="20"/>
                <w:szCs w:val="20"/>
                <w:color w:val="auto"/>
              </w:rPr>
            </w:pPr>
            <w:r>
              <w:rPr>
                <w:rFonts w:ascii="Arial" w:cs="Arial" w:eastAsia="Arial" w:hAnsi="Arial"/>
                <w:sz w:val="14"/>
                <w:szCs w:val="14"/>
                <w:b w:val="1"/>
                <w:bCs w:val="1"/>
                <w:color w:val="auto"/>
                <w:w w:val="94"/>
              </w:rPr>
              <w:t>Nine Months Ended March 31,</w:t>
            </w:r>
          </w:p>
        </w:tc>
      </w:tr>
      <w:tr>
        <w:trPr>
          <w:trHeight w:val="264"/>
        </w:trPr>
        <w:tc>
          <w:tcPr>
            <w:tcW w:w="69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2013</w:t>
            </w: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335</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1,399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1,486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5,768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5,095</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835</w:t>
            </w: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Share-based compensation expense before tax</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1,714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1,901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7,466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6,265</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(2,295)</w:t>
            </w: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Net compensation expense</w:t>
            </w:r>
          </w:p>
        </w:tc>
        <w:tc>
          <w:tcPr>
            <w:tcW w:w="2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1,105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1,211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4,776</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3,970</w:t>
            </w:r>
          </w:p>
        </w:tc>
      </w:tr>
      <w:tr>
        <w:trPr>
          <w:trHeight w:val="27"/>
        </w:trPr>
        <w:tc>
          <w:tcPr>
            <w:tcW w:w="6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Segment, Geographic Information and Significant Customers</w:t>
      </w:r>
    </w:p>
    <w:p>
      <w:pPr>
        <w:spacing w:after="0" w:line="121" w:lineRule="exact"/>
        <w:rPr>
          <w:sz w:val="20"/>
          <w:szCs w:val="20"/>
          <w:color w:val="auto"/>
        </w:rPr>
      </w:pPr>
    </w:p>
    <w:p>
      <w:pPr>
        <w:ind w:right="320" w:firstLine="432"/>
        <w:spacing w:after="0" w:line="259" w:lineRule="auto"/>
        <w:rPr>
          <w:sz w:val="20"/>
          <w:szCs w:val="20"/>
          <w:color w:val="auto"/>
        </w:rPr>
      </w:pPr>
      <w:r>
        <w:rPr>
          <w:rFonts w:ascii="Arial" w:cs="Arial" w:eastAsia="Arial" w:hAnsi="Arial"/>
          <w:sz w:val="18"/>
          <w:szCs w:val="18"/>
          <w:color w:val="auto"/>
        </w:rPr>
        <w:t>Operating segments are defined as components of an enterprise evaluated regularly by the Company’s chief operating decision maker (“CODM”) in deciding how to allocate resources and assess performance. The Company is presently organized in three operating segments. The following operating segments were determined based upon the nature of the products offered to customers, the market characteristics of each operating segment and the Company’s management structure:</w:t>
      </w:r>
    </w:p>
    <w:p>
      <w:pPr>
        <w:sectPr>
          <w:pgSz w:w="11900" w:h="16838" w:orient="portrait"/>
          <w:cols w:equalWidth="0" w:num="1">
            <w:col w:w="11420"/>
          </w:cols>
          <w:pgMar w:left="240" w:top="692"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692" w:right="239" w:bottom="1440" w:gutter="0" w:footer="0" w:header="0"/>
          <w:type w:val="continuous"/>
        </w:sectPr>
      </w:pPr>
    </w:p>
    <w:bookmarkStart w:id="12" w:name="page13"/>
    <w:bookmarkEnd w:id="12"/>
    <w:p>
      <w:pPr>
        <w:ind w:left="1140" w:right="160" w:hanging="565"/>
        <w:spacing w:after="0" w:line="293" w:lineRule="auto"/>
        <w:tabs>
          <w:tab w:leader="none" w:pos="11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Mercury Commercial Electronics (“MCE”): this operating segment delivers innovative, commercially developed, open sensor and Big Data processing systems, software and services for critical commercial, defense and intelligence applications. MCE delivers solutions that are secure and based upon open architectures and widely adopted industry standards. MCE's products include, but are not limited to, embedded processing boards, digital receiver boards, chassis-based systems using air, conduction, and proprietary cooling technologies and RF and microwave technologies, including tuners, converters, transceivers, synthesizers, switch filters, and power amplifiers and limiters. MCE delivers rapid time-to-value and world-class service and support to our commercial and defense prime contractor customers.</w:t>
      </w:r>
    </w:p>
    <w:p>
      <w:pPr>
        <w:spacing w:after="0" w:line="56" w:lineRule="exact"/>
        <w:rPr>
          <w:rFonts w:ascii="Arial" w:cs="Arial" w:eastAsia="Arial" w:hAnsi="Arial"/>
          <w:sz w:val="16"/>
          <w:szCs w:val="16"/>
          <w:color w:val="auto"/>
        </w:rPr>
      </w:pPr>
    </w:p>
    <w:p>
      <w:pPr>
        <w:ind w:left="1140" w:right="20" w:hanging="565"/>
        <w:spacing w:after="0" w:line="276" w:lineRule="auto"/>
        <w:tabs>
          <w:tab w:leader="none" w:pos="11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Mercury Defense Systems (“MDS”): this operating segment delivers innovative, open sensor processing solutions to key defense prime contractors leveraging commercially available technologies and solutions from our MCE business. MDS leverages this technology to develop integrated sensor processing subsystems, often including classified application-specific software and intellectual property (“IP”) for the C4ISR (command, control, communications, computers, intelligence, surveillance and reconnaissance), EW, and ECM markets. MDS's products include, but are not limited to, Digital Radio Frequency Memory ("DRFM") jammers and radar environment simulators.</w:t>
      </w:r>
    </w:p>
    <w:p>
      <w:pPr>
        <w:spacing w:after="0" w:line="64" w:lineRule="exact"/>
        <w:rPr>
          <w:rFonts w:ascii="Arial" w:cs="Arial" w:eastAsia="Arial" w:hAnsi="Arial"/>
          <w:sz w:val="17"/>
          <w:szCs w:val="17"/>
          <w:color w:val="auto"/>
        </w:rPr>
      </w:pPr>
    </w:p>
    <w:p>
      <w:pPr>
        <w:ind w:left="1140" w:right="380" w:hanging="565"/>
        <w:spacing w:after="0" w:line="342" w:lineRule="auto"/>
        <w:tabs>
          <w:tab w:leader="none" w:pos="11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Mercury Intelligence Systems (“MIS”): this operating segment delivers technologically advanced hardware and software data processing solutions and predictive analytics capabilities to address the intelligence community and Department of Defense mission needs.</w:t>
      </w:r>
    </w:p>
    <w:p>
      <w:pPr>
        <w:spacing w:after="0" w:line="16" w:lineRule="exact"/>
        <w:rPr>
          <w:sz w:val="20"/>
          <w:szCs w:val="20"/>
          <w:color w:val="auto"/>
        </w:rPr>
      </w:pPr>
    </w:p>
    <w:p>
      <w:pPr>
        <w:jc w:val="both"/>
        <w:ind w:right="80" w:firstLine="432"/>
        <w:spacing w:after="0" w:line="286" w:lineRule="auto"/>
        <w:rPr>
          <w:sz w:val="20"/>
          <w:szCs w:val="20"/>
          <w:color w:val="auto"/>
        </w:rPr>
      </w:pPr>
      <w:r>
        <w:rPr>
          <w:rFonts w:ascii="Arial" w:cs="Arial" w:eastAsia="Arial" w:hAnsi="Arial"/>
          <w:sz w:val="17"/>
          <w:szCs w:val="17"/>
          <w:color w:val="auto"/>
        </w:rPr>
        <w:t>The Company’s operating segments were evaluated in accordance with FASB ASC 280 - “Segment Reporting” in order to determine which operating segments qualified as reportable segments. The Company considered qualitative factors, including the economic characteristics of each operating segment to determine if any of its three operating segments qualified for aggregation into fewer reportable segments.</w:t>
      </w:r>
    </w:p>
    <w:p>
      <w:pPr>
        <w:spacing w:after="0" w:line="5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Company’s evaluation of the economic characteristics of its operating segments included comparisons of revenues and applicable growth rates, gross margins, operating margins, future projections, and additional non-GAAP financial measurements which indicate that MDS and MIS have similar economic characteristics. The Company also evaluated the following qualitative factors in accordance with FASB ASC 280 paragraph 10-50-11: the nature of products and services, the corresponding production processes, the types of customers, distribution methods for products and services and the nature of the corresponding regulatory environment associated with its operating segments. The Company determined each of these factors are similar for both the MDS and MIS operating segments and supports the aggregation of MDS and MIS into one reportable segment, Mercury Defense and Intelligence Systems (“MDIS”).</w:t>
      </w:r>
    </w:p>
    <w:p>
      <w:pPr>
        <w:spacing w:after="0" w:line="8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Company analyzed quantitative thresholds of each reportable segment including but not limited to reported revenues, including sales to external customers and intersegment sales or transfers, reported profits or losses, and total assets of each operating segment. The Company determined that both MCE and MDIS met the quantitative thresholds for reporting.</w:t>
      </w:r>
    </w:p>
    <w:p>
      <w:pPr>
        <w:spacing w:after="0" w:line="73" w:lineRule="exact"/>
        <w:rPr>
          <w:sz w:val="20"/>
          <w:szCs w:val="20"/>
          <w:color w:val="auto"/>
        </w:rPr>
      </w:pPr>
    </w:p>
    <w:p>
      <w:pPr>
        <w:ind w:right="200" w:firstLine="432"/>
        <w:spacing w:after="0" w:line="302" w:lineRule="auto"/>
        <w:rPr>
          <w:sz w:val="20"/>
          <w:szCs w:val="20"/>
          <w:color w:val="auto"/>
        </w:rPr>
      </w:pPr>
      <w:r>
        <w:rPr>
          <w:rFonts w:ascii="Arial" w:cs="Arial" w:eastAsia="Arial" w:hAnsi="Arial"/>
          <w:sz w:val="16"/>
          <w:szCs w:val="16"/>
          <w:color w:val="auto"/>
        </w:rPr>
        <w:t>The accounting policies of the reportable segments are the same as those described in “Note B: Summary of Significant Accounting Policies.” The profitability measure employed by the Company and its CODM as the basis for allocating resources to segments and assessing segment performance is adjusted EBITDA. The Company believes the adjusted EBITDA financial measure assists in providing an enhanced understanding of its underlying operational measures to manage its business, to evaluate its performance compared to prior periods and the marketplace, and to establish operational goals.</w:t>
      </w:r>
    </w:p>
    <w:p>
      <w:pPr>
        <w:spacing w:after="0" w:line="46"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color w:val="auto"/>
        </w:rPr>
        <w:t>Adjusted EBITDA is defined as net income (loss) before interest income and expense, income taxes, depreciation, amortization of acquired intangible assets, restructuring and other charges, impairment of long-lived assets, acquisition costs and other related expenses, fair value adjustments from purchase accounting and stock-based compensation costs. Prior year’s amounts have been presented to reflect the current profitability measures for comparative purposes. Additionally, asset information by reportable segment is not reported because the Company and its CODM utilize consolidated asset information when making business decisions. The following is a summary of the performance of the Company’s operations by reportable segment:</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692" w:right="27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2"/>
        </w:trPr>
        <w:tc>
          <w:tcPr>
            <w:tcW w:w="56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MCE</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MDIS</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Total</w:t>
            </w:r>
          </w:p>
        </w:tc>
      </w:tr>
      <w:tr>
        <w:trPr>
          <w:trHeight w:val="206"/>
        </w:trPr>
        <w:tc>
          <w:tcPr>
            <w:tcW w:w="71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THREE MONTHS ENDED</w:t>
            </w: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06"/>
        </w:trPr>
        <w:tc>
          <w:tcPr>
            <w:tcW w:w="71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MARCH 31, 2014</w:t>
            </w: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33"/>
        </w:trPr>
        <w:tc>
          <w:tcPr>
            <w:tcW w:w="56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ind w:left="380"/>
              <w:spacing w:after="0"/>
              <w:rPr>
                <w:sz w:val="20"/>
                <w:szCs w:val="20"/>
                <w:color w:val="auto"/>
              </w:rPr>
            </w:pPr>
            <w:r>
              <w:rPr>
                <w:rFonts w:ascii="Arial" w:cs="Arial" w:eastAsia="Arial" w:hAnsi="Arial"/>
                <w:sz w:val="18"/>
                <w:szCs w:val="18"/>
                <w:color w:val="auto"/>
              </w:rPr>
              <w:t>Net revenues to unaffiliated customers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43,041</w:t>
            </w:r>
          </w:p>
        </w:tc>
        <w:tc>
          <w:tcPr>
            <w:tcW w:w="12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10,991</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1,468</w:t>
            </w:r>
          </w:p>
        </w:tc>
        <w:tc>
          <w:tcPr>
            <w:tcW w:w="12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55,500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Intersegment revenues</w:t>
            </w:r>
          </w:p>
        </w:tc>
        <w:tc>
          <w:tcPr>
            <w:tcW w:w="4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4,568</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(4,568)</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Net revenues</w:t>
            </w: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47,609</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10,991</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(3,100)</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55,500</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62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Adjusted EBITDA</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6,763</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1,132</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7,663</w:t>
            </w:r>
          </w:p>
        </w:tc>
        <w:tc>
          <w:tcPr>
            <w:tcW w:w="0" w:type="dxa"/>
            <w:vAlign w:val="bottom"/>
          </w:tcPr>
          <w:p>
            <w:pPr>
              <w:spacing w:after="0"/>
              <w:rPr>
                <w:sz w:val="1"/>
                <w:szCs w:val="1"/>
                <w:color w:val="auto"/>
              </w:rPr>
            </w:pPr>
          </w:p>
        </w:tc>
      </w:tr>
      <w:tr>
        <w:trPr>
          <w:trHeight w:val="220"/>
        </w:trPr>
        <w:tc>
          <w:tcPr>
            <w:tcW w:w="5620" w:type="dxa"/>
            <w:vAlign w:val="bottom"/>
          </w:tcPr>
          <w:p>
            <w:pPr>
              <w:ind w:left="40"/>
              <w:spacing w:after="0"/>
              <w:rPr>
                <w:sz w:val="20"/>
                <w:szCs w:val="20"/>
                <w:color w:val="auto"/>
              </w:rPr>
            </w:pPr>
            <w:r>
              <w:rPr>
                <w:rFonts w:ascii="Arial" w:cs="Arial" w:eastAsia="Arial" w:hAnsi="Arial"/>
                <w:sz w:val="16"/>
                <w:szCs w:val="16"/>
                <w:color w:val="auto"/>
              </w:rPr>
              <w:t>THREE MONTHS ENDED</w:t>
            </w: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620" w:type="dxa"/>
            <w:vAlign w:val="bottom"/>
          </w:tcPr>
          <w:p>
            <w:pPr>
              <w:ind w:left="40"/>
              <w:spacing w:after="0"/>
              <w:rPr>
                <w:sz w:val="20"/>
                <w:szCs w:val="20"/>
                <w:color w:val="auto"/>
              </w:rPr>
            </w:pPr>
            <w:r>
              <w:rPr>
                <w:rFonts w:ascii="Arial" w:cs="Arial" w:eastAsia="Arial" w:hAnsi="Arial"/>
                <w:sz w:val="16"/>
                <w:szCs w:val="16"/>
                <w:color w:val="auto"/>
              </w:rPr>
              <w:t>MARCH 31, 2013</w:t>
            </w: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revenues to unaffiliated customers</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41,222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13,006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54,123</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Intersegment revenues</w:t>
            </w:r>
          </w:p>
        </w:tc>
        <w:tc>
          <w:tcPr>
            <w:tcW w:w="4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2,733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(2,733)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revenues</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43,955</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13,006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54,123</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Adjusted EBITDA</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3,320</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1,885</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5,242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NINE MONTHS ENDED</w:t>
            </w: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MARCH 31, 2014</w:t>
            </w:r>
          </w:p>
        </w:tc>
        <w:tc>
          <w:tcPr>
            <w:tcW w:w="4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Net revenues to unaffiliated customers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128,835</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32,724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971</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162,530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Intersegment revenues</w:t>
            </w:r>
          </w:p>
        </w:tc>
        <w:tc>
          <w:tcPr>
            <w:tcW w:w="4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8,415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(8,415)</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Net revenues</w:t>
            </w: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137,250</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32,724</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(7,444)</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162,530</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62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Adjusted EBITDA</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13,188</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3,411</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16,374</w:t>
            </w:r>
          </w:p>
        </w:tc>
        <w:tc>
          <w:tcPr>
            <w:tcW w:w="0" w:type="dxa"/>
            <w:vAlign w:val="bottom"/>
          </w:tcPr>
          <w:p>
            <w:pPr>
              <w:spacing w:after="0"/>
              <w:rPr>
                <w:sz w:val="1"/>
                <w:szCs w:val="1"/>
                <w:color w:val="auto"/>
              </w:rPr>
            </w:pPr>
          </w:p>
        </w:tc>
      </w:tr>
      <w:tr>
        <w:trPr>
          <w:trHeight w:val="220"/>
        </w:trPr>
        <w:tc>
          <w:tcPr>
            <w:tcW w:w="5620" w:type="dxa"/>
            <w:vAlign w:val="bottom"/>
          </w:tcPr>
          <w:p>
            <w:pPr>
              <w:ind w:left="40"/>
              <w:spacing w:after="0"/>
              <w:rPr>
                <w:sz w:val="20"/>
                <w:szCs w:val="20"/>
                <w:color w:val="auto"/>
              </w:rPr>
            </w:pPr>
            <w:r>
              <w:rPr>
                <w:rFonts w:ascii="Arial" w:cs="Arial" w:eastAsia="Arial" w:hAnsi="Arial"/>
                <w:sz w:val="16"/>
                <w:szCs w:val="16"/>
                <w:color w:val="auto"/>
              </w:rPr>
              <w:t>NINE MONTHS ENDED</w:t>
            </w: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620" w:type="dxa"/>
            <w:vAlign w:val="bottom"/>
          </w:tcPr>
          <w:p>
            <w:pPr>
              <w:ind w:left="40"/>
              <w:spacing w:after="0"/>
              <w:rPr>
                <w:sz w:val="20"/>
                <w:szCs w:val="20"/>
                <w:color w:val="auto"/>
              </w:rPr>
            </w:pPr>
            <w:r>
              <w:rPr>
                <w:rFonts w:ascii="Arial" w:cs="Arial" w:eastAsia="Arial" w:hAnsi="Arial"/>
                <w:sz w:val="16"/>
                <w:szCs w:val="16"/>
                <w:color w:val="auto"/>
              </w:rPr>
              <w:t>MARCH 31, 2013</w:t>
            </w: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revenues to unaffiliated customers</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110,369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42,899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153,355</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Intersegment revenues</w:t>
            </w:r>
          </w:p>
        </w:tc>
        <w:tc>
          <w:tcPr>
            <w:tcW w:w="4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10,880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(10,892)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revenues</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121,249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42,911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153,355</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Adjusted EBITDA</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797</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7,080</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7,888</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reconciles the Company’s net loss, the most directly comparable GAAP financial measure, to its adjusted EBITDA:</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26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March 31,</w:t>
            </w:r>
          </w:p>
        </w:tc>
        <w:tc>
          <w:tcPr>
            <w:tcW w:w="140" w:type="dxa"/>
            <w:vAlign w:val="bottom"/>
          </w:tcPr>
          <w:p>
            <w:pPr>
              <w:spacing w:after="0"/>
              <w:rPr>
                <w:sz w:val="16"/>
                <w:szCs w:val="16"/>
                <w:color w:val="auto"/>
              </w:rPr>
            </w:pPr>
          </w:p>
        </w:tc>
        <w:tc>
          <w:tcPr>
            <w:tcW w:w="2020" w:type="dxa"/>
            <w:vAlign w:val="bottom"/>
            <w:gridSpan w:val="4"/>
          </w:tcPr>
          <w:p>
            <w:pPr>
              <w:jc w:val="right"/>
              <w:ind w:right="32"/>
              <w:spacing w:after="0"/>
              <w:rPr>
                <w:sz w:val="20"/>
                <w:szCs w:val="20"/>
                <w:color w:val="auto"/>
              </w:rPr>
            </w:pPr>
            <w:r>
              <w:rPr>
                <w:rFonts w:ascii="Arial" w:cs="Arial" w:eastAsia="Arial" w:hAnsi="Arial"/>
                <w:sz w:val="14"/>
                <w:szCs w:val="14"/>
                <w:b w:val="1"/>
                <w:bCs w:val="1"/>
                <w:color w:val="auto"/>
                <w:w w:val="94"/>
              </w:rPr>
              <w:t>Nine Months Ended March 31,</w:t>
            </w:r>
          </w:p>
        </w:tc>
        <w:tc>
          <w:tcPr>
            <w:tcW w:w="0" w:type="dxa"/>
            <w:vAlign w:val="bottom"/>
          </w:tcPr>
          <w:p>
            <w:pPr>
              <w:spacing w:after="0"/>
              <w:rPr>
                <w:sz w:val="1"/>
                <w:szCs w:val="1"/>
                <w:color w:val="auto"/>
              </w:rPr>
            </w:pPr>
          </w:p>
        </w:tc>
      </w:tr>
      <w:tr>
        <w:trPr>
          <w:trHeight w:val="264"/>
        </w:trPr>
        <w:tc>
          <w:tcPr>
            <w:tcW w:w="4780" w:type="dxa"/>
            <w:vAlign w:val="bottom"/>
            <w:tcBorders>
              <w:bottom w:val="single" w:sz="8" w:color="CCEEFF"/>
            </w:tcBorders>
          </w:tcPr>
          <w:p>
            <w:pPr>
              <w:spacing w:after="0"/>
              <w:rPr>
                <w:sz w:val="22"/>
                <w:szCs w:val="22"/>
                <w:color w:val="auto"/>
              </w:rPr>
            </w:pPr>
          </w:p>
        </w:tc>
        <w:tc>
          <w:tcPr>
            <w:tcW w:w="2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246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(11,196)</w:t>
            </w:r>
          </w:p>
        </w:tc>
        <w:tc>
          <w:tcPr>
            <w:tcW w:w="0" w:type="dxa"/>
            <w:vAlign w:val="bottom"/>
          </w:tcPr>
          <w:p>
            <w:pPr>
              <w:spacing w:after="0"/>
              <w:rPr>
                <w:sz w:val="1"/>
                <w:szCs w:val="1"/>
                <w:color w:val="auto"/>
              </w:rPr>
            </w:pPr>
          </w:p>
        </w:tc>
      </w:tr>
      <w:tr>
        <w:trPr>
          <w:trHeight w:val="243"/>
        </w:trPr>
        <w:tc>
          <w:tcPr>
            <w:tcW w:w="4780" w:type="dxa"/>
            <w:vAlign w:val="bottom"/>
          </w:tcPr>
          <w:p>
            <w:pPr>
              <w:ind w:left="380"/>
              <w:spacing w:after="0"/>
              <w:rPr>
                <w:sz w:val="20"/>
                <w:szCs w:val="20"/>
                <w:color w:val="auto"/>
              </w:rPr>
            </w:pPr>
            <w:r>
              <w:rPr>
                <w:rFonts w:ascii="Arial" w:cs="Arial" w:eastAsia="Arial" w:hAnsi="Arial"/>
                <w:sz w:val="18"/>
                <w:szCs w:val="18"/>
                <w:color w:val="auto"/>
              </w:rPr>
              <w:t>Interest expense, net</w:t>
            </w:r>
          </w:p>
        </w:tc>
        <w:tc>
          <w:tcPr>
            <w:tcW w:w="2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benefit</w:t>
            </w:r>
          </w:p>
        </w:tc>
        <w:tc>
          <w:tcPr>
            <w:tcW w:w="2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(8,075)</w:t>
            </w:r>
          </w:p>
        </w:tc>
        <w:tc>
          <w:tcPr>
            <w:tcW w:w="0" w:type="dxa"/>
            <w:vAlign w:val="bottom"/>
          </w:tcPr>
          <w:p>
            <w:pPr>
              <w:spacing w:after="0"/>
              <w:rPr>
                <w:sz w:val="1"/>
                <w:szCs w:val="1"/>
                <w:color w:val="auto"/>
              </w:rPr>
            </w:pPr>
          </w:p>
        </w:tc>
      </w:tr>
      <w:tr>
        <w:trPr>
          <w:trHeight w:val="243"/>
        </w:trPr>
        <w:tc>
          <w:tcPr>
            <w:tcW w:w="478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2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1,963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2,068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5,956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6,470</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2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6,374</w:t>
            </w:r>
          </w:p>
        </w:tc>
        <w:tc>
          <w:tcPr>
            <w:tcW w:w="0" w:type="dxa"/>
            <w:vAlign w:val="bottom"/>
          </w:tcPr>
          <w:p>
            <w:pPr>
              <w:spacing w:after="0"/>
              <w:rPr>
                <w:sz w:val="1"/>
                <w:szCs w:val="1"/>
                <w:color w:val="auto"/>
              </w:rPr>
            </w:pPr>
          </w:p>
        </w:tc>
      </w:tr>
      <w:tr>
        <w:trPr>
          <w:trHeight w:val="243"/>
        </w:trPr>
        <w:tc>
          <w:tcPr>
            <w:tcW w:w="4780" w:type="dxa"/>
            <w:vAlign w:val="bottom"/>
          </w:tcPr>
          <w:p>
            <w:pPr>
              <w:ind w:left="380"/>
              <w:spacing w:after="0"/>
              <w:rPr>
                <w:sz w:val="20"/>
                <w:szCs w:val="20"/>
                <w:color w:val="auto"/>
              </w:rPr>
            </w:pPr>
            <w:r>
              <w:rPr>
                <w:rFonts w:ascii="Arial" w:cs="Arial" w:eastAsia="Arial" w:hAnsi="Arial"/>
                <w:sz w:val="18"/>
                <w:szCs w:val="18"/>
                <w:color w:val="auto"/>
              </w:rPr>
              <w:t>Restructuring and other charges</w:t>
            </w:r>
          </w:p>
        </w:tc>
        <w:tc>
          <w:tcPr>
            <w:tcW w:w="2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3,502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3,584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5,429</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costs and other related expenses</w:t>
            </w:r>
          </w:p>
        </w:tc>
        <w:tc>
          <w:tcPr>
            <w:tcW w:w="2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43"/>
        </w:trPr>
        <w:tc>
          <w:tcPr>
            <w:tcW w:w="4780" w:type="dxa"/>
            <w:vAlign w:val="bottom"/>
          </w:tcPr>
          <w:p>
            <w:pPr>
              <w:ind w:left="380"/>
              <w:spacing w:after="0"/>
              <w:rPr>
                <w:sz w:val="20"/>
                <w:szCs w:val="20"/>
                <w:color w:val="auto"/>
              </w:rPr>
            </w:pPr>
            <w:r>
              <w:rPr>
                <w:rFonts w:ascii="Arial" w:cs="Arial" w:eastAsia="Arial" w:hAnsi="Arial"/>
                <w:sz w:val="18"/>
                <w:szCs w:val="18"/>
                <w:color w:val="auto"/>
              </w:rPr>
              <w:t>Fair value adjustments from purchase accounting</w:t>
            </w:r>
          </w:p>
        </w:tc>
        <w:tc>
          <w:tcPr>
            <w:tcW w:w="2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2,293</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2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1,714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7,466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6,265</w:t>
            </w:r>
          </w:p>
        </w:tc>
        <w:tc>
          <w:tcPr>
            <w:tcW w:w="0" w:type="dxa"/>
            <w:vAlign w:val="bottom"/>
          </w:tcPr>
          <w:p>
            <w:pPr>
              <w:spacing w:after="0"/>
              <w:rPr>
                <w:sz w:val="1"/>
                <w:szCs w:val="1"/>
                <w:color w:val="auto"/>
              </w:rPr>
            </w:pPr>
          </w:p>
        </w:tc>
      </w:tr>
      <w:tr>
        <w:trPr>
          <w:trHeight w:val="237"/>
        </w:trPr>
        <w:tc>
          <w:tcPr>
            <w:tcW w:w="478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220" w:type="dxa"/>
            <w:vAlign w:val="bottom"/>
          </w:tcPr>
          <w:p>
            <w:pPr>
              <w:spacing w:after="0"/>
              <w:rPr>
                <w:sz w:val="20"/>
                <w:szCs w:val="20"/>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7,663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5,242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16,374</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7,888</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220" w:type="dxa"/>
            <w:vAlign w:val="bottom"/>
            <w:vMerge w:val="restart"/>
          </w:tcPr>
          <w:p>
            <w:pPr>
              <w:jc w:val="right"/>
              <w:ind w:right="1110"/>
              <w:spacing w:after="0"/>
              <w:rPr>
                <w:sz w:val="20"/>
                <w:szCs w:val="20"/>
                <w:color w:val="auto"/>
              </w:rPr>
            </w:pPr>
            <w:r>
              <w:rPr>
                <w:rFonts w:ascii="Arial" w:cs="Arial" w:eastAsia="Arial" w:hAnsi="Arial"/>
                <w:sz w:val="18"/>
                <w:szCs w:val="18"/>
                <w:color w:val="auto"/>
              </w:rPr>
              <w:t>14</w:t>
            </w: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22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8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6" w:right="239" w:bottom="1440" w:gutter="0" w:footer="0" w:header="0"/>
        </w:sectPr>
      </w:pPr>
    </w:p>
    <w:bookmarkStart w:id="14" w:name="page15"/>
    <w:bookmarkEnd w:id="14"/>
    <w:p>
      <w:pPr>
        <w:ind w:left="440"/>
        <w:spacing w:after="0"/>
        <w:rPr>
          <w:sz w:val="20"/>
          <w:szCs w:val="20"/>
          <w:color w:val="auto"/>
        </w:rPr>
      </w:pPr>
      <w:r>
        <w:rPr>
          <w:rFonts w:ascii="Arial" w:cs="Arial" w:eastAsia="Arial" w:hAnsi="Arial"/>
          <w:sz w:val="18"/>
          <w:szCs w:val="18"/>
          <w:color w:val="auto"/>
        </w:rPr>
        <w:t>The geographic distribution of the Company’s revenues is summarized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gridSpan w:val="2"/>
          </w:tcPr>
          <w:p>
            <w:pPr>
              <w:ind w:left="200"/>
              <w:spacing w:after="0"/>
              <w:rPr>
                <w:sz w:val="20"/>
                <w:szCs w:val="20"/>
                <w:color w:val="auto"/>
              </w:rPr>
            </w:pPr>
            <w:r>
              <w:rPr>
                <w:rFonts w:ascii="Arial" w:cs="Arial" w:eastAsia="Arial" w:hAnsi="Arial"/>
                <w:sz w:val="14"/>
                <w:szCs w:val="14"/>
                <w:b w:val="1"/>
                <w:bCs w:val="1"/>
                <w:color w:val="auto"/>
              </w:rPr>
              <w:t>US</w:t>
            </w:r>
          </w:p>
        </w:tc>
        <w:tc>
          <w:tcPr>
            <w:tcW w:w="260" w:type="dxa"/>
            <w:vAlign w:val="bottom"/>
          </w:tcPr>
          <w:p>
            <w:pPr>
              <w:spacing w:after="0"/>
              <w:rPr>
                <w:sz w:val="16"/>
                <w:szCs w:val="16"/>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Europe</w:t>
            </w:r>
          </w:p>
        </w:tc>
        <w:tc>
          <w:tcPr>
            <w:tcW w:w="18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Asia Pacific</w:t>
            </w:r>
          </w:p>
        </w:tc>
        <w:tc>
          <w:tcPr>
            <w:tcW w:w="18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6"/>
                <w:szCs w:val="16"/>
                <w:color w:val="auto"/>
              </w:rPr>
            </w:pPr>
          </w:p>
        </w:tc>
        <w:tc>
          <w:tcPr>
            <w:tcW w:w="960" w:type="dxa"/>
            <w:vAlign w:val="bottom"/>
          </w:tcPr>
          <w:p>
            <w:pPr>
              <w:jc w:val="right"/>
              <w:ind w:right="391"/>
              <w:spacing w:after="0"/>
              <w:rPr>
                <w:sz w:val="20"/>
                <w:szCs w:val="20"/>
                <w:color w:val="auto"/>
              </w:rPr>
            </w:pPr>
            <w:r>
              <w:rPr>
                <w:rFonts w:ascii="Arial" w:cs="Arial" w:eastAsia="Arial" w:hAnsi="Arial"/>
                <w:sz w:val="14"/>
                <w:szCs w:val="14"/>
                <w:b w:val="1"/>
                <w:bCs w:val="1"/>
                <w:color w:val="auto"/>
              </w:rPr>
              <w:t>Total</w:t>
            </w:r>
          </w:p>
        </w:tc>
      </w:tr>
      <w:tr>
        <w:trPr>
          <w:trHeight w:val="20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THREE MONTHS ENDED</w:t>
            </w:r>
          </w:p>
        </w:tc>
        <w:tc>
          <w:tcPr>
            <w:tcW w:w="3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r>
      <w:tr>
        <w:trPr>
          <w:trHeight w:val="21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MARCH 31, 2014</w:t>
            </w:r>
          </w:p>
        </w:tc>
        <w:tc>
          <w:tcPr>
            <w:tcW w:w="3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 to unaffiliated customers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52,715</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1,028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1,757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55,500</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Inter-geographic revenues</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54,118</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2,093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1,757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55,500</w:t>
            </w:r>
          </w:p>
        </w:tc>
      </w:tr>
      <w:tr>
        <w:trPr>
          <w:trHeight w:val="67"/>
        </w:trPr>
        <w:tc>
          <w:tcPr>
            <w:tcW w:w="47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173"/>
        </w:trPr>
        <w:tc>
          <w:tcPr>
            <w:tcW w:w="4700" w:type="dxa"/>
            <w:vAlign w:val="bottom"/>
            <w:shd w:val="clear" w:color="auto" w:fill="CCEEFF"/>
          </w:tcPr>
          <w:p>
            <w:pPr>
              <w:ind w:left="40"/>
              <w:spacing w:after="0" w:line="174" w:lineRule="exact"/>
              <w:rPr>
                <w:sz w:val="20"/>
                <w:szCs w:val="20"/>
                <w:color w:val="auto"/>
              </w:rPr>
            </w:pPr>
            <w:r>
              <w:rPr>
                <w:rFonts w:ascii="Arial" w:cs="Arial" w:eastAsia="Arial" w:hAnsi="Arial"/>
                <w:sz w:val="16"/>
                <w:szCs w:val="16"/>
                <w:color w:val="auto"/>
              </w:rPr>
              <w:t>THREE MONTHS ENDED</w:t>
            </w: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1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MARCH 31, 2013</w:t>
            </w:r>
          </w:p>
        </w:tc>
        <w:tc>
          <w:tcPr>
            <w:tcW w:w="3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 to unaffiliated customers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50,708</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1,144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2,271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54,123</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Inter-geographic revenues</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53,021</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1,247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2,274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54,123</w:t>
            </w:r>
          </w:p>
        </w:tc>
      </w:tr>
      <w:tr>
        <w:trPr>
          <w:trHeight w:val="67"/>
        </w:trPr>
        <w:tc>
          <w:tcPr>
            <w:tcW w:w="47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182"/>
        </w:trPr>
        <w:tc>
          <w:tcPr>
            <w:tcW w:w="470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rPr>
              <w:t>NINE MONTHS ENDED</w:t>
            </w: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31, 2014</w:t>
            </w: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 to unaffiliated customers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157,893</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1,987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2,650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162,530</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Inter-geographic revenues</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160,794</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3,256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2,790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(4,310)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162,530</w:t>
            </w:r>
          </w:p>
        </w:tc>
      </w:tr>
      <w:tr>
        <w:trPr>
          <w:trHeight w:val="67"/>
        </w:trPr>
        <w:tc>
          <w:tcPr>
            <w:tcW w:w="47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182"/>
        </w:trPr>
        <w:tc>
          <w:tcPr>
            <w:tcW w:w="470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rPr>
              <w:t>NINE MONTHS ENDED</w:t>
            </w: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31, 2013</w:t>
            </w: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 to unaffiliated customers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144,296</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2,572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6,487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153,355</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Inter-geographic revenues</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6,240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150,536</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2,862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6,534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(6,577)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153,355</w:t>
            </w:r>
          </w:p>
        </w:tc>
      </w:tr>
      <w:tr>
        <w:trPr>
          <w:trHeight w:val="27"/>
        </w:trPr>
        <w:tc>
          <w:tcPr>
            <w:tcW w:w="4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Foreign revenue is based on the country in which the Company’s legal subsidiary is domiciled.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geographic distribution of the Company’s long-lived assets is summarized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U.S.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Europe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Asia Pacific</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Eliminations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Total</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31, 2014</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15,191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15,226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June 30, 2013</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14,986</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15,019</w:t>
            </w: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Identifiable long-lived assets exclude goodwill and intangible assets.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Customers comprising 10% or more of the Company’s revenues for the periods shown below are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80" w:type="dxa"/>
            <w:vAlign w:val="bottom"/>
          </w:tcPr>
          <w:p>
            <w:pPr>
              <w:spacing w:after="0"/>
              <w:rPr>
                <w:sz w:val="16"/>
                <w:szCs w:val="16"/>
                <w:color w:val="auto"/>
              </w:rPr>
            </w:pPr>
          </w:p>
        </w:tc>
        <w:tc>
          <w:tcPr>
            <w:tcW w:w="2380" w:type="dxa"/>
            <w:vAlign w:val="bottom"/>
            <w:gridSpan w:val="4"/>
          </w:tcPr>
          <w:p>
            <w:pPr>
              <w:ind w:left="160"/>
              <w:spacing w:after="0"/>
              <w:rPr>
                <w:sz w:val="20"/>
                <w:szCs w:val="20"/>
                <w:color w:val="auto"/>
              </w:rPr>
            </w:pPr>
            <w:r>
              <w:rPr>
                <w:rFonts w:ascii="Arial" w:cs="Arial" w:eastAsia="Arial" w:hAnsi="Arial"/>
                <w:sz w:val="14"/>
                <w:szCs w:val="14"/>
                <w:b w:val="1"/>
                <w:bCs w:val="1"/>
                <w:color w:val="auto"/>
              </w:rPr>
              <w:t>Three Months Ended March 31,</w:t>
            </w:r>
          </w:p>
        </w:tc>
        <w:tc>
          <w:tcPr>
            <w:tcW w:w="2260" w:type="dxa"/>
            <w:vAlign w:val="bottom"/>
            <w:gridSpan w:val="3"/>
          </w:tcPr>
          <w:p>
            <w:pPr>
              <w:jc w:val="right"/>
              <w:ind w:right="94"/>
              <w:spacing w:after="0"/>
              <w:rPr>
                <w:sz w:val="20"/>
                <w:szCs w:val="20"/>
                <w:color w:val="auto"/>
              </w:rPr>
            </w:pPr>
            <w:r>
              <w:rPr>
                <w:rFonts w:ascii="Arial" w:cs="Arial" w:eastAsia="Arial" w:hAnsi="Arial"/>
                <w:sz w:val="14"/>
                <w:szCs w:val="14"/>
                <w:b w:val="1"/>
                <w:bCs w:val="1"/>
                <w:color w:val="auto"/>
              </w:rPr>
              <w:t>Nine Months Ended March 31,</w:t>
            </w:r>
          </w:p>
        </w:tc>
      </w:tr>
      <w:tr>
        <w:trPr>
          <w:trHeight w:val="264"/>
        </w:trPr>
        <w:tc>
          <w:tcPr>
            <w:tcW w:w="6780" w:type="dxa"/>
            <w:vAlign w:val="bottom"/>
            <w:tcBorders>
              <w:bottom w:val="single" w:sz="8" w:color="CCEEFF"/>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2013</w:t>
            </w:r>
          </w:p>
        </w:tc>
      </w:tr>
      <w:tr>
        <w:trPr>
          <w:trHeight w:val="25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Lockheed Martin Corporation</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color w:val="auto"/>
              </w:rPr>
              <w:t>Northrop Grumman Corporation</w:t>
            </w: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6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Raytheon Company</w:t>
            </w:r>
          </w:p>
        </w:tc>
        <w:tc>
          <w:tcPr>
            <w:tcW w:w="10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7"/>
        </w:trPr>
        <w:tc>
          <w:tcPr>
            <w:tcW w:w="678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67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67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Indicates that the amount is less than 10% of the Company’s revenues for the respective period.</w:t>
      </w:r>
    </w:p>
    <w:p>
      <w:pPr>
        <w:spacing w:after="0" w:line="117"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While the Company typically has customers from which it derives 10% or more of its revenue, the sales to each of these customers are spread across multiple programs and platforms. For the three months ended March 31, 2014 and 2013, only one program, Aegis, individually comprised more than 10% of the Company's revenue at 16% and 15%, respectively. For the nine months ended March 31, 2014, only one program, Aegis, individually comprised more than 10% of the Company's revenue at 16%. For the nine months ended March 31, 2013, no single program comprised 10% or more of the Company's revenue.</w:t>
      </w:r>
    </w:p>
    <w:p>
      <w:pPr>
        <w:sectPr>
          <w:pgSz w:w="11900" w:h="16838" w:orient="portrait"/>
          <w:cols w:equalWidth="0" w:num="1">
            <w:col w:w="11420"/>
          </w:cols>
          <w:pgMar w:left="240" w:top="69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692" w:right="239" w:bottom="1440" w:gutter="0" w:footer="0" w:header="0"/>
          <w:type w:val="continuous"/>
        </w:sectPr>
      </w:pPr>
    </w:p>
    <w:bookmarkStart w:id="15" w:name="page16"/>
    <w:bookmarkEnd w:id="15"/>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Company has evaluated subsequent events from the date of the consolidated balance sheet through the date the consolidated financial statements were issued.</w:t>
      </w:r>
    </w:p>
    <w:p>
      <w:pPr>
        <w:spacing w:after="0" w:line="200" w:lineRule="exact"/>
        <w:rPr>
          <w:sz w:val="20"/>
          <w:szCs w:val="20"/>
          <w:color w:val="auto"/>
        </w:rPr>
      </w:pPr>
    </w:p>
    <w:p>
      <w:pPr>
        <w:spacing w:after="0" w:line="32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80"/>
          </w:cols>
          <w:pgMar w:left="240" w:top="823" w:right="479" w:bottom="1440" w:gutter="0" w:footer="0" w:header="0"/>
        </w:sectPr>
      </w:pPr>
    </w:p>
    <w:bookmarkStart w:id="16" w:name="page17"/>
    <w:bookmarkEnd w:id="16"/>
    <w:p>
      <w:pPr>
        <w:ind w:right="1140"/>
        <w:spacing w:after="0" w:line="378"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ind w:firstLine="432"/>
        <w:spacing w:after="0" w:line="285" w:lineRule="auto"/>
        <w:rPr>
          <w:sz w:val="20"/>
          <w:szCs w:val="20"/>
          <w:color w:val="auto"/>
        </w:rPr>
      </w:pPr>
      <w:r>
        <w:rPr>
          <w:rFonts w:ascii="Arial" w:cs="Arial" w:eastAsia="Arial" w:hAnsi="Arial"/>
          <w:sz w:val="16"/>
          <w:szCs w:val="16"/>
          <w:color w:val="auto"/>
        </w:rPr>
        <w:t>From time to time, information provided, statements made by our employees or information included in our filings with the Securities and Exchange Commission may contain statements that are not historical facts but that are “forward-looking statements,” which involve risks and uncertainties. The words “may,” “will,” “would,” “should,” “could,” “plan,” “expect,” “believe,” “anticipate,” “continue,” “estimate,” “project,” “intend,” “likely,” “forecast,” “probable,” “potential,” and similar expressions are intended to identify forward-looking statements regarding events, conditions and financial trends that may affect our future plans of operations, business strategy, results of operations and financial position. These forward-looking statements, which include those related to our strategic plans, business outlook, and future business and financial performance, involve risks and uncertainties that could cause actual results to differ materially from those projected or anticipated. Such risks and uncertainties include, but are not limited to, continued funding of defense programs, and the timing and amounts of such funding, general economic and business conditions, including unforeseen economic weakness in our markets, effects of continued geo-political unrest and regional conflicts, competition, changes in technology and methods of marketing, delays in completing various engineering and manufacturing programs, changes in customer order patterns, changes in product mix, continued success in technological advances and delivering technological innovations, changes in the U.S. Government’s interpretation of federal procurement rules and regulations, market acceptance of our products, shortages in components, production delays due to performance quality issues with outsourced components, inability to fully realize the expected benefits from acquisitions and restructurings or delays in realizing such benefits, challenges in integrating acquired businesses and achieving anticipated synergies, changes to export regulations, increases in tax rates, changes to generally accepted accounting principles, difficulties in retaining key employees and customers, unanticipated costs under fixed-price service and system integration engagements, and various other factors beyond our control. These risks and uncertainties also include such additional risk factors as set forth under Part I-Item 1A (Risk Factors) in the Company’s Annual Report on Form 10-K for the fiscal year ended June 30, 2013. We caution readers not to place undue reliance upon any such forward-looking statements, which speak only as of the date made. We undertake no obligation to update any forward-looking statement to reflect events or circumstances after the date on which such statement is made.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Mercury Systems, Inc. (the "Company" or "Mercury") provides commercially developed, open sensor and Big Data processing systems, software and services for critical commercial, defense and intelligence applications. We deliver innovative solutions, rapid time-to-value and world-class service and support to our defense prime contractor customers. Our products and solutions have been deployed in more than 300 programs with over 25 different defense prime contractors. Key programs include Aegis, Patriot, Surface Electronic Warfare Improvement Program ("SEWIP"), F-15, Predator and Reaper. We also deliver services and solutions in support of the intelligence community. Mercury operates across a broad spectrum of defense and intelligence programs and we deliver our solutions and services via three operating segments: (i) Mercury Commercial Electronics (“MCE”); (ii) Mercury Defense Systems (“MDS”) and; (iii) Mercury Intelligence Systems (“MIS”).</w:t>
      </w:r>
    </w:p>
    <w:p>
      <w:pPr>
        <w:spacing w:after="0" w:line="81" w:lineRule="exact"/>
        <w:rPr>
          <w:sz w:val="20"/>
          <w:szCs w:val="20"/>
          <w:color w:val="auto"/>
        </w:rPr>
      </w:pPr>
    </w:p>
    <w:p>
      <w:pPr>
        <w:jc w:val="both"/>
        <w:ind w:right="300" w:firstLine="432"/>
        <w:spacing w:after="0" w:line="259" w:lineRule="auto"/>
        <w:rPr>
          <w:sz w:val="20"/>
          <w:szCs w:val="20"/>
          <w:color w:val="auto"/>
        </w:rPr>
      </w:pPr>
      <w:r>
        <w:rPr>
          <w:rFonts w:ascii="Arial" w:cs="Arial" w:eastAsia="Arial" w:hAnsi="Arial"/>
          <w:sz w:val="18"/>
          <w:szCs w:val="18"/>
          <w:color w:val="auto"/>
        </w:rPr>
        <w:t>As of March 31, 2014, we had 683 employees. Our revenue, net loss and adjusted EBITDA for the three month period ended March 31, 2014 were $55.5 million, $(0.6) million, and $7.7 million, respectively. Our revenue, net loss and adjusted EBITDA for the nine month period ended March 31, 2014 were $162.5 million, $(3.9) million, and $16.4 million, respectively. See the Non-GAAP Financial Measures section for a reconciliation of our net loss to adjusted EBITDA.</w:t>
      </w:r>
    </w:p>
    <w:p>
      <w:pPr>
        <w:spacing w:after="0" w:line="79"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Our operations are organized in the following two reportable segments: (i) Mercury Commercial Electronics ("MCE") and (ii) Mercury Defense and Intelligence Systems ("MDIS"). We combined the MDS and MIS businesses as they both entail similar products and services and have a similar customer base. See below for a description of our two reportable segments:</w:t>
      </w:r>
    </w:p>
    <w:p>
      <w:pPr>
        <w:spacing w:after="0" w:line="73"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i w:val="1"/>
          <w:iCs w:val="1"/>
          <w:color w:val="auto"/>
        </w:rPr>
        <w:t xml:space="preserve">Mercury Commercial Electronics, </w:t>
      </w:r>
      <w:r>
        <w:rPr>
          <w:rFonts w:ascii="Arial" w:cs="Arial" w:eastAsia="Arial" w:hAnsi="Arial"/>
          <w:sz w:val="16"/>
          <w:szCs w:val="16"/>
          <w:color w:val="auto"/>
        </w:rPr>
        <w:t>or MCE, delivers innovative, commercially developed, open sensor and Big Data processing systems for critical</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 defense and intelligence applications. We deliver solutions that are secure and based upon open architectures and widely adopted industry standards. MCE's products include, but are not limited to, embedded processing boards, digital receiver boards, chassis-based systems using air, conduction, and proprietary cooling technologies and RF and microwave technologies, including tuners, converters, transceivers, synthesizers, switch filters, and power amplifiers and limiters. We deliver rapid time-to-value and world-class service and support to prime defense contractors and commercial customers. MCE provides solutions to prime contractor customers on a variety of programs. MCE also provides technology building blocks to Mercury Defense Systems on key classified and unclassified programs. MCE has a legacy of embedded multi-computing and embedded sensor processing expertise. More recently, MCE has added substantial capabilities around radio frequency ("RF") and microwave technologies as well as emerging new manufacturing capabilities to bring design, production and test capabilities of our RF and microwave solutions to market on a more scalable basis.</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nine months ended March 31, 2014, MCE accounted for 80% of our total net revenues.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0" w:right="239" w:bottom="1440" w:gutter="0" w:footer="0" w:header="0"/>
        </w:sectPr>
      </w:pPr>
    </w:p>
    <w:bookmarkStart w:id="17" w:name="page18"/>
    <w:bookmarkEnd w:id="17"/>
    <w:p>
      <w:pPr>
        <w:ind w:right="40" w:firstLine="405"/>
        <w:spacing w:after="0" w:line="271" w:lineRule="auto"/>
        <w:rPr>
          <w:sz w:val="20"/>
          <w:szCs w:val="20"/>
          <w:color w:val="auto"/>
        </w:rPr>
      </w:pPr>
      <w:r>
        <w:rPr>
          <w:rFonts w:ascii="Arial" w:cs="Arial" w:eastAsia="Arial" w:hAnsi="Arial"/>
          <w:sz w:val="17"/>
          <w:szCs w:val="17"/>
          <w:i w:val="1"/>
          <w:iCs w:val="1"/>
          <w:color w:val="auto"/>
        </w:rPr>
        <w:t xml:space="preserve">Mercury Defense and Intelligence Systems, </w:t>
      </w:r>
      <w:r>
        <w:rPr>
          <w:rFonts w:ascii="Arial" w:cs="Arial" w:eastAsia="Arial" w:hAnsi="Arial"/>
          <w:sz w:val="17"/>
          <w:szCs w:val="17"/>
          <w:color w:val="auto"/>
        </w:rPr>
        <w:t>or MDIS, leverages the technology building blocks developed within MCE for key solutions required by our</w:t>
      </w:r>
      <w:r>
        <w:rPr>
          <w:rFonts w:ascii="Arial" w:cs="Arial" w:eastAsia="Arial" w:hAnsi="Arial"/>
          <w:sz w:val="17"/>
          <w:szCs w:val="17"/>
          <w:i w:val="1"/>
          <w:iCs w:val="1"/>
          <w:color w:val="auto"/>
        </w:rPr>
        <w:t xml:space="preserve"> </w:t>
      </w:r>
      <w:r>
        <w:rPr>
          <w:rFonts w:ascii="Arial" w:cs="Arial" w:eastAsia="Arial" w:hAnsi="Arial"/>
          <w:sz w:val="17"/>
          <w:szCs w:val="17"/>
          <w:color w:val="auto"/>
        </w:rPr>
        <w:t>prime contractor customers. This segment represents an aggregation of Mercury Defense Systems ("MDS") and Mercury Intelligence Systems ("MIS"). Technology building blocks from MCE are deployed as part of solutions that fall into the areas of electronic warfare ("EW"), electronic counter measures ("ECM"), signals intelligence ("SIGINT"), electro optical/infrared, and radar test and simulation. Most of this work is done with Defense Contract Audit Agency (“DCAA”) oversight on behalf of one or more of our prime contractor customers and U.S. Department of Defense agencies. MDIS's products include, but are not limited to, Digital Radio Frequency Memory ("DRFM") jammers and radar environment simulators. MDIS also provides analyst and systems engineering support, also under DCAA oversight, to the intelligence community. This professional services work falls into the critical areas of Big Data processing, predictive analytics and multi-intelligence analysis.</w:t>
      </w:r>
    </w:p>
    <w:p>
      <w:pPr>
        <w:spacing w:after="0" w:line="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nine months ended March 31, 2014, MDIS accounted for 20% of our total net revenues.</w:t>
      </w:r>
    </w:p>
    <w:p>
      <w:pPr>
        <w:spacing w:after="0" w:line="117"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Since we are an OEM supplier to our commercial markets and conduct much of our business with our defense customers via commercial items, requests by customers are a primary driver of revenue fluctuations from quarter to quarter. Customers specify delivery date requirements that coincide with their need for our products. Because these customers may use our products in connection with a variety of defense programs or other projects of different sizes and durations, a customer’s orders for one quarter generally do not indicate a trend for future orders by that customer. Additionally, order patterns do not necessarily correlate amongst customers and, therefore, we generally cannot identify sequential quarterly trends, even within our business units.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DEVELOPMENTS</w:t>
      </w:r>
    </w:p>
    <w:p>
      <w:pPr>
        <w:spacing w:after="0" w:line="12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On January 27, 2014, the Company announced a restructuring plan that was implemented as part of the final phase of integration activities relating to the Company’s recent acquisitions. The integration plan includes the consolidation of manufacturing facilities, centralization of administrative functions using common systems and processes and realignment of research and development resources. The restructuring plan included the elimination of 61 positions largely in engineering, manufacturing and administrative functions. Additionally, the Company closed its Monroe, Connecticut facility and relocated activities to our Advanced Microelectronics Center ("AMC") in Hudson, New Hampshire. For the third quarter of fiscal 2014, the Company incurred restructuring charges of $3.5 million.</w:t>
      </w:r>
    </w:p>
    <w:p>
      <w:pPr>
        <w:spacing w:after="0" w:line="85"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Future restructuring expenses associated with the integration plan are expected to be approximately $5.4 million, which are expected to be completed by January of 2015. Upon completion, the integration activities are expected to generate $16.0 million in gross annualized expense savings. These restructuring expenses affect both the MCE and MDIS reportable segments.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692"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2014 compared to the three months ended March 31, 2013</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set forth, for the three months periods indicated, financial data from the consolidated statements of operations: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As a % 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8"/>
              </w:rPr>
              <w:t>As a % of</w:t>
            </w:r>
          </w:p>
        </w:tc>
        <w:tc>
          <w:tcPr>
            <w:tcW w:w="0" w:type="dxa"/>
            <w:vAlign w:val="bottom"/>
          </w:tcPr>
          <w:p>
            <w:pPr>
              <w:spacing w:after="0"/>
              <w:rPr>
                <w:sz w:val="1"/>
                <w:szCs w:val="1"/>
                <w:color w:val="auto"/>
              </w:rPr>
            </w:pPr>
          </w:p>
        </w:tc>
      </w:tr>
      <w:tr>
        <w:trPr>
          <w:trHeight w:val="149"/>
        </w:trPr>
        <w:tc>
          <w:tcPr>
            <w:tcW w:w="54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March 31, 2014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Total Net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March 31, 2013</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Total Net</w:t>
            </w:r>
          </w:p>
        </w:tc>
        <w:tc>
          <w:tcPr>
            <w:tcW w:w="0" w:type="dxa"/>
            <w:vAlign w:val="bottom"/>
          </w:tcPr>
          <w:p>
            <w:pPr>
              <w:spacing w:after="0"/>
              <w:rPr>
                <w:sz w:val="1"/>
                <w:szCs w:val="1"/>
                <w:color w:val="auto"/>
              </w:rPr>
            </w:pPr>
          </w:p>
        </w:tc>
      </w:tr>
      <w:tr>
        <w:trPr>
          <w:trHeight w:val="158"/>
        </w:trPr>
        <w:tc>
          <w:tcPr>
            <w:tcW w:w="546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9"/>
              </w:rPr>
              <w:t>Revenue</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4"/>
            <w:vMerge w:val="continue"/>
          </w:tcPr>
          <w:p>
            <w:pPr>
              <w:spacing w:after="0"/>
              <w:rPr>
                <w:sz w:val="13"/>
                <w:szCs w:val="13"/>
                <w:color w:val="auto"/>
              </w:rPr>
            </w:pPr>
          </w:p>
        </w:tc>
        <w:tc>
          <w:tcPr>
            <w:tcW w:w="14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Revenue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55,500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54,123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43"/>
        </w:trPr>
        <w:tc>
          <w:tcPr>
            <w:tcW w:w="5460" w:type="dxa"/>
            <w:vAlign w:val="bottom"/>
            <w:gridSpan w:val="3"/>
          </w:tcPr>
          <w:p>
            <w:pPr>
              <w:ind w:left="40"/>
              <w:spacing w:after="0"/>
              <w:rPr>
                <w:sz w:val="20"/>
                <w:szCs w:val="20"/>
                <w:color w:val="auto"/>
              </w:rPr>
            </w:pPr>
            <w:r>
              <w:rPr>
                <w:rFonts w:ascii="Arial" w:cs="Arial" w:eastAsia="Arial" w:hAnsi="Arial"/>
                <w:sz w:val="18"/>
                <w:szCs w:val="18"/>
                <w:color w:val="auto"/>
              </w:rPr>
              <w:t>Cost of revenues</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30,373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54.7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31,549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Gross margin</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25,127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45.3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22,574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43"/>
        </w:trPr>
        <w:tc>
          <w:tcPr>
            <w:tcW w:w="5460" w:type="dxa"/>
            <w:vAlign w:val="bottom"/>
            <w:gridSpan w:val="3"/>
          </w:tcPr>
          <w:p>
            <w:pPr>
              <w:ind w:left="40"/>
              <w:spacing w:after="0"/>
              <w:rPr>
                <w:sz w:val="20"/>
                <w:szCs w:val="20"/>
                <w:color w:val="auto"/>
              </w:rPr>
            </w:pPr>
            <w:r>
              <w:rPr>
                <w:rFonts w:ascii="Arial" w:cs="Arial" w:eastAsia="Arial" w:hAnsi="Arial"/>
                <w:sz w:val="18"/>
                <w:szCs w:val="18"/>
                <w:color w:val="auto"/>
              </w:rPr>
              <w:t>Operating expenses:</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13,101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23.6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13,918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20" w:type="dxa"/>
            <w:vAlign w:val="bottom"/>
            <w:gridSpan w:val="2"/>
          </w:tcPr>
          <w:p>
            <w:pPr>
              <w:ind w:left="340"/>
              <w:spacing w:after="0"/>
              <w:rPr>
                <w:sz w:val="20"/>
                <w:szCs w:val="20"/>
                <w:color w:val="auto"/>
              </w:rPr>
            </w:pPr>
            <w:r>
              <w:rPr>
                <w:rFonts w:ascii="Arial" w:cs="Arial" w:eastAsia="Arial" w:hAnsi="Arial"/>
                <w:sz w:val="18"/>
                <w:szCs w:val="18"/>
                <w:color w:val="auto"/>
              </w:rPr>
              <w:t>Research and development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8,377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15.1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7,503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3.4</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20" w:type="dxa"/>
            <w:vAlign w:val="bottom"/>
            <w:gridSpan w:val="2"/>
          </w:tcPr>
          <w:p>
            <w:pPr>
              <w:ind w:left="340"/>
              <w:spacing w:after="0"/>
              <w:rPr>
                <w:sz w:val="20"/>
                <w:szCs w:val="20"/>
                <w:color w:val="auto"/>
              </w:rPr>
            </w:pPr>
            <w:r>
              <w:rPr>
                <w:rFonts w:ascii="Arial" w:cs="Arial" w:eastAsia="Arial" w:hAnsi="Arial"/>
                <w:sz w:val="18"/>
                <w:szCs w:val="18"/>
                <w:color w:val="auto"/>
              </w:rPr>
              <w:t>Restructuring and other charges</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3,502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6.3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4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Acquisition costs and other related expenses</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420" w:type="dxa"/>
            <w:vAlign w:val="bottom"/>
            <w:gridSpan w:val="2"/>
          </w:tcPr>
          <w:p>
            <w:pPr>
              <w:ind w:left="680"/>
              <w:spacing w:after="0"/>
              <w:rPr>
                <w:sz w:val="20"/>
                <w:szCs w:val="20"/>
                <w:color w:val="auto"/>
              </w:rPr>
            </w:pPr>
            <w:r>
              <w:rPr>
                <w:rFonts w:ascii="Arial" w:cs="Arial" w:eastAsia="Arial" w:hAnsi="Arial"/>
                <w:sz w:val="18"/>
                <w:szCs w:val="18"/>
                <w:color w:val="auto"/>
              </w:rPr>
              <w:t>Total operating expenses</w:t>
            </w:r>
          </w:p>
        </w:tc>
        <w:tc>
          <w:tcPr>
            <w:tcW w:w="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26,881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48.4</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24,037</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5460" w:type="dxa"/>
            <w:vAlign w:val="bottom"/>
            <w:gridSpan w:val="3"/>
          </w:tcPr>
          <w:p>
            <w:pPr>
              <w:ind w:left="40"/>
              <w:spacing w:after="0"/>
              <w:rPr>
                <w:sz w:val="20"/>
                <w:szCs w:val="20"/>
                <w:color w:val="auto"/>
              </w:rPr>
            </w:pPr>
            <w:r>
              <w:rPr>
                <w:rFonts w:ascii="Arial" w:cs="Arial" w:eastAsia="Arial" w:hAnsi="Arial"/>
                <w:sz w:val="18"/>
                <w:szCs w:val="18"/>
                <w:color w:val="auto"/>
              </w:rPr>
              <w:t>Other income, net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328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0.6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5460" w:type="dxa"/>
            <w:vAlign w:val="bottom"/>
            <w:gridSpan w:val="3"/>
          </w:tcPr>
          <w:p>
            <w:pPr>
              <w:ind w:left="40"/>
              <w:spacing w:after="0"/>
              <w:rPr>
                <w:sz w:val="20"/>
                <w:szCs w:val="20"/>
                <w:color w:val="auto"/>
              </w:rPr>
            </w:pPr>
            <w:r>
              <w:rPr>
                <w:rFonts w:ascii="Arial" w:cs="Arial" w:eastAsia="Arial" w:hAnsi="Arial"/>
                <w:sz w:val="18"/>
                <w:szCs w:val="18"/>
                <w:color w:val="auto"/>
              </w:rPr>
              <w:t>Tax benefit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(2,232)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60" w:type="dxa"/>
            <w:vAlign w:val="bottom"/>
          </w:tcPr>
          <w:p>
            <w:pPr>
              <w:jc w:val="right"/>
              <w:ind w:right="73"/>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EVENUES</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46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4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3"/>
          </w:tcPr>
          <w:p>
            <w:pPr>
              <w:ind w:left="80"/>
              <w:spacing w:after="0"/>
              <w:rPr>
                <w:sz w:val="20"/>
                <w:szCs w:val="20"/>
                <w:color w:val="auto"/>
              </w:rPr>
            </w:pPr>
            <w:r>
              <w:rPr>
                <w:rFonts w:ascii="Arial" w:cs="Arial" w:eastAsia="Arial" w:hAnsi="Arial"/>
                <w:sz w:val="14"/>
                <w:szCs w:val="14"/>
                <w:b w:val="1"/>
                <w:bCs w:val="1"/>
                <w:color w:val="auto"/>
              </w:rPr>
              <w:t>March 31, 2014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March 31, 2013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4"/>
          </w:tcPr>
          <w:p>
            <w:pPr>
              <w:ind w:left="200"/>
              <w:spacing w:after="0"/>
              <w:rPr>
                <w:sz w:val="20"/>
                <w:szCs w:val="20"/>
                <w:color w:val="auto"/>
              </w:rPr>
            </w:pPr>
            <w:r>
              <w:rPr>
                <w:rFonts w:ascii="Arial" w:cs="Arial" w:eastAsia="Arial" w:hAnsi="Arial"/>
                <w:sz w:val="14"/>
                <w:szCs w:val="14"/>
                <w:b w:val="1"/>
                <w:bCs w:val="1"/>
                <w:color w:val="auto"/>
              </w:rPr>
              <w:t>$ Change</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MCE</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43,041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41,222</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43"/>
        </w:trPr>
        <w:tc>
          <w:tcPr>
            <w:tcW w:w="5460" w:type="dxa"/>
            <w:vAlign w:val="bottom"/>
            <w:gridSpan w:val="3"/>
          </w:tcPr>
          <w:p>
            <w:pPr>
              <w:ind w:left="40"/>
              <w:spacing w:after="0"/>
              <w:rPr>
                <w:sz w:val="20"/>
                <w:szCs w:val="20"/>
                <w:color w:val="auto"/>
              </w:rPr>
            </w:pPr>
            <w:r>
              <w:rPr>
                <w:rFonts w:ascii="Arial" w:cs="Arial" w:eastAsia="Arial" w:hAnsi="Arial"/>
                <w:sz w:val="18"/>
                <w:szCs w:val="18"/>
                <w:color w:val="auto"/>
              </w:rPr>
              <w:t>MDIS</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10,991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13,006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(2,015)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1,573</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1,498 %</w:t>
            </w:r>
          </w:p>
        </w:tc>
        <w:tc>
          <w:tcPr>
            <w:tcW w:w="0" w:type="dxa"/>
            <w:vAlign w:val="bottom"/>
          </w:tcPr>
          <w:p>
            <w:pPr>
              <w:spacing w:after="0"/>
              <w:rPr>
                <w:sz w:val="1"/>
                <w:szCs w:val="1"/>
                <w:color w:val="auto"/>
              </w:rPr>
            </w:pPr>
          </w:p>
        </w:tc>
      </w:tr>
      <w:tr>
        <w:trPr>
          <w:trHeight w:val="257"/>
        </w:trPr>
        <w:tc>
          <w:tcPr>
            <w:tcW w:w="5460" w:type="dxa"/>
            <w:vAlign w:val="bottom"/>
            <w:gridSpan w:val="3"/>
          </w:tcPr>
          <w:p>
            <w:pPr>
              <w:ind w:left="40"/>
              <w:spacing w:after="0"/>
              <w:rPr>
                <w:sz w:val="20"/>
                <w:szCs w:val="20"/>
                <w:color w:val="auto"/>
              </w:rPr>
            </w:pPr>
            <w:r>
              <w:rPr>
                <w:rFonts w:ascii="Arial" w:cs="Arial" w:eastAsia="Arial" w:hAnsi="Arial"/>
                <w:sz w:val="18"/>
                <w:szCs w:val="18"/>
                <w:color w:val="auto"/>
              </w:rPr>
              <w:t>Total revenues</w:t>
            </w:r>
          </w:p>
        </w:tc>
        <w:tc>
          <w:tcPr>
            <w:tcW w:w="6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55,500</w:t>
            </w:r>
          </w:p>
        </w:tc>
        <w:tc>
          <w:tcPr>
            <w:tcW w:w="60" w:type="dxa"/>
            <w:vAlign w:val="bottom"/>
            <w:tcBorders>
              <w:top w:val="single" w:sz="8" w:color="auto"/>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54,123</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1,377</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40" w:firstLine="432"/>
        <w:spacing w:after="0" w:line="259" w:lineRule="auto"/>
        <w:rPr>
          <w:sz w:val="20"/>
          <w:szCs w:val="20"/>
          <w:color w:val="auto"/>
        </w:rPr>
      </w:pPr>
      <w:r>
        <w:rPr>
          <w:rFonts w:ascii="Arial" w:cs="Arial" w:eastAsia="Arial" w:hAnsi="Arial"/>
          <w:sz w:val="18"/>
          <w:szCs w:val="18"/>
          <w:color w:val="auto"/>
        </w:rPr>
        <w:t>Total revenues increased $1.4 million, or 3%, to $55.5 million during the three months ended March 31, 2014 as compared to the comparable period in fiscal 2013. This increase was driven by higher defense sales of $1.7 million, partially offset by lower commercial sales of $0.3 million. The increase in total revenues is primarily attributed to higher revenues from a classified airborne program, several unmanned aerial vehicle ("UAV") programs, and the Aegis and Patriot programs.</w:t>
      </w:r>
    </w:p>
    <w:p>
      <w:pPr>
        <w:spacing w:after="0" w:line="79" w:lineRule="exact"/>
        <w:rPr>
          <w:sz w:val="20"/>
          <w:szCs w:val="20"/>
          <w:color w:val="auto"/>
        </w:rPr>
      </w:pPr>
    </w:p>
    <w:p>
      <w:pPr>
        <w:ind w:right="360" w:firstLine="432"/>
        <w:spacing w:after="0" w:line="264" w:lineRule="auto"/>
        <w:rPr>
          <w:sz w:val="20"/>
          <w:szCs w:val="20"/>
          <w:color w:val="auto"/>
        </w:rPr>
      </w:pPr>
      <w:r>
        <w:rPr>
          <w:rFonts w:ascii="Arial" w:cs="Arial" w:eastAsia="Arial" w:hAnsi="Arial"/>
          <w:sz w:val="18"/>
          <w:szCs w:val="18"/>
          <w:color w:val="auto"/>
        </w:rPr>
        <w:t>Net MCE revenues increased $1.8 million, or 4%, during the three months ended March 31, 2014 as compared to the same period in the prior fiscal year. This increase was primarily driven by higher defense sales of $2.1 million related to increases from a classified airborne program, several UAV programs and the Aegis program, partially offset by a $0.3 million decrease in commercial sales.</w:t>
      </w:r>
    </w:p>
    <w:p>
      <w:pPr>
        <w:spacing w:after="0" w:line="73" w:lineRule="exact"/>
        <w:rPr>
          <w:sz w:val="20"/>
          <w:szCs w:val="20"/>
          <w:color w:val="auto"/>
        </w:rPr>
      </w:pPr>
    </w:p>
    <w:p>
      <w:pPr>
        <w:ind w:right="260" w:firstLine="432"/>
        <w:spacing w:after="0" w:line="342" w:lineRule="auto"/>
        <w:rPr>
          <w:sz w:val="20"/>
          <w:szCs w:val="20"/>
          <w:color w:val="auto"/>
        </w:rPr>
      </w:pPr>
      <w:r>
        <w:rPr>
          <w:rFonts w:ascii="Arial" w:cs="Arial" w:eastAsia="Arial" w:hAnsi="Arial"/>
          <w:sz w:val="16"/>
          <w:szCs w:val="16"/>
          <w:color w:val="auto"/>
        </w:rPr>
        <w:t>Net MDIS revenues decreased $2.0 million, or 15%, during the three months ended March 31, 2014 as compared to the same period in the previous fiscal year. This decrease was primarily driven by lower revenues related to a DRFM jammer program and lower revenues due to customer funding delays.</w:t>
      </w:r>
    </w:p>
    <w:p>
      <w:pPr>
        <w:spacing w:after="0" w:line="16"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Eliminations revenue is attributable to development programs where the revenue is recognized in each segment under contract accounting, and reflects the reconciliation to our consolidated results.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148"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ROSS</w:t>
      </w:r>
      <w:r>
        <w:rPr>
          <w:rFonts w:ascii="Arial" w:cs="Arial" w:eastAsia="Arial" w:hAnsi="Arial"/>
          <w:sz w:val="18"/>
          <w:szCs w:val="18"/>
          <w:color w:val="auto"/>
        </w:rPr>
        <w:t xml:space="preserve"> M</w:t>
      </w:r>
      <w:r>
        <w:rPr>
          <w:rFonts w:ascii="Arial" w:cs="Arial" w:eastAsia="Arial" w:hAnsi="Arial"/>
          <w:sz w:val="14"/>
          <w:szCs w:val="14"/>
          <w:color w:val="auto"/>
        </w:rPr>
        <w:t>ARGIN</w:t>
      </w:r>
    </w:p>
    <w:p>
      <w:pPr>
        <w:spacing w:after="0" w:line="131"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Gross margin was 45% for the three months ended March 31, 2014, as compared to 42% gross margin achieved during the same period in fiscal 2013. The higher gross margin between years was due to a more favorable product mix, primarily driven by a recovery in our higher margin digital signal processing business within MCE.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ELLING</w:t>
      </w:r>
      <w:r>
        <w:rPr>
          <w:rFonts w:ascii="Arial" w:cs="Arial" w:eastAsia="Arial" w:hAnsi="Arial"/>
          <w:sz w:val="18"/>
          <w:szCs w:val="18"/>
          <w:color w:val="auto"/>
        </w:rPr>
        <w:t>, G</w:t>
      </w:r>
      <w:r>
        <w:rPr>
          <w:rFonts w:ascii="Arial" w:cs="Arial" w:eastAsia="Arial" w:hAnsi="Arial"/>
          <w:sz w:val="14"/>
          <w:szCs w:val="14"/>
          <w:color w:val="auto"/>
        </w:rPr>
        <w:t>ENERAL AND</w:t>
      </w:r>
      <w:r>
        <w:rPr>
          <w:rFonts w:ascii="Arial" w:cs="Arial" w:eastAsia="Arial" w:hAnsi="Arial"/>
          <w:sz w:val="18"/>
          <w:szCs w:val="18"/>
          <w:color w:val="auto"/>
        </w:rPr>
        <w:t xml:space="preserve"> A</w:t>
      </w:r>
      <w:r>
        <w:rPr>
          <w:rFonts w:ascii="Arial" w:cs="Arial" w:eastAsia="Arial" w:hAnsi="Arial"/>
          <w:sz w:val="14"/>
          <w:szCs w:val="14"/>
          <w:color w:val="auto"/>
        </w:rPr>
        <w:t>DMINISTRATIVE</w:t>
      </w:r>
    </w:p>
    <w:p>
      <w:pPr>
        <w:spacing w:after="0" w:line="131"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Selling, general and administrative expenses decreased $0.8 million, or 6%, to $13.1 million during the three months ended March 31, 2014, compared to $13.9 million during the comparable period in fiscal 2013. The decrease was primarily due to lower compensation expense as a result of the reduction in force during the three months ended March 31, 2014. Selling, general and administrative expenses decreased as a percentage of revenues to 23.6% during the three months ended March 31, 2014 from 25.7% during the same period in fiscal 2013 due to higher revenues in the third quarter of fiscal 2014 and overall expense reductions, as compared to the comparable period in fiscal 2013.</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ESEARCH AND</w:t>
      </w:r>
      <w:r>
        <w:rPr>
          <w:rFonts w:ascii="Arial" w:cs="Arial" w:eastAsia="Arial" w:hAnsi="Arial"/>
          <w:sz w:val="18"/>
          <w:szCs w:val="18"/>
          <w:color w:val="auto"/>
        </w:rPr>
        <w:t xml:space="preserve"> D</w:t>
      </w:r>
      <w:r>
        <w:rPr>
          <w:rFonts w:ascii="Arial" w:cs="Arial" w:eastAsia="Arial" w:hAnsi="Arial"/>
          <w:sz w:val="14"/>
          <w:szCs w:val="14"/>
          <w:color w:val="auto"/>
        </w:rPr>
        <w:t>EVELOPMENT</w:t>
      </w:r>
    </w:p>
    <w:p>
      <w:pPr>
        <w:spacing w:after="0" w:line="131"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Research and development expenses increased $0.9 million, or 12%, to $8.4 million during the three months ended March 31, 2014, compared to $7.5 million during the comparable period in fiscal 2013. The increase was primarily due to lower customer funded development and higher headcount between years.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MORTIZATION OF</w:t>
      </w:r>
      <w:r>
        <w:rPr>
          <w:rFonts w:ascii="Arial" w:cs="Arial" w:eastAsia="Arial" w:hAnsi="Arial"/>
          <w:sz w:val="18"/>
          <w:szCs w:val="18"/>
          <w:color w:val="auto"/>
        </w:rPr>
        <w:t xml:space="preserve"> I</w:t>
      </w:r>
      <w:r>
        <w:rPr>
          <w:rFonts w:ascii="Arial" w:cs="Arial" w:eastAsia="Arial" w:hAnsi="Arial"/>
          <w:sz w:val="14"/>
          <w:szCs w:val="14"/>
          <w:color w:val="auto"/>
        </w:rPr>
        <w:t>NTANGIBLE</w:t>
      </w:r>
      <w:r>
        <w:rPr>
          <w:rFonts w:ascii="Arial" w:cs="Arial" w:eastAsia="Arial" w:hAnsi="Arial"/>
          <w:sz w:val="18"/>
          <w:szCs w:val="18"/>
          <w:color w:val="auto"/>
        </w:rPr>
        <w:t xml:space="preserve"> A</w:t>
      </w:r>
      <w:r>
        <w:rPr>
          <w:rFonts w:ascii="Arial" w:cs="Arial" w:eastAsia="Arial" w:hAnsi="Arial"/>
          <w:sz w:val="14"/>
          <w:szCs w:val="14"/>
          <w:color w:val="auto"/>
        </w:rPr>
        <w:t>SSETS</w:t>
      </w:r>
    </w:p>
    <w:p>
      <w:pPr>
        <w:spacing w:after="0" w:line="131"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Amortization of acquired intangible assets decreased $0.5 million, to $1.9 million for the three months ended March 31, 2014 as compared to $2.4 million during the comparable period in fiscal 2013, primarily due to a portion of the Micronetics related intangible assets being fully amortized during the first quarter of fiscal 2014.</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ESTRUCTURING</w:t>
      </w:r>
      <w:r>
        <w:rPr>
          <w:rFonts w:ascii="Arial" w:cs="Arial" w:eastAsia="Arial" w:hAnsi="Arial"/>
          <w:sz w:val="18"/>
          <w:szCs w:val="18"/>
          <w:color w:val="auto"/>
        </w:rPr>
        <w:t xml:space="preserve"> E</w:t>
      </w:r>
      <w:r>
        <w:rPr>
          <w:rFonts w:ascii="Arial" w:cs="Arial" w:eastAsia="Arial" w:hAnsi="Arial"/>
          <w:sz w:val="14"/>
          <w:szCs w:val="14"/>
          <w:color w:val="auto"/>
        </w:rPr>
        <w:t>XPENSE</w:t>
      </w:r>
    </w:p>
    <w:p>
      <w:pPr>
        <w:spacing w:after="0" w:line="131"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Restructuring and other charges increased $3.3 million, to $3.5 million for the three months ended March 31, 2014, as compared to $0.2 million during the comparable period in fiscal 2013. On January 27, 2014, we implemented part of the final phase of integration activities relating to our recent acquisitions. The integration plan includes the consolidation of manufacturing facilities, centralization of administrative functions using common information systems and processes and realignment of research and development resources. The restructuring plan included the elimination of 61 positions largely in administrative, manufacturing and engineering functions. Additionally, we closed our Monroe, Connecticut facility and transferred its operations to our AMC in Hudson, New Hampshire. The $0.2 million of restructuring expense recorded during the three months ended March 31, 2013 was primarily attributed to charges for facility space idled during the period.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I</w:t>
      </w:r>
      <w:r>
        <w:rPr>
          <w:rFonts w:ascii="Arial" w:cs="Arial" w:eastAsia="Arial" w:hAnsi="Arial"/>
          <w:sz w:val="14"/>
          <w:szCs w:val="14"/>
          <w:color w:val="auto"/>
        </w:rPr>
        <w:t>NCOME</w:t>
      </w:r>
      <w:r>
        <w:rPr>
          <w:rFonts w:ascii="Arial" w:cs="Arial" w:eastAsia="Arial" w:hAnsi="Arial"/>
          <w:sz w:val="18"/>
          <w:szCs w:val="18"/>
          <w:color w:val="auto"/>
        </w:rPr>
        <w:t>, N</w:t>
      </w:r>
      <w:r>
        <w:rPr>
          <w:rFonts w:ascii="Arial" w:cs="Arial" w:eastAsia="Arial" w:hAnsi="Arial"/>
          <w:sz w:val="14"/>
          <w:szCs w:val="14"/>
          <w:color w:val="auto"/>
        </w:rPr>
        <w:t>ET</w:t>
      </w:r>
    </w:p>
    <w:p>
      <w:pPr>
        <w:spacing w:after="0" w:line="13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Other income, net increased to $0.3 million during the three months ended March 31, 2014, as compared to less than $0.1 million for the same period in fiscal 2013. The increase was a result of foreign currency exchange gains during fiscal 2014 compared to losses during fiscal 2013 primarily driven by changes in the Japanese yen versus the U.S. dollar. Other income, net for the three months ended March 31, 2014 and 2013, also includes $0.3 million related to the amortization of the gain on the sale leaseback of our corporate headquarters located in Chelmsford, Massachusetts. Interest income and interest expense were de minimis.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NCOME</w:t>
      </w:r>
      <w:r>
        <w:rPr>
          <w:rFonts w:ascii="Arial" w:cs="Arial" w:eastAsia="Arial" w:hAnsi="Arial"/>
          <w:sz w:val="18"/>
          <w:szCs w:val="18"/>
          <w:color w:val="auto"/>
        </w:rPr>
        <w:t xml:space="preserve"> T</w:t>
      </w:r>
      <w:r>
        <w:rPr>
          <w:rFonts w:ascii="Arial" w:cs="Arial" w:eastAsia="Arial" w:hAnsi="Arial"/>
          <w:sz w:val="14"/>
          <w:szCs w:val="14"/>
          <w:color w:val="auto"/>
        </w:rPr>
        <w:t>AXES</w:t>
      </w:r>
    </w:p>
    <w:p>
      <w:pPr>
        <w:spacing w:after="0" w:line="131"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We recorded an income tax benefit of $0.8 million during the three months ended March 31, 2014 as compared to a $2.2 million income tax benefit for the comparable period in the prior fiscal year. Our income tax benefit for the three months ended March 31, 2014 differed from the federal statutory tax rate of 35% primarily due to the impact of federal research and development tax credits, Section 199 manufacturing deduction and stock compensation. Our effective tax rate during the comparable period in fiscal 2013 also differed from the federal statutory rate primarily due to the impact of the federal research and development tax credits including $1.7 million as a result of the retroactive extension of these research and development tax credits in that period. Due to the reversal of temporary differences in fiscal 2014, we expect to be in a taxable income position and pay taxes during fiscal year 2014.</w:t>
      </w:r>
    </w:p>
    <w:p>
      <w:pPr>
        <w:spacing w:after="0" w:line="5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As of March 31, 2014, we had approximately $8.6 million in net deferred tax assets. Each quarter, we determine the probability of realizing these assets, using significant judgments and estimates with respect to historical operating results, expectations of future earnings, tax planning strategies and other matters. If we determine in the future that there is not sufficient positive evidence to support the valuation of these assets, we may be required to adjust the valuation allowance accordingly. We have concluded that no valuation allowance should be recorded against our net federal deferred tax assets at March 31, 2014.</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46"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EGMENT</w:t>
      </w:r>
      <w:r>
        <w:rPr>
          <w:rFonts w:ascii="Arial" w:cs="Arial" w:eastAsia="Arial" w:hAnsi="Arial"/>
          <w:sz w:val="18"/>
          <w:szCs w:val="18"/>
          <w:color w:val="auto"/>
        </w:rPr>
        <w:t xml:space="preserve"> O</w:t>
      </w:r>
      <w:r>
        <w:rPr>
          <w:rFonts w:ascii="Arial" w:cs="Arial" w:eastAsia="Arial" w:hAnsi="Arial"/>
          <w:sz w:val="14"/>
          <w:szCs w:val="14"/>
          <w:color w:val="auto"/>
        </w:rPr>
        <w:t>PERATING</w:t>
      </w:r>
      <w:r>
        <w:rPr>
          <w:rFonts w:ascii="Arial" w:cs="Arial" w:eastAsia="Arial" w:hAnsi="Arial"/>
          <w:sz w:val="18"/>
          <w:szCs w:val="18"/>
          <w:color w:val="auto"/>
        </w:rPr>
        <w:t xml:space="preserve"> R</w:t>
      </w:r>
      <w:r>
        <w:rPr>
          <w:rFonts w:ascii="Arial" w:cs="Arial" w:eastAsia="Arial" w:hAnsi="Arial"/>
          <w:sz w:val="14"/>
          <w:szCs w:val="14"/>
          <w:color w:val="auto"/>
        </w:rPr>
        <w:t>ESULTS</w:t>
      </w:r>
    </w:p>
    <w:p>
      <w:pPr>
        <w:spacing w:after="0" w:line="131" w:lineRule="exact"/>
        <w:rPr>
          <w:sz w:val="20"/>
          <w:szCs w:val="20"/>
          <w:color w:val="auto"/>
        </w:rPr>
      </w:pPr>
    </w:p>
    <w:p>
      <w:pPr>
        <w:ind w:right="200" w:firstLine="432"/>
        <w:spacing w:after="0" w:line="286" w:lineRule="auto"/>
        <w:rPr>
          <w:sz w:val="20"/>
          <w:szCs w:val="20"/>
          <w:color w:val="auto"/>
        </w:rPr>
      </w:pPr>
      <w:r>
        <w:rPr>
          <w:rFonts w:ascii="Arial" w:cs="Arial" w:eastAsia="Arial" w:hAnsi="Arial"/>
          <w:sz w:val="17"/>
          <w:szCs w:val="17"/>
          <w:color w:val="auto"/>
        </w:rPr>
        <w:t>We use adjusted EBITDA as the profitability measure for our segment reporting. Adjusted EBITDA for MCE increased $3.5 million during the three months ended March 31, 2014 to $6.8 million as compared to $3.3 million for the comparable period in fiscal 2013. The increase in adjusted EBITDA is driven by higher revenues of $1.8 million primarily from defense programs, coupled with higher gross margins.</w:t>
      </w:r>
    </w:p>
    <w:p>
      <w:pPr>
        <w:spacing w:after="0" w:line="5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Adjusted EBITDA for MDIS decreased $0.8 million during the three months ended March 31, 2014 to $1.1 million as compared to $1.9 million for the comparable period in fiscal 2013. The decrease in adjusted EBITDA was primarily due to lower revenues from a DRFM jammer program and lower revenues due to customer funding delays.</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K to our consolidated financial statements included in this report for more information regarding our operating segments.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March 31, 2014 compared to the nine months ended March 31, 2013</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set forth, for the nine months periods indicated, financial data from the consolidated statements of operations:</w:t>
      </w:r>
    </w:p>
    <w:p>
      <w:pPr>
        <w:spacing w:after="0" w:line="366"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As a % of</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5"/>
              </w:rPr>
              <w:t>As a % of</w:t>
            </w:r>
          </w:p>
        </w:tc>
        <w:tc>
          <w:tcPr>
            <w:tcW w:w="0" w:type="dxa"/>
            <w:vAlign w:val="bottom"/>
          </w:tcPr>
          <w:p>
            <w:pPr>
              <w:spacing w:after="0"/>
              <w:rPr>
                <w:sz w:val="1"/>
                <w:szCs w:val="1"/>
                <w:color w:val="auto"/>
              </w:rPr>
            </w:pPr>
          </w:p>
        </w:tc>
      </w:tr>
      <w:tr>
        <w:trPr>
          <w:trHeight w:val="149"/>
        </w:trPr>
        <w:tc>
          <w:tcPr>
            <w:tcW w:w="45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March 31, 2014</w:t>
            </w: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Total Net</w:t>
            </w:r>
          </w:p>
        </w:tc>
        <w:tc>
          <w:tcPr>
            <w:tcW w:w="11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March 31, 2013</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Total Net</w:t>
            </w:r>
          </w:p>
        </w:tc>
        <w:tc>
          <w:tcPr>
            <w:tcW w:w="0" w:type="dxa"/>
            <w:vAlign w:val="bottom"/>
          </w:tcPr>
          <w:p>
            <w:pPr>
              <w:spacing w:after="0"/>
              <w:rPr>
                <w:sz w:val="1"/>
                <w:szCs w:val="1"/>
                <w:color w:val="auto"/>
              </w:rPr>
            </w:pPr>
          </w:p>
        </w:tc>
      </w:tr>
      <w:tr>
        <w:trPr>
          <w:trHeight w:val="158"/>
        </w:trPr>
        <w:tc>
          <w:tcPr>
            <w:tcW w:w="4580" w:type="dxa"/>
            <w:vAlign w:val="bottom"/>
            <w:gridSpan w:val="3"/>
            <w:vMerge w:val="continue"/>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12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2"/>
              </w:rPr>
              <w:t>Revenue</w:t>
            </w:r>
          </w:p>
        </w:tc>
        <w:tc>
          <w:tcPr>
            <w:tcW w:w="1180" w:type="dxa"/>
            <w:vAlign w:val="bottom"/>
            <w:gridSpan w:val="3"/>
            <w:vMerge w:val="continue"/>
          </w:tcPr>
          <w:p>
            <w:pPr>
              <w:spacing w:after="0"/>
              <w:rPr>
                <w:sz w:val="13"/>
                <w:szCs w:val="13"/>
                <w:color w:val="auto"/>
              </w:rPr>
            </w:pPr>
          </w:p>
        </w:tc>
        <w:tc>
          <w:tcPr>
            <w:tcW w:w="10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Revenue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CCEEFF"/>
            </w:tcBorders>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162,530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153,355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43"/>
        </w:trPr>
        <w:tc>
          <w:tcPr>
            <w:tcW w:w="4580" w:type="dxa"/>
            <w:vAlign w:val="bottom"/>
            <w:gridSpan w:val="3"/>
          </w:tcPr>
          <w:p>
            <w:pPr>
              <w:ind w:left="20"/>
              <w:spacing w:after="0"/>
              <w:rPr>
                <w:sz w:val="20"/>
                <w:szCs w:val="20"/>
                <w:color w:val="auto"/>
              </w:rPr>
            </w:pPr>
            <w:r>
              <w:rPr>
                <w:rFonts w:ascii="Arial" w:cs="Arial" w:eastAsia="Arial" w:hAnsi="Arial"/>
                <w:sz w:val="18"/>
                <w:szCs w:val="18"/>
                <w:color w:val="auto"/>
              </w:rPr>
              <w:t>Cost of revenues</w:t>
            </w: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89,880</w:t>
            </w:r>
          </w:p>
        </w:tc>
        <w:tc>
          <w:tcPr>
            <w:tcW w:w="100" w:type="dxa"/>
            <w:vAlign w:val="bottom"/>
          </w:tcPr>
          <w:p>
            <w:pPr>
              <w:spacing w:after="0"/>
              <w:rPr>
                <w:sz w:val="21"/>
                <w:szCs w:val="21"/>
                <w:color w:val="auto"/>
              </w:rPr>
            </w:pPr>
          </w:p>
        </w:tc>
        <w:tc>
          <w:tcPr>
            <w:tcW w:w="1080" w:type="dxa"/>
            <w:vAlign w:val="bottom"/>
          </w:tcPr>
          <w:p>
            <w:pPr>
              <w:jc w:val="right"/>
              <w:ind w:right="153"/>
              <w:spacing w:after="0"/>
              <w:rPr>
                <w:sz w:val="20"/>
                <w:szCs w:val="20"/>
                <w:color w:val="auto"/>
              </w:rPr>
            </w:pPr>
            <w:r>
              <w:rPr>
                <w:rFonts w:ascii="Arial" w:cs="Arial" w:eastAsia="Arial" w:hAnsi="Arial"/>
                <w:sz w:val="18"/>
                <w:szCs w:val="18"/>
                <w:color w:val="auto"/>
              </w:rPr>
              <w:t>55.3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92,819</w:t>
            </w:r>
          </w:p>
        </w:tc>
        <w:tc>
          <w:tcPr>
            <w:tcW w:w="120" w:type="dxa"/>
            <w:vAlign w:val="bottom"/>
          </w:tcPr>
          <w:p>
            <w:pPr>
              <w:spacing w:after="0"/>
              <w:rPr>
                <w:sz w:val="21"/>
                <w:szCs w:val="21"/>
                <w:color w:val="auto"/>
              </w:rPr>
            </w:pPr>
          </w:p>
        </w:tc>
        <w:tc>
          <w:tcPr>
            <w:tcW w:w="1080" w:type="dxa"/>
            <w:vAlign w:val="bottom"/>
          </w:tcPr>
          <w:p>
            <w:pPr>
              <w:jc w:val="right"/>
              <w:ind w:right="173"/>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Gross margin</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72,650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44.7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60,536</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43"/>
        </w:trPr>
        <w:tc>
          <w:tcPr>
            <w:tcW w:w="4580" w:type="dxa"/>
            <w:vAlign w:val="bottom"/>
            <w:gridSpan w:val="3"/>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42,955</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43,025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gridSpan w:val="2"/>
          </w:tcPr>
          <w:p>
            <w:pPr>
              <w:ind w:left="36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27,952</w:t>
            </w:r>
          </w:p>
        </w:tc>
        <w:tc>
          <w:tcPr>
            <w:tcW w:w="100" w:type="dxa"/>
            <w:vAlign w:val="bottom"/>
          </w:tcPr>
          <w:p>
            <w:pPr>
              <w:spacing w:after="0"/>
              <w:rPr>
                <w:sz w:val="21"/>
                <w:szCs w:val="21"/>
                <w:color w:val="auto"/>
              </w:rPr>
            </w:pPr>
          </w:p>
        </w:tc>
        <w:tc>
          <w:tcPr>
            <w:tcW w:w="1080" w:type="dxa"/>
            <w:vAlign w:val="bottom"/>
          </w:tcPr>
          <w:p>
            <w:pPr>
              <w:jc w:val="right"/>
              <w:ind w:right="153"/>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25,130</w:t>
            </w:r>
          </w:p>
        </w:tc>
        <w:tc>
          <w:tcPr>
            <w:tcW w:w="120" w:type="dxa"/>
            <w:vAlign w:val="bottom"/>
          </w:tcPr>
          <w:p>
            <w:pPr>
              <w:spacing w:after="0"/>
              <w:rPr>
                <w:sz w:val="21"/>
                <w:szCs w:val="21"/>
                <w:color w:val="auto"/>
              </w:rPr>
            </w:pPr>
          </w:p>
        </w:tc>
        <w:tc>
          <w:tcPr>
            <w:tcW w:w="1080" w:type="dxa"/>
            <w:vAlign w:val="bottom"/>
          </w:tcPr>
          <w:p>
            <w:pPr>
              <w:jc w:val="right"/>
              <w:ind w:right="173"/>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5,936</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6,374</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gridSpan w:val="2"/>
          </w:tcPr>
          <w:p>
            <w:pPr>
              <w:ind w:left="360"/>
              <w:spacing w:after="0"/>
              <w:rPr>
                <w:sz w:val="20"/>
                <w:szCs w:val="20"/>
                <w:color w:val="auto"/>
              </w:rPr>
            </w:pPr>
            <w:r>
              <w:rPr>
                <w:rFonts w:ascii="Arial" w:cs="Arial" w:eastAsia="Arial" w:hAnsi="Arial"/>
                <w:sz w:val="18"/>
                <w:szCs w:val="18"/>
                <w:color w:val="auto"/>
              </w:rPr>
              <w:t>Restructuring and other charges</w:t>
            </w: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3,584</w:t>
            </w:r>
          </w:p>
        </w:tc>
        <w:tc>
          <w:tcPr>
            <w:tcW w:w="100" w:type="dxa"/>
            <w:vAlign w:val="bottom"/>
          </w:tcPr>
          <w:p>
            <w:pPr>
              <w:spacing w:after="0"/>
              <w:rPr>
                <w:sz w:val="21"/>
                <w:szCs w:val="21"/>
                <w:color w:val="auto"/>
              </w:rPr>
            </w:pPr>
          </w:p>
        </w:tc>
        <w:tc>
          <w:tcPr>
            <w:tcW w:w="1080" w:type="dxa"/>
            <w:vAlign w:val="bottom"/>
          </w:tcPr>
          <w:p>
            <w:pPr>
              <w:jc w:val="right"/>
              <w:ind w:right="153"/>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5,429</w:t>
            </w:r>
          </w:p>
        </w:tc>
        <w:tc>
          <w:tcPr>
            <w:tcW w:w="120" w:type="dxa"/>
            <w:vAlign w:val="bottom"/>
          </w:tcPr>
          <w:p>
            <w:pPr>
              <w:spacing w:after="0"/>
              <w:rPr>
                <w:sz w:val="21"/>
                <w:szCs w:val="21"/>
                <w:color w:val="auto"/>
              </w:rPr>
            </w:pPr>
          </w:p>
        </w:tc>
        <w:tc>
          <w:tcPr>
            <w:tcW w:w="1080" w:type="dxa"/>
            <w:vAlign w:val="bottom"/>
          </w:tcPr>
          <w:p>
            <w:pPr>
              <w:jc w:val="right"/>
              <w:ind w:right="173"/>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5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Acquisition costs and other related expenses</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gridSpan w:val="2"/>
          </w:tcPr>
          <w:p>
            <w:pPr>
              <w:ind w:left="6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80,427</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80,262</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ind w:right="173"/>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(7,777)</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(19,726)</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43"/>
        </w:trPr>
        <w:tc>
          <w:tcPr>
            <w:tcW w:w="4580" w:type="dxa"/>
            <w:vAlign w:val="bottom"/>
            <w:gridSpan w:val="3"/>
          </w:tcPr>
          <w:p>
            <w:pPr>
              <w:ind w:left="20"/>
              <w:spacing w:after="0"/>
              <w:rPr>
                <w:sz w:val="20"/>
                <w:szCs w:val="20"/>
                <w:color w:val="auto"/>
              </w:rPr>
            </w:pPr>
            <w:r>
              <w:rPr>
                <w:rFonts w:ascii="Arial" w:cs="Arial" w:eastAsia="Arial" w:hAnsi="Arial"/>
                <w:sz w:val="18"/>
                <w:szCs w:val="18"/>
                <w:color w:val="auto"/>
              </w:rPr>
              <w:t>Other income, net</w:t>
            </w: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1,178</w:t>
            </w:r>
          </w:p>
        </w:tc>
        <w:tc>
          <w:tcPr>
            <w:tcW w:w="100" w:type="dxa"/>
            <w:vAlign w:val="bottom"/>
          </w:tcPr>
          <w:p>
            <w:pPr>
              <w:spacing w:after="0"/>
              <w:rPr>
                <w:sz w:val="21"/>
                <w:szCs w:val="21"/>
                <w:color w:val="auto"/>
              </w:rPr>
            </w:pPr>
          </w:p>
        </w:tc>
        <w:tc>
          <w:tcPr>
            <w:tcW w:w="1080" w:type="dxa"/>
            <w:vAlign w:val="bottom"/>
          </w:tcPr>
          <w:p>
            <w:pPr>
              <w:jc w:val="right"/>
              <w:ind w:right="153"/>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21"/>
                <w:szCs w:val="21"/>
                <w:color w:val="auto"/>
              </w:rPr>
            </w:pPr>
          </w:p>
        </w:tc>
        <w:tc>
          <w:tcPr>
            <w:tcW w:w="1080" w:type="dxa"/>
            <w:vAlign w:val="bottom"/>
          </w:tcPr>
          <w:p>
            <w:pPr>
              <w:jc w:val="right"/>
              <w:ind w:right="173"/>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(6,599)</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(19,271)</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43"/>
        </w:trPr>
        <w:tc>
          <w:tcPr>
            <w:tcW w:w="4580" w:type="dxa"/>
            <w:vAlign w:val="bottom"/>
            <w:gridSpan w:val="3"/>
          </w:tcPr>
          <w:p>
            <w:pPr>
              <w:ind w:left="20"/>
              <w:spacing w:after="0"/>
              <w:rPr>
                <w:sz w:val="20"/>
                <w:szCs w:val="20"/>
                <w:color w:val="auto"/>
              </w:rPr>
            </w:pPr>
            <w:r>
              <w:rPr>
                <w:rFonts w:ascii="Arial" w:cs="Arial" w:eastAsia="Arial" w:hAnsi="Arial"/>
                <w:sz w:val="18"/>
                <w:szCs w:val="18"/>
                <w:color w:val="auto"/>
              </w:rPr>
              <w:t>Tax benefit</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(2,720)</w:t>
            </w:r>
          </w:p>
        </w:tc>
        <w:tc>
          <w:tcPr>
            <w:tcW w:w="100" w:type="dxa"/>
            <w:vAlign w:val="bottom"/>
          </w:tcPr>
          <w:p>
            <w:pPr>
              <w:spacing w:after="0"/>
              <w:rPr>
                <w:sz w:val="21"/>
                <w:szCs w:val="21"/>
                <w:color w:val="auto"/>
              </w:rPr>
            </w:pP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(8,075)</w:t>
            </w:r>
          </w:p>
        </w:tc>
        <w:tc>
          <w:tcPr>
            <w:tcW w:w="120" w:type="dxa"/>
            <w:vAlign w:val="bottom"/>
          </w:tcPr>
          <w:p>
            <w:pPr>
              <w:spacing w:after="0"/>
              <w:rPr>
                <w:sz w:val="21"/>
                <w:szCs w:val="21"/>
                <w:color w:val="auto"/>
              </w:rPr>
            </w:pP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(3,879)</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(11,196)</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EVENUES</w:t>
      </w:r>
    </w:p>
    <w:p>
      <w:pPr>
        <w:spacing w:after="0" w:line="34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gridSpan w:val="3"/>
          </w:tcPr>
          <w:p>
            <w:pPr>
              <w:ind w:left="40"/>
              <w:spacing w:after="0"/>
              <w:rPr>
                <w:sz w:val="20"/>
                <w:szCs w:val="20"/>
                <w:color w:val="auto"/>
              </w:rPr>
            </w:pPr>
            <w:r>
              <w:rPr>
                <w:rFonts w:ascii="Arial" w:cs="Arial" w:eastAsia="Arial" w:hAnsi="Arial"/>
                <w:sz w:val="14"/>
                <w:szCs w:val="14"/>
                <w:b w:val="1"/>
                <w:bCs w:val="1"/>
                <w:color w:val="auto"/>
              </w:rPr>
              <w:t>March 31, 2014</w:t>
            </w:r>
          </w:p>
        </w:tc>
        <w:tc>
          <w:tcPr>
            <w:tcW w:w="1160" w:type="dxa"/>
            <w:vAlign w:val="bottom"/>
            <w:gridSpan w:val="3"/>
          </w:tcPr>
          <w:p>
            <w:pPr>
              <w:ind w:left="40"/>
              <w:spacing w:after="0"/>
              <w:rPr>
                <w:sz w:val="20"/>
                <w:szCs w:val="20"/>
                <w:color w:val="auto"/>
              </w:rPr>
            </w:pPr>
            <w:r>
              <w:rPr>
                <w:rFonts w:ascii="Arial" w:cs="Arial" w:eastAsia="Arial" w:hAnsi="Arial"/>
                <w:sz w:val="14"/>
                <w:szCs w:val="14"/>
                <w:b w:val="1"/>
                <w:bCs w:val="1"/>
                <w:color w:val="auto"/>
              </w:rPr>
              <w:t>March 31, 2013</w:t>
            </w:r>
          </w:p>
        </w:tc>
        <w:tc>
          <w:tcPr>
            <w:tcW w:w="180" w:type="dxa"/>
            <w:vAlign w:val="bottom"/>
          </w:tcPr>
          <w:p>
            <w:pPr>
              <w:spacing w:after="0"/>
              <w:rPr>
                <w:sz w:val="14"/>
                <w:szCs w:val="14"/>
                <w:color w:val="auto"/>
              </w:rPr>
            </w:pPr>
          </w:p>
        </w:tc>
        <w:tc>
          <w:tcPr>
            <w:tcW w:w="920" w:type="dxa"/>
            <w:vAlign w:val="bottom"/>
          </w:tcPr>
          <w:p>
            <w:pPr>
              <w:jc w:val="right"/>
              <w:ind w:right="174"/>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Arial" w:cs="Arial" w:eastAsia="Arial" w:hAnsi="Arial"/>
                <w:sz w:val="14"/>
                <w:szCs w:val="14"/>
                <w:b w:val="1"/>
                <w:bCs w:val="1"/>
                <w:color w:val="auto"/>
              </w:rPr>
              <w:t>% Change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MCE</w:t>
            </w: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128,835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110,369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18,466</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43"/>
        </w:trPr>
        <w:tc>
          <w:tcPr>
            <w:tcW w:w="20" w:type="dxa"/>
            <w:vAlign w:val="bottom"/>
          </w:tcPr>
          <w:p>
            <w:pPr>
              <w:spacing w:after="0"/>
              <w:rPr>
                <w:sz w:val="21"/>
                <w:szCs w:val="21"/>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MDIS</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32,724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42,899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(10,175)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Eliminations</w:t>
            </w: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884</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1,016 %</w:t>
            </w:r>
          </w:p>
        </w:tc>
      </w:tr>
      <w:tr>
        <w:trPr>
          <w:trHeight w:val="257"/>
        </w:trPr>
        <w:tc>
          <w:tcPr>
            <w:tcW w:w="20" w:type="dxa"/>
            <w:vAlign w:val="bottom"/>
          </w:tcPr>
          <w:p>
            <w:pPr>
              <w:spacing w:after="0"/>
              <w:rPr>
                <w:sz w:val="22"/>
                <w:szCs w:val="22"/>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2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162,530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153,355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9,175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6 %</w:t>
            </w: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Total revenues increased $9.2 million, or 6%, to $162.5 million during the nine months ended March 31, 2014 as compared to the comparable period in fiscal 2013. This increase was driven by higher defense sales of $8.9 million, coupled with a $0.3 million increase in commercial sales. The increase in total revenues is primarily attributed to increases in the Aegis, Patriot and UAV-related programs that were partially offset by lower revenues from a DRFM jammer program and the Gorgon Stare program.</w:t>
      </w:r>
    </w:p>
    <w:p>
      <w:pPr>
        <w:spacing w:after="0" w:line="79"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Net MCE revenues increased $18.5 million, or 17%, during the nine months ended March 31, 2014 as compared to the same period in the prior fiscal year. This increase was primarily driven by higher defense sales of $18.2 million related to increases in the Aegis, Patriot, F-15, F-16, and UAV-related programs, and a $0.3 million increase in commercial sales.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746" w:right="279" w:bottom="1440" w:gutter="0" w:footer="0" w:header="0"/>
        </w:sectPr>
      </w:pPr>
    </w:p>
    <w:bookmarkStart w:id="21" w:name="page22"/>
    <w:bookmarkEnd w:id="21"/>
    <w:p>
      <w:pPr>
        <w:jc w:val="both"/>
        <w:ind w:right="120" w:firstLine="432"/>
        <w:spacing w:after="0" w:line="264" w:lineRule="auto"/>
        <w:rPr>
          <w:sz w:val="20"/>
          <w:szCs w:val="20"/>
          <w:color w:val="auto"/>
        </w:rPr>
      </w:pPr>
      <w:r>
        <w:rPr>
          <w:rFonts w:ascii="Arial" w:cs="Arial" w:eastAsia="Arial" w:hAnsi="Arial"/>
          <w:sz w:val="18"/>
          <w:szCs w:val="18"/>
          <w:color w:val="auto"/>
        </w:rPr>
        <w:t>Net MDIS revenues decreased $10.2 million, or 24%, during the nine months ended March 31, 2014 as compared to the same period in the prior fiscal year. This decrease was primarily driven by lower revenues from the Gorgon Stare and DRFM jammer programs as well as lower revenues due to customer funding delays.</w:t>
      </w:r>
    </w:p>
    <w:p>
      <w:pPr>
        <w:spacing w:after="0" w:line="73" w:lineRule="exact"/>
        <w:rPr>
          <w:sz w:val="20"/>
          <w:szCs w:val="20"/>
          <w:color w:val="auto"/>
        </w:rPr>
      </w:pPr>
    </w:p>
    <w:p>
      <w:pPr>
        <w:jc w:val="both"/>
        <w:ind w:right="100" w:firstLine="432"/>
        <w:spacing w:after="0" w:line="277" w:lineRule="auto"/>
        <w:rPr>
          <w:sz w:val="20"/>
          <w:szCs w:val="20"/>
          <w:color w:val="auto"/>
        </w:rPr>
      </w:pPr>
      <w:r>
        <w:rPr>
          <w:rFonts w:ascii="Arial" w:cs="Arial" w:eastAsia="Arial" w:hAnsi="Arial"/>
          <w:sz w:val="18"/>
          <w:szCs w:val="18"/>
          <w:color w:val="auto"/>
        </w:rPr>
        <w:t>Eliminations revenue is attributable to development programs where the revenue is recognized in each segment under contract accounting, and reflects the reconciliation to our consolidated results.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ROSS</w:t>
      </w:r>
      <w:r>
        <w:rPr>
          <w:rFonts w:ascii="Arial" w:cs="Arial" w:eastAsia="Arial" w:hAnsi="Arial"/>
          <w:sz w:val="18"/>
          <w:szCs w:val="18"/>
          <w:color w:val="auto"/>
        </w:rPr>
        <w:t xml:space="preserve"> M</w:t>
      </w:r>
      <w:r>
        <w:rPr>
          <w:rFonts w:ascii="Arial" w:cs="Arial" w:eastAsia="Arial" w:hAnsi="Arial"/>
          <w:sz w:val="14"/>
          <w:szCs w:val="14"/>
          <w:color w:val="auto"/>
        </w:rPr>
        <w:t>ARGIN</w:t>
      </w:r>
    </w:p>
    <w:p>
      <w:pPr>
        <w:spacing w:after="0" w:line="131"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Gross margin was 45% for the nine months ended March 31, 2014, as compared to 40% gross margin achieved during the same period in fiscal 2013. The higher gross margin between years was due to a more favorable product mix, primarily driven by a recovery in our higher margin digital signal processing products within MCE. In addition, for the nine months ended March 31, 2013 there was a $2.1 million non-recurring charge for a fair value adjustment from purchase accounting resulting from the Micronetics acquisition.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ELLING</w:t>
      </w:r>
      <w:r>
        <w:rPr>
          <w:rFonts w:ascii="Arial" w:cs="Arial" w:eastAsia="Arial" w:hAnsi="Arial"/>
          <w:sz w:val="18"/>
          <w:szCs w:val="18"/>
          <w:color w:val="auto"/>
        </w:rPr>
        <w:t>, G</w:t>
      </w:r>
      <w:r>
        <w:rPr>
          <w:rFonts w:ascii="Arial" w:cs="Arial" w:eastAsia="Arial" w:hAnsi="Arial"/>
          <w:sz w:val="14"/>
          <w:szCs w:val="14"/>
          <w:color w:val="auto"/>
        </w:rPr>
        <w:t>ENERAL AND</w:t>
      </w:r>
      <w:r>
        <w:rPr>
          <w:rFonts w:ascii="Arial" w:cs="Arial" w:eastAsia="Arial" w:hAnsi="Arial"/>
          <w:sz w:val="18"/>
          <w:szCs w:val="18"/>
          <w:color w:val="auto"/>
        </w:rPr>
        <w:t xml:space="preserve"> A</w:t>
      </w:r>
      <w:r>
        <w:rPr>
          <w:rFonts w:ascii="Arial" w:cs="Arial" w:eastAsia="Arial" w:hAnsi="Arial"/>
          <w:sz w:val="14"/>
          <w:szCs w:val="14"/>
          <w:color w:val="auto"/>
        </w:rPr>
        <w:t>DMINISTRATIVE</w:t>
      </w:r>
    </w:p>
    <w:p>
      <w:pPr>
        <w:spacing w:after="0" w:line="13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Selling, general and administrative expenses were $43.0 million during the nine months ended March 31, 2014 and 2013. A $0.7 million decrease in compensation costs as a result of the restructuring activities initiated in the third quarter of fiscal 2014 was offset by a $0.7 million increase in employee stock compensation expense. Selling, general and administrative expenses decreased as a percentage of revenues to 26.4% during the nine months ended March 31, 2014 from 28.1% during the same period in fiscal 2013 due to higher revenues in the first nine months of fiscal 2014 as compared to the comparable period in fiscal 2013.</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ESEARCH AND</w:t>
      </w:r>
      <w:r>
        <w:rPr>
          <w:rFonts w:ascii="Arial" w:cs="Arial" w:eastAsia="Arial" w:hAnsi="Arial"/>
          <w:sz w:val="18"/>
          <w:szCs w:val="18"/>
          <w:color w:val="auto"/>
        </w:rPr>
        <w:t xml:space="preserve"> D</w:t>
      </w:r>
      <w:r>
        <w:rPr>
          <w:rFonts w:ascii="Arial" w:cs="Arial" w:eastAsia="Arial" w:hAnsi="Arial"/>
          <w:sz w:val="14"/>
          <w:szCs w:val="14"/>
          <w:color w:val="auto"/>
        </w:rPr>
        <w:t>EVELOPMENT</w:t>
      </w:r>
    </w:p>
    <w:p>
      <w:pPr>
        <w:spacing w:after="0" w:line="13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Research and development expenses increased $2.8 million, or 11%, to $27.9 million during the nine months ended March 31, 2014, compared to $25.1 million during the comparable period in fiscal 2013. The increase was primarily due to $1.2 million in higher employee compensation costs, $1.5 million of lower customer funded development and a $0.6 million increase in prototype related expenses. These increases were partially offset by lower depreciation expenses.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MORTIZATION OF</w:t>
      </w:r>
      <w:r>
        <w:rPr>
          <w:rFonts w:ascii="Arial" w:cs="Arial" w:eastAsia="Arial" w:hAnsi="Arial"/>
          <w:sz w:val="18"/>
          <w:szCs w:val="18"/>
          <w:color w:val="auto"/>
        </w:rPr>
        <w:t xml:space="preserve"> I</w:t>
      </w:r>
      <w:r>
        <w:rPr>
          <w:rFonts w:ascii="Arial" w:cs="Arial" w:eastAsia="Arial" w:hAnsi="Arial"/>
          <w:sz w:val="14"/>
          <w:szCs w:val="14"/>
          <w:color w:val="auto"/>
        </w:rPr>
        <w:t>NTANGIBLE</w:t>
      </w:r>
      <w:r>
        <w:rPr>
          <w:rFonts w:ascii="Arial" w:cs="Arial" w:eastAsia="Arial" w:hAnsi="Arial"/>
          <w:sz w:val="18"/>
          <w:szCs w:val="18"/>
          <w:color w:val="auto"/>
        </w:rPr>
        <w:t xml:space="preserve"> A</w:t>
      </w:r>
      <w:r>
        <w:rPr>
          <w:rFonts w:ascii="Arial" w:cs="Arial" w:eastAsia="Arial" w:hAnsi="Arial"/>
          <w:sz w:val="14"/>
          <w:szCs w:val="14"/>
          <w:color w:val="auto"/>
        </w:rPr>
        <w:t>SSETS</w:t>
      </w:r>
    </w:p>
    <w:p>
      <w:pPr>
        <w:spacing w:after="0" w:line="131" w:lineRule="exact"/>
        <w:rPr>
          <w:sz w:val="20"/>
          <w:szCs w:val="20"/>
          <w:color w:val="auto"/>
        </w:rPr>
      </w:pPr>
    </w:p>
    <w:p>
      <w:pPr>
        <w:jc w:val="both"/>
        <w:ind w:right="180" w:firstLine="432"/>
        <w:spacing w:after="0" w:line="264" w:lineRule="auto"/>
        <w:rPr>
          <w:sz w:val="20"/>
          <w:szCs w:val="20"/>
          <w:color w:val="auto"/>
        </w:rPr>
      </w:pPr>
      <w:r>
        <w:rPr>
          <w:rFonts w:ascii="Arial" w:cs="Arial" w:eastAsia="Arial" w:hAnsi="Arial"/>
          <w:sz w:val="18"/>
          <w:szCs w:val="18"/>
          <w:color w:val="auto"/>
        </w:rPr>
        <w:t>Amortization of acquired intangible assets decreased $0.5 million, or 7%, to $5.9 million during the nine months ended March 31, 2014, compared to $6.4 million during the comparable period in fiscal 2013 primarily due to a portion of the Micronetics related intangible assets being fully amortized during the first quarter of fiscal 2014.</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ESTRUCTURING</w:t>
      </w:r>
      <w:r>
        <w:rPr>
          <w:rFonts w:ascii="Arial" w:cs="Arial" w:eastAsia="Arial" w:hAnsi="Arial"/>
          <w:sz w:val="18"/>
          <w:szCs w:val="18"/>
          <w:color w:val="auto"/>
        </w:rPr>
        <w:t xml:space="preserve"> E</w:t>
      </w:r>
      <w:r>
        <w:rPr>
          <w:rFonts w:ascii="Arial" w:cs="Arial" w:eastAsia="Arial" w:hAnsi="Arial"/>
          <w:sz w:val="14"/>
          <w:szCs w:val="14"/>
          <w:color w:val="auto"/>
        </w:rPr>
        <w:t>XPENSE</w:t>
      </w:r>
    </w:p>
    <w:p>
      <w:pPr>
        <w:spacing w:after="0" w:line="131"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color w:val="auto"/>
        </w:rPr>
        <w:t>Restructuring and other charges were $3.6 million for the nine months ended March 31, 2014, as compared to $5.4 million during the comparable period in fiscal 2013. In the third quarter of fiscal 2014, we began the final phase of integration activities relating to our recent acquisitions. The integration plan includes the consolidation of manufacturing facilities, centralization of administrative functions using common information systems and processes and realignment of research and development resources.The restructuring plan included the elimination of 61 positions largely in administrative, manufacturing and engineering functions. Additionally, we closed our Monroe, Connecticut facility and transferred its operations to our AMC in Hudson, New Hampshire.</w:t>
      </w:r>
    </w:p>
    <w:p>
      <w:pPr>
        <w:spacing w:after="0" w:line="50"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In fiscal 2013, we implemented our 2013 plan which consisted of involuntary separation costs related to a reduction in force and facility charges for our Huntsville, Alabama site. The 2013 plan was implemented in response to reduced defense revenues and near term Department of Defense budget uncertainties driven by the potential for sequestration, and was the start of the first phase of the integration plan. The $5.4 million of restructuring expense recorded during the nine months ended March 31, 2013 related to the elimination of 142 positions largely from our engineering, administrative and manufacturing functions.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I</w:t>
      </w:r>
      <w:r>
        <w:rPr>
          <w:rFonts w:ascii="Arial" w:cs="Arial" w:eastAsia="Arial" w:hAnsi="Arial"/>
          <w:sz w:val="14"/>
          <w:szCs w:val="14"/>
          <w:color w:val="auto"/>
        </w:rPr>
        <w:t>NCOME</w:t>
      </w:r>
      <w:r>
        <w:rPr>
          <w:rFonts w:ascii="Arial" w:cs="Arial" w:eastAsia="Arial" w:hAnsi="Arial"/>
          <w:sz w:val="18"/>
          <w:szCs w:val="18"/>
          <w:color w:val="auto"/>
        </w:rPr>
        <w:t>, N</w:t>
      </w:r>
      <w:r>
        <w:rPr>
          <w:rFonts w:ascii="Arial" w:cs="Arial" w:eastAsia="Arial" w:hAnsi="Arial"/>
          <w:sz w:val="14"/>
          <w:szCs w:val="14"/>
          <w:color w:val="auto"/>
        </w:rPr>
        <w:t>ET</w:t>
      </w:r>
    </w:p>
    <w:p>
      <w:pPr>
        <w:spacing w:after="0" w:line="131"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Other income, net increased to $1.2 million during the nine months ended March 31, 2014, as compared to $0.5 million for the same period in fiscal 2013. The increase was a result of foreign currency exchange gains during fiscal 2014 compared to losses during fiscal 2013 primarily driven by changes in the Japanese yen versus the U.S. dollar. Other income, net for the nine months ended March 31, 2014 and 2013, also includes $0.9 million in amortization of the gain on the sale leaseback of our corporate headquarters located in Chelmsford, Massachusetts. Interest income and interest expense were de minimis.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692"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NCOME</w:t>
      </w:r>
      <w:r>
        <w:rPr>
          <w:rFonts w:ascii="Arial" w:cs="Arial" w:eastAsia="Arial" w:hAnsi="Arial"/>
          <w:sz w:val="18"/>
          <w:szCs w:val="18"/>
          <w:color w:val="auto"/>
        </w:rPr>
        <w:t xml:space="preserve"> T</w:t>
      </w:r>
      <w:r>
        <w:rPr>
          <w:rFonts w:ascii="Arial" w:cs="Arial" w:eastAsia="Arial" w:hAnsi="Arial"/>
          <w:sz w:val="14"/>
          <w:szCs w:val="14"/>
          <w:color w:val="auto"/>
        </w:rPr>
        <w:t>AXES</w:t>
      </w:r>
    </w:p>
    <w:p>
      <w:pPr>
        <w:spacing w:after="0" w:line="131"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We recorded an income tax benefit of $2.7 million during the nine months ended March 31, 2014 as compared to an $8.1 million income tax benefit for the comparable period in the prior fiscal year. Our income tax benefit for the nine months ended March 31, 2014 differed from the federal statutory tax rate of 35% primarily due to the impact of federal research and development tax credits, Section 199 manufacturing deduction and stock compensation. Our effective tax rate during the comparable period in fiscal 2013 also differed from the federal statutory rate primarily due to the impact of the federal research and development tax credits including $1.7 million as a result of the retroactive extension of these research and development tax credits in that period. Due to the reversal of temporary differences in fiscal 2014, we expect to be in a taxable income position and pay taxes during fiscal year 2014.</w:t>
      </w:r>
    </w:p>
    <w:p>
      <w:pPr>
        <w:spacing w:after="0" w:line="5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As of March 31, 2014, we had approximately $8.6 million in net deferred tax assets. Each quarter, we determine the probability of realizing these assets, using significant judgments and estimates with respect to historical operating results, expectations of future earnings, tax planning strategies, and other matters. If we determine in the future that there is not sufficient positive evidence to support the valuation of these assets we may be required to adjust the valuation allowance accordingly. We have concluded that no valuation allowance should be recorded against our net federal deferred tax assets at March 31, 2014.</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EGMENT</w:t>
      </w:r>
      <w:r>
        <w:rPr>
          <w:rFonts w:ascii="Arial" w:cs="Arial" w:eastAsia="Arial" w:hAnsi="Arial"/>
          <w:sz w:val="18"/>
          <w:szCs w:val="18"/>
          <w:color w:val="auto"/>
        </w:rPr>
        <w:t xml:space="preserve"> O</w:t>
      </w:r>
      <w:r>
        <w:rPr>
          <w:rFonts w:ascii="Arial" w:cs="Arial" w:eastAsia="Arial" w:hAnsi="Arial"/>
          <w:sz w:val="14"/>
          <w:szCs w:val="14"/>
          <w:color w:val="auto"/>
        </w:rPr>
        <w:t>PERATING</w:t>
      </w:r>
      <w:r>
        <w:rPr>
          <w:rFonts w:ascii="Arial" w:cs="Arial" w:eastAsia="Arial" w:hAnsi="Arial"/>
          <w:sz w:val="18"/>
          <w:szCs w:val="18"/>
          <w:color w:val="auto"/>
        </w:rPr>
        <w:t xml:space="preserve"> R</w:t>
      </w:r>
      <w:r>
        <w:rPr>
          <w:rFonts w:ascii="Arial" w:cs="Arial" w:eastAsia="Arial" w:hAnsi="Arial"/>
          <w:sz w:val="14"/>
          <w:szCs w:val="14"/>
          <w:color w:val="auto"/>
        </w:rPr>
        <w:t>ESULTS</w:t>
      </w:r>
    </w:p>
    <w:p>
      <w:pPr>
        <w:spacing w:after="0" w:line="131" w:lineRule="exact"/>
        <w:rPr>
          <w:sz w:val="20"/>
          <w:szCs w:val="20"/>
          <w:color w:val="auto"/>
        </w:rPr>
      </w:pPr>
    </w:p>
    <w:p>
      <w:pPr>
        <w:ind w:right="180" w:firstLine="432"/>
        <w:spacing w:after="0" w:line="312" w:lineRule="auto"/>
        <w:rPr>
          <w:sz w:val="20"/>
          <w:szCs w:val="20"/>
          <w:color w:val="auto"/>
        </w:rPr>
      </w:pPr>
      <w:r>
        <w:rPr>
          <w:rFonts w:ascii="Arial" w:cs="Arial" w:eastAsia="Arial" w:hAnsi="Arial"/>
          <w:sz w:val="16"/>
          <w:szCs w:val="16"/>
          <w:color w:val="auto"/>
        </w:rPr>
        <w:t>We use adjusted EBITDA as the profitability measure for our segment reporting. Adjusted EBITDA for MCE increased $12.4 million during the nine months ended March 31, 2014 to $13.2 million as compared to $0.8 million for the comparable period in fiscal 2013. The increase in adjusted EBITDA is primarily driven by higher revenues of $18.5 million primarily from the Aegis, Patriot, F-15 and UAV-related programs, coupled with higher gross margins.</w:t>
      </w:r>
    </w:p>
    <w:p>
      <w:pPr>
        <w:spacing w:after="0" w:line="39"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Adjusted EBITDA for MDIS decreased $3.7 million during the nine months ended March 31, 2014 to $3.4 million as compared to $7.1 million for the comparable period in fiscal 2013. The decrease in adjusted EBITDA was primarily due to lower revenues from the Gorgon Stare and DRFM jammer programs and lower revenues due to customer funding delays.</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K to our consolidated financial statements included in this report for more information regarding our operating segments.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IQUIDITY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ESOURCES</w:t>
      </w:r>
    </w:p>
    <w:p>
      <w:pPr>
        <w:spacing w:after="0" w:line="135"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Our primary source of liquidity comes from existing cash and cash generated from operations. Our near-term fixed commitments for cash expenditures consist primarily of payments under operating leases and inventory purchase commitments with our contract manufacturers. We currently do not have any material commitments for capital expenditures.</w:t>
      </w:r>
    </w:p>
    <w:p>
      <w:pPr>
        <w:spacing w:after="0" w:line="73" w:lineRule="exact"/>
        <w:rPr>
          <w:sz w:val="20"/>
          <w:szCs w:val="20"/>
          <w:color w:val="auto"/>
        </w:rPr>
      </w:pPr>
    </w:p>
    <w:p>
      <w:pPr>
        <w:ind w:right="600" w:firstLine="432"/>
        <w:spacing w:after="0" w:line="342" w:lineRule="auto"/>
        <w:rPr>
          <w:sz w:val="20"/>
          <w:szCs w:val="20"/>
          <w:color w:val="auto"/>
        </w:rPr>
      </w:pPr>
      <w:r>
        <w:rPr>
          <w:rFonts w:ascii="Arial" w:cs="Arial" w:eastAsia="Arial" w:hAnsi="Arial"/>
          <w:sz w:val="16"/>
          <w:szCs w:val="16"/>
          <w:color w:val="auto"/>
        </w:rPr>
        <w:t>Based on our current plans and business conditions, we believe that existing cash, cash equivalents, available line of credit, cash generated from operations, and financing capabilities will be sufficient to satisfy our anticipated cash requirements for at least the next twelve months.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Unsecured Credit Facility</w:t>
      </w:r>
    </w:p>
    <w:p>
      <w:pPr>
        <w:spacing w:after="0" w:line="117"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On October 12, 2012, we entered into a credit agreement (the “Credit Agreement”) with a syndicate of commercial banks, with KeyBank National Association acting as the administrative agent. The Credit Agreement provides for a $200.0 million senior unsecured revolving line of credit (the “Revolver”). We can borrow up to $200.0 million based on consolidated EBITDA for a trailing four quarter period and subject to compliance with the financial covenants discussed below. The Revolver is available for working capital, acquisitions, and general corporate purposes of the Company and its subsidiaries. The Revolver is available for borrowing during a five year period, with interest payable periodically during such period as provided in the Credit Agreement and principal due at the maturity of the Revolver.</w:t>
      </w:r>
    </w:p>
    <w:p>
      <w:pPr>
        <w:spacing w:after="0" w:line="85"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Credit Agreement has an accordion feature permitting us to request from the lenders an increase in the aggregate amount of the credit facility in the form of an incremental revolver or term loan in an amount not to exceed $50.0 million. Any such increase would require only the consent of the lenders increasing their respective commitments under the credit facility.</w:t>
      </w:r>
    </w:p>
    <w:p>
      <w:pPr>
        <w:spacing w:after="0" w:line="73"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The interest rates applicable to borrowings under the Credit Agreement involve various rate options that are available to us. The rates are calculated using a combination of conventional base rate measures plus a margin over those rates. The base rates consist of LIBOR rates or prime rates. The actual rates will depend on the level of these underlying rates plus a margin based on our leverage at the time of borrowing.</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Borrowings under the Credit Agreement are senior unsecured loans. Each of our domestic subsidiaries is a guarantor under the Credit Agreement.</w:t>
      </w:r>
    </w:p>
    <w:p>
      <w:pPr>
        <w:spacing w:after="0" w:line="140"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Credit Agreement provides for conventional affirmative and negative covenants, including a maximum leverage ratio of 3.50x and a minimum interest coverage ratio of 3.0x. Each of the two ratios referred to above is calculated based on consolidated EBITDA, as defined in the Credit Agreement, on a consolidated basis for each consecutive four fiscal quarter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46" w:right="239" w:bottom="1440" w:gutter="0" w:footer="0" w:header="0"/>
        </w:sectPr>
      </w:pPr>
    </w:p>
    <w:bookmarkStart w:id="23" w:name="page24"/>
    <w:bookmarkEnd w:id="23"/>
    <w:p>
      <w:pPr>
        <w:ind w:right="80"/>
        <w:spacing w:after="0" w:line="264" w:lineRule="auto"/>
        <w:rPr>
          <w:sz w:val="20"/>
          <w:szCs w:val="20"/>
          <w:color w:val="auto"/>
        </w:rPr>
      </w:pPr>
      <w:r>
        <w:rPr>
          <w:rFonts w:ascii="Arial" w:cs="Arial" w:eastAsia="Arial" w:hAnsi="Arial"/>
          <w:sz w:val="18"/>
          <w:szCs w:val="18"/>
          <w:color w:val="auto"/>
        </w:rPr>
        <w:t>period, after giving pro forma effect for any acquisitions or dispositions. Acquisitions are permitted under the Credit Agreement without any dollar limitation so long as, among other requirements, no default or event of default exists or would result therefrom. In addition, the Credit Agreement contains certain customary representations and warranties, and events of default.</w:t>
      </w:r>
    </w:p>
    <w:p>
      <w:pPr>
        <w:spacing w:after="0" w:line="73" w:lineRule="exact"/>
        <w:rPr>
          <w:sz w:val="20"/>
          <w:szCs w:val="20"/>
          <w:color w:val="auto"/>
        </w:rPr>
      </w:pPr>
    </w:p>
    <w:p>
      <w:pPr>
        <w:jc w:val="both"/>
        <w:ind w:right="480" w:firstLine="432"/>
        <w:spacing w:after="0" w:line="342" w:lineRule="auto"/>
        <w:rPr>
          <w:sz w:val="20"/>
          <w:szCs w:val="20"/>
          <w:color w:val="auto"/>
        </w:rPr>
      </w:pPr>
      <w:r>
        <w:rPr>
          <w:rFonts w:ascii="Arial" w:cs="Arial" w:eastAsia="Arial" w:hAnsi="Arial"/>
          <w:sz w:val="16"/>
          <w:szCs w:val="16"/>
          <w:color w:val="auto"/>
        </w:rPr>
        <w:t>As of March 31, 2014, there was $66.1 million of borrowing capacity available. There were no borrowings outstanding on the Credit Agreement; however, there were outstanding letters of credit of $4.1 million. We were in compliance with all covenants and conditions under the Credit Agreement.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Shelf Registration Statement</w:t>
      </w:r>
    </w:p>
    <w:p>
      <w:pPr>
        <w:spacing w:after="0" w:line="117"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On August 2, 2011, we filed a shelf registration statement on Form S-3 with the SEC. The shelf registration statement, which has been declared effective by the SEC, registered up to $500 million of debt securities, preferred stock, common stock, warrants and units. We intend to use the proceeds from a financing using the shelf registration statement for general corporate purposes, which may include the following:</w:t>
      </w:r>
    </w:p>
    <w:p>
      <w:pPr>
        <w:spacing w:after="0" w:line="73" w:lineRule="exact"/>
        <w:rPr>
          <w:sz w:val="20"/>
          <w:szCs w:val="20"/>
          <w:color w:val="auto"/>
        </w:rPr>
      </w:pPr>
    </w:p>
    <w:p>
      <w:pPr>
        <w:ind w:left="980" w:hanging="567"/>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acquisition of other companies or businesses;</w:t>
      </w:r>
    </w:p>
    <w:p>
      <w:pPr>
        <w:spacing w:after="0" w:line="90" w:lineRule="exact"/>
        <w:rPr>
          <w:rFonts w:ascii="Arial" w:cs="Arial" w:eastAsia="Arial" w:hAnsi="Arial"/>
          <w:sz w:val="18"/>
          <w:szCs w:val="18"/>
          <w:color w:val="auto"/>
        </w:rPr>
      </w:pPr>
    </w:p>
    <w:p>
      <w:pPr>
        <w:ind w:left="980" w:hanging="567"/>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repayment and refinancing of debt;</w:t>
      </w:r>
    </w:p>
    <w:p>
      <w:pPr>
        <w:spacing w:after="0" w:line="90" w:lineRule="exact"/>
        <w:rPr>
          <w:rFonts w:ascii="Arial" w:cs="Arial" w:eastAsia="Arial" w:hAnsi="Arial"/>
          <w:sz w:val="18"/>
          <w:szCs w:val="18"/>
          <w:color w:val="auto"/>
        </w:rPr>
      </w:pPr>
    </w:p>
    <w:p>
      <w:pPr>
        <w:ind w:left="980" w:hanging="567"/>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90" w:lineRule="exact"/>
        <w:rPr>
          <w:rFonts w:ascii="Arial" w:cs="Arial" w:eastAsia="Arial" w:hAnsi="Arial"/>
          <w:sz w:val="18"/>
          <w:szCs w:val="18"/>
          <w:color w:val="auto"/>
        </w:rPr>
      </w:pPr>
    </w:p>
    <w:p>
      <w:pPr>
        <w:ind w:left="980" w:hanging="567"/>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working capital; and</w:t>
      </w:r>
    </w:p>
    <w:p>
      <w:pPr>
        <w:spacing w:after="0" w:line="90" w:lineRule="exact"/>
        <w:rPr>
          <w:rFonts w:ascii="Arial" w:cs="Arial" w:eastAsia="Arial" w:hAnsi="Arial"/>
          <w:sz w:val="18"/>
          <w:szCs w:val="18"/>
          <w:color w:val="auto"/>
        </w:rPr>
      </w:pPr>
    </w:p>
    <w:p>
      <w:pPr>
        <w:ind w:left="980" w:hanging="567"/>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purposes as described in the prospectus supplement.</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gridSpan w:val="3"/>
          </w:tcPr>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ASH</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LOWS</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01"/>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00" w:type="dxa"/>
            <w:vAlign w:val="bottom"/>
            <w:gridSpan w:val="4"/>
          </w:tcPr>
          <w:p>
            <w:pPr>
              <w:jc w:val="center"/>
              <w:ind w:right="253"/>
              <w:spacing w:after="0"/>
              <w:rPr>
                <w:sz w:val="20"/>
                <w:szCs w:val="20"/>
                <w:color w:val="auto"/>
              </w:rPr>
            </w:pPr>
            <w:r>
              <w:rPr>
                <w:rFonts w:ascii="Arial" w:cs="Arial" w:eastAsia="Arial" w:hAnsi="Arial"/>
                <w:sz w:val="14"/>
                <w:szCs w:val="14"/>
                <w:b w:val="1"/>
                <w:bCs w:val="1"/>
                <w:color w:val="auto"/>
                <w:w w:val="91"/>
              </w:rPr>
              <w:t>As of and for the nine</w:t>
            </w: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20" w:type="dxa"/>
            <w:vAlign w:val="bottom"/>
            <w:gridSpan w:val="3"/>
          </w:tcPr>
          <w:p>
            <w:pPr>
              <w:jc w:val="center"/>
              <w:ind w:left="458"/>
              <w:spacing w:after="0" w:line="149" w:lineRule="exact"/>
              <w:rPr>
                <w:sz w:val="20"/>
                <w:szCs w:val="20"/>
                <w:color w:val="auto"/>
              </w:rPr>
            </w:pPr>
            <w:r>
              <w:rPr>
                <w:rFonts w:ascii="Arial" w:cs="Arial" w:eastAsia="Arial" w:hAnsi="Arial"/>
                <w:sz w:val="14"/>
                <w:szCs w:val="14"/>
                <w:b w:val="1"/>
                <w:bCs w:val="1"/>
                <w:color w:val="auto"/>
                <w:w w:val="92"/>
              </w:rPr>
              <w:t>month period ended</w:t>
            </w:r>
          </w:p>
        </w:tc>
        <w:tc>
          <w:tcPr>
            <w:tcW w:w="880" w:type="dxa"/>
            <w:vAlign w:val="bottom"/>
          </w:tcPr>
          <w:p>
            <w:pPr>
              <w:spacing w:after="0"/>
              <w:rPr>
                <w:sz w:val="12"/>
                <w:szCs w:val="12"/>
                <w:color w:val="auto"/>
              </w:rPr>
            </w:pPr>
          </w:p>
        </w:tc>
      </w:tr>
      <w:tr>
        <w:trPr>
          <w:trHeight w:val="192"/>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left="458"/>
              <w:spacing w:after="0"/>
              <w:rPr>
                <w:sz w:val="20"/>
                <w:szCs w:val="20"/>
                <w:color w:val="auto"/>
              </w:rPr>
            </w:pPr>
            <w:r>
              <w:rPr>
                <w:rFonts w:ascii="Arial" w:cs="Arial" w:eastAsia="Arial" w:hAnsi="Arial"/>
                <w:sz w:val="14"/>
                <w:szCs w:val="14"/>
                <w:b w:val="1"/>
                <w:bCs w:val="1"/>
                <w:color w:val="auto"/>
                <w:w w:val="99"/>
              </w:rPr>
              <w:t>March 31,</w:t>
            </w:r>
          </w:p>
        </w:tc>
        <w:tc>
          <w:tcPr>
            <w:tcW w:w="880" w:type="dxa"/>
            <w:vAlign w:val="bottom"/>
            <w:tcBorders>
              <w:bottom w:val="single" w:sz="8" w:color="auto"/>
            </w:tcBorders>
          </w:tcPr>
          <w:p>
            <w:pPr>
              <w:spacing w:after="0"/>
              <w:rPr>
                <w:sz w:val="16"/>
                <w:szCs w:val="16"/>
                <w:color w:val="auto"/>
              </w:rPr>
            </w:pPr>
          </w:p>
        </w:tc>
      </w:tr>
      <w:tr>
        <w:trPr>
          <w:trHeight w:val="229"/>
        </w:trPr>
        <w:tc>
          <w:tcPr>
            <w:tcW w:w="83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9"/>
                <w:szCs w:val="19"/>
                <w:color w:val="auto"/>
              </w:rPr>
            </w:pPr>
          </w:p>
        </w:tc>
        <w:tc>
          <w:tcPr>
            <w:tcW w:w="1120" w:type="dxa"/>
            <w:vAlign w:val="bottom"/>
          </w:tcPr>
          <w:p>
            <w:pPr>
              <w:jc w:val="right"/>
              <w:ind w:right="51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ind w:right="513"/>
              <w:spacing w:after="0"/>
              <w:rPr>
                <w:sz w:val="20"/>
                <w:szCs w:val="20"/>
                <w:color w:val="auto"/>
              </w:rPr>
            </w:pPr>
            <w:r>
              <w:rPr>
                <w:rFonts w:ascii="Arial" w:cs="Arial" w:eastAsia="Arial" w:hAnsi="Arial"/>
                <w:sz w:val="14"/>
                <w:szCs w:val="14"/>
                <w:b w:val="1"/>
                <w:bCs w:val="1"/>
                <w:color w:val="auto"/>
                <w:w w:val="83"/>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4"/>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11,732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(6,693)</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(5,367)</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(70,245)</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(3,950)</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6,584</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(80,819)</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8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45,710</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35,145</w:t>
            </w:r>
          </w:p>
        </w:tc>
      </w:tr>
      <w:tr>
        <w:trPr>
          <w:trHeight w:val="27"/>
        </w:trPr>
        <w:tc>
          <w:tcPr>
            <w:tcW w:w="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74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Our cash and cash equivalents increased by $6.6 million from June 30, 2013 to March 31, 2014, primarily as a result of $11.7 million in cash generated from operating activities, partially offset by $5.1 million in purchases of property and equipment.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During the nine months ended March 31, 2014, we generated $11.7 million in cash from operating activities compared to $6.7 million in cash used for operating activities during the same period in fiscal 2013. The $18.4 million increase in cash generated by operating activities was primarily a result of a smaller comparable net loss of $7.3 million, $17.2 million decrease in cash used for payables and accrued expenses, and $3.0 million in lower inventory purchases. These increases in cash generated from operations were partially offset by timing of accounts receivables collections of $9.1 million. Our ability to generate cash from operations in future periods will depend in large part on profitability, the rate and timing of collections of accounts receivable, our inventory turns and our ability to manage other areas of working capital.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420" w:firstLine="432"/>
        <w:spacing w:after="0" w:line="259" w:lineRule="auto"/>
        <w:rPr>
          <w:sz w:val="20"/>
          <w:szCs w:val="20"/>
          <w:color w:val="auto"/>
        </w:rPr>
      </w:pPr>
      <w:r>
        <w:rPr>
          <w:rFonts w:ascii="Arial" w:cs="Arial" w:eastAsia="Arial" w:hAnsi="Arial"/>
          <w:sz w:val="18"/>
          <w:szCs w:val="18"/>
          <w:color w:val="auto"/>
        </w:rPr>
        <w:t>During the nine months ended March 31, 2014, we used cash of $5.4 million in investing activities compared to $70.2 million used by investing activities during the same period in fiscal 2013. We spent $67.7 million on the Micronetics acquisition during the nine months ended March 31, 2013. In addition, we spent $2.8 million more on capital expenditures during the nine months ended March 31, 2014 related to our new manufacturing facility in Hudson, New Hampshire.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During the nine months ended March 31, 2014, we generated $0.3 million from financing activities compared to $4.0 million used for financing activities during the same period in fiscal 2013. The $4.3 million change in cash from financing activities was primarily due to a $6.6 million payment to settle debt acquired as part of the Micronetics acquisition offset by the release of $3.0 million of restricted cash both of which occured during the nine months ended March 31, 2013.</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692"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OMMITMENTS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ONTRACTUAL</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schedule of our commitments and contractual obligations outstanding at March 31, 2014:</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Less Than</w:t>
            </w:r>
          </w:p>
        </w:tc>
        <w:tc>
          <w:tcPr>
            <w:tcW w:w="280" w:type="dxa"/>
            <w:vAlign w:val="bottom"/>
          </w:tcPr>
          <w:p>
            <w:pPr>
              <w:spacing w:after="0"/>
              <w:rPr>
                <w:sz w:val="14"/>
                <w:szCs w:val="14"/>
                <w:color w:val="auto"/>
              </w:rPr>
            </w:pPr>
          </w:p>
        </w:tc>
        <w:tc>
          <w:tcPr>
            <w:tcW w:w="980" w:type="dxa"/>
            <w:vAlign w:val="bottom"/>
          </w:tcPr>
          <w:p>
            <w:pPr>
              <w:jc w:val="right"/>
              <w:ind w:right="456"/>
              <w:spacing w:after="0"/>
              <w:rPr>
                <w:sz w:val="20"/>
                <w:szCs w:val="20"/>
                <w:color w:val="auto"/>
              </w:rPr>
            </w:pPr>
            <w:r>
              <w:rPr>
                <w:rFonts w:ascii="Arial" w:cs="Arial" w:eastAsia="Arial" w:hAnsi="Arial"/>
                <w:sz w:val="14"/>
                <w:szCs w:val="14"/>
                <w:b w:val="1"/>
                <w:bCs w:val="1"/>
                <w:color w:val="auto"/>
              </w:rPr>
              <w:t>2-3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456"/>
              <w:spacing w:after="0"/>
              <w:rPr>
                <w:sz w:val="20"/>
                <w:szCs w:val="20"/>
                <w:color w:val="auto"/>
              </w:rPr>
            </w:pPr>
            <w:r>
              <w:rPr>
                <w:rFonts w:ascii="Arial" w:cs="Arial" w:eastAsia="Arial" w:hAnsi="Arial"/>
                <w:sz w:val="14"/>
                <w:szCs w:val="14"/>
                <w:b w:val="1"/>
                <w:bCs w:val="1"/>
                <w:color w:val="auto"/>
              </w:rPr>
              <w:t>4-5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196"/>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58"/>
        </w:trPr>
        <w:tc>
          <w:tcPr>
            <w:tcW w:w="470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5"/>
              </w:rPr>
              <w:t>1 Year</w:t>
            </w:r>
          </w:p>
        </w:tc>
        <w:tc>
          <w:tcPr>
            <w:tcW w:w="280" w:type="dxa"/>
            <w:vAlign w:val="bottom"/>
          </w:tcPr>
          <w:p>
            <w:pPr>
              <w:spacing w:after="0"/>
              <w:rPr>
                <w:sz w:val="13"/>
                <w:szCs w:val="13"/>
                <w:color w:val="auto"/>
              </w:rPr>
            </w:pPr>
          </w:p>
        </w:tc>
        <w:tc>
          <w:tcPr>
            <w:tcW w:w="1080" w:type="dxa"/>
            <w:vAlign w:val="bottom"/>
            <w:gridSpan w:val="2"/>
          </w:tcPr>
          <w:p>
            <w:pPr>
              <w:ind w:left="180"/>
              <w:spacing w:after="0" w:line="158" w:lineRule="exact"/>
              <w:rPr>
                <w:sz w:val="20"/>
                <w:szCs w:val="20"/>
                <w:color w:val="auto"/>
              </w:rPr>
            </w:pPr>
            <w:r>
              <w:rPr>
                <w:rFonts w:ascii="Arial" w:cs="Arial" w:eastAsia="Arial" w:hAnsi="Arial"/>
                <w:sz w:val="14"/>
                <w:szCs w:val="14"/>
                <w:b w:val="1"/>
                <w:bCs w:val="1"/>
                <w:color w:val="auto"/>
              </w:rPr>
              <w:t>Years</w:t>
            </w:r>
          </w:p>
        </w:tc>
        <w:tc>
          <w:tcPr>
            <w:tcW w:w="280" w:type="dxa"/>
            <w:vAlign w:val="bottom"/>
          </w:tcPr>
          <w:p>
            <w:pPr>
              <w:spacing w:after="0"/>
              <w:rPr>
                <w:sz w:val="13"/>
                <w:szCs w:val="13"/>
                <w:color w:val="auto"/>
              </w:rPr>
            </w:pPr>
          </w:p>
        </w:tc>
        <w:tc>
          <w:tcPr>
            <w:tcW w:w="1080" w:type="dxa"/>
            <w:vAlign w:val="bottom"/>
            <w:gridSpan w:val="2"/>
          </w:tcPr>
          <w:p>
            <w:pPr>
              <w:ind w:left="180"/>
              <w:spacing w:after="0" w:line="158" w:lineRule="exact"/>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3"/>
                <w:szCs w:val="13"/>
                <w:color w:val="auto"/>
              </w:rPr>
            </w:pPr>
          </w:p>
        </w:tc>
        <w:tc>
          <w:tcPr>
            <w:tcW w:w="1060" w:type="dxa"/>
            <w:vAlign w:val="bottom"/>
          </w:tcPr>
          <w:p>
            <w:pPr>
              <w:jc w:val="right"/>
              <w:ind w:right="316"/>
              <w:spacing w:after="0" w:line="158" w:lineRule="exact"/>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Purchase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27,590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27,590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Operating leases</w:t>
            </w: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22,148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4,653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8,615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3,470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5,410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Capital lease obligations and other</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50,077</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32,519</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8,678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3,470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5,410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We have a liability at March 31, 2014 of $2.8 million for uncertain tax positions, not included in the table above, that has been taken or is expected to be taken in various income tax returns. We expect to make a payment of $1.1 million in the next twelve months as a result of resolutions of certain tax positions.</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Purchase obligations represent open non-cancelable purchase commitments for certain inventory components and services used in normal operations.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purchase commitments covered by these agreements are for less than one year and aggregated approximately $27.6 million at March 31, 2014.</w:t>
      </w:r>
    </w:p>
    <w:p>
      <w:pPr>
        <w:spacing w:after="0" w:line="114"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Our standard product sales and license agreements entered into in the ordinary course of business typically contain an indemnification provision pursuant to which we indemnify, hold harmless, and agree to reimburse the indemnified party for losses suffered or incurred by the indemnified party in connection with certain intellectual property infringement claims by any third party with respect to our products. Such provisions generally survive termination or expiration of the agreements. The potential amount of future payments we could be required to make under these indemnification provisions is, in some instances, unlimited.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FF</w:t>
      </w:r>
      <w:r>
        <w:rPr>
          <w:rFonts w:ascii="Arial" w:cs="Arial" w:eastAsia="Arial" w:hAnsi="Arial"/>
          <w:sz w:val="18"/>
          <w:szCs w:val="18"/>
          <w:b w:val="1"/>
          <w:bCs w:val="1"/>
          <w:color w:val="auto"/>
        </w:rPr>
        <w:t>-</w:t>
      </w:r>
      <w:r>
        <w:rPr>
          <w:rFonts w:ascii="Arial" w:cs="Arial" w:eastAsia="Arial" w:hAnsi="Arial"/>
          <w:sz w:val="14"/>
          <w:szCs w:val="14"/>
          <w:b w:val="1"/>
          <w:bCs w:val="1"/>
          <w:color w:val="auto"/>
        </w:rPr>
        <w:t>BALANCE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HEET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RRANGEMENTS</w:t>
      </w:r>
    </w:p>
    <w:p>
      <w:pPr>
        <w:spacing w:after="0" w:line="13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Other than our lease commitments incurred in the normal course of business and certain indemnification provisions, we do not have any off- balance sheet financing arrangements or liabilities, guarantee contracts, retained or contingent interests in transferred assets, or any obligation arising out of a material variable interest in an unconsolidated entity. We do not have any majority-owned subsidiaries that are not consolidated in the financial statements. Additionally, we do not have an interest in, or relationships with, any special purpose entities.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ON</w:t>
      </w:r>
      <w:r>
        <w:rPr>
          <w:rFonts w:ascii="Arial" w:cs="Arial" w:eastAsia="Arial" w:hAnsi="Arial"/>
          <w:sz w:val="18"/>
          <w:szCs w:val="18"/>
          <w:b w:val="1"/>
          <w:bCs w:val="1"/>
          <w:color w:val="auto"/>
        </w:rPr>
        <w:t>-</w:t>
      </w:r>
      <w:r>
        <w:rPr>
          <w:rFonts w:ascii="Arial" w:cs="Arial" w:eastAsia="Arial" w:hAnsi="Arial"/>
          <w:sz w:val="14"/>
          <w:szCs w:val="14"/>
          <w:b w:val="1"/>
          <w:bCs w:val="1"/>
          <w:color w:val="auto"/>
        </w:rPr>
        <w:t>GAAP</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EASURES</w:t>
      </w:r>
    </w:p>
    <w:p>
      <w:pPr>
        <w:spacing w:after="0" w:line="135"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In our periodic communications, we discuss two important measures that are not calculated according to U.S. generally accepted accounting principles (“GAAP”), adjusted EBITDA and free cash flow.</w:t>
      </w:r>
    </w:p>
    <w:p>
      <w:pPr>
        <w:spacing w:after="0" w:line="62"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Adjusted EBITDA, the profitability measure for our segment reporting, is defined as net income (loss) before interest income and expense, income taxes, depreciation, amortization of acquired intangible assets, restructuring and other charges, impairment of long-lived assets, acquisition costs and other related expenses, fair value adjustments from purchase accounting and stock-based compensation costs. We use adjusted EBITDA as an important indicator of the operating performance of our business. We use adjusted EBITDA in internal forecasts and models when establishing internal operating budgets, supplementing the financial results and forecasts reported to our board of directors, determining a component of bonus compensation for executive officers and other key employees based on operating performance and evaluating short-term and long-term operating trends in our operations. We believe the adjusted EBITDA financial measure assists in providing a more complete understanding of our underlying operational measures to manage our business, to evaluate our performance compared to prior periods and the marketplace, and to establish operational goals. We believe that these non-GAAP financial adjustments are useful to investors because they allow investors to evaluate the effectiveness of the methodology and information used by management in our financial and operational decision-making.</w:t>
      </w:r>
    </w:p>
    <w:p>
      <w:pPr>
        <w:spacing w:after="0" w:line="70" w:lineRule="exact"/>
        <w:rPr>
          <w:sz w:val="20"/>
          <w:szCs w:val="20"/>
          <w:color w:val="auto"/>
        </w:rPr>
      </w:pPr>
    </w:p>
    <w:p>
      <w:pPr>
        <w:ind w:right="200" w:firstLine="432"/>
        <w:spacing w:after="0" w:line="279" w:lineRule="auto"/>
        <w:rPr>
          <w:sz w:val="20"/>
          <w:szCs w:val="20"/>
          <w:color w:val="auto"/>
        </w:rPr>
      </w:pPr>
      <w:r>
        <w:rPr>
          <w:rFonts w:ascii="Arial" w:cs="Arial" w:eastAsia="Arial" w:hAnsi="Arial"/>
          <w:sz w:val="17"/>
          <w:szCs w:val="17"/>
          <w:color w:val="auto"/>
        </w:rPr>
        <w:t>Adjusted EBITDA is a non-GAAP financial measure and should not be considered in isolation or as a substitute for financial information provided in accordance with GAAP. This non-GAAP financial measure may not be computed in the same manner as similarly titled measures used by other companies. We expect to continue to incur expenses similar to the adjusted EBITDA financial adjustments described above, and investors should not infer from our presentation of this non-GAAP financial measure that these costs are unusual, infrequent or non-recurring.</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823" w:right="239" w:bottom="1440" w:gutter="0" w:footer="0" w:header="0"/>
        </w:sectPr>
      </w:pPr>
    </w:p>
    <w:bookmarkStart w:id="25" w:name="page26"/>
    <w:bookmarkEnd w:id="25"/>
    <w:p>
      <w:pPr>
        <w:ind w:left="440"/>
        <w:spacing w:after="0"/>
        <w:rPr>
          <w:sz w:val="20"/>
          <w:szCs w:val="20"/>
          <w:color w:val="auto"/>
        </w:rPr>
      </w:pPr>
      <w:r>
        <w:rPr>
          <w:rFonts w:ascii="Arial" w:cs="Arial" w:eastAsia="Arial" w:hAnsi="Arial"/>
          <w:sz w:val="18"/>
          <w:szCs w:val="18"/>
          <w:color w:val="auto"/>
        </w:rPr>
        <w:t>The following table reconciles our net loss, the most directly comparable GAAP financial measure, to our adjusted EBITDA:</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500" w:type="dxa"/>
            <w:vAlign w:val="bottom"/>
            <w:gridSpan w:val="4"/>
          </w:tcPr>
          <w:p>
            <w:pPr>
              <w:jc w:val="right"/>
              <w:ind w:right="712"/>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9"/>
                <w:szCs w:val="19"/>
                <w:color w:val="auto"/>
              </w:rPr>
            </w:pPr>
          </w:p>
        </w:tc>
        <w:tc>
          <w:tcPr>
            <w:tcW w:w="1060" w:type="dxa"/>
            <w:vAlign w:val="bottom"/>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(11,196)</w:t>
            </w:r>
          </w:p>
        </w:tc>
      </w:tr>
      <w:tr>
        <w:trPr>
          <w:trHeight w:val="243"/>
        </w:trPr>
        <w:tc>
          <w:tcPr>
            <w:tcW w:w="40" w:type="dxa"/>
            <w:vAlign w:val="bottom"/>
          </w:tcPr>
          <w:p>
            <w:pPr>
              <w:spacing w:after="0"/>
              <w:rPr>
                <w:sz w:val="21"/>
                <w:szCs w:val="21"/>
                <w:color w:val="auto"/>
              </w:rPr>
            </w:pPr>
          </w:p>
        </w:tc>
        <w:tc>
          <w:tcPr>
            <w:tcW w:w="5580" w:type="dxa"/>
            <w:vAlign w:val="bottom"/>
            <w:gridSpan w:val="2"/>
          </w:tcPr>
          <w:p>
            <w:pPr>
              <w:ind w:left="340"/>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24</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Tax benefit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(8,075)</w:t>
            </w:r>
          </w:p>
        </w:tc>
      </w:tr>
      <w:tr>
        <w:trPr>
          <w:trHeight w:val="243"/>
        </w:trPr>
        <w:tc>
          <w:tcPr>
            <w:tcW w:w="40" w:type="dxa"/>
            <w:vAlign w:val="bottom"/>
          </w:tcPr>
          <w:p>
            <w:pPr>
              <w:spacing w:after="0"/>
              <w:rPr>
                <w:sz w:val="21"/>
                <w:szCs w:val="21"/>
                <w:color w:val="auto"/>
              </w:rPr>
            </w:pPr>
          </w:p>
        </w:tc>
        <w:tc>
          <w:tcPr>
            <w:tcW w:w="5580" w:type="dxa"/>
            <w:vAlign w:val="bottom"/>
            <w:gridSpan w:val="2"/>
          </w:tcPr>
          <w:p>
            <w:pPr>
              <w:ind w:left="34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1,963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2,068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5,956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6,470</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1,901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5,936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6,374</w:t>
            </w:r>
          </w:p>
        </w:tc>
      </w:tr>
      <w:tr>
        <w:trPr>
          <w:trHeight w:val="243"/>
        </w:trPr>
        <w:tc>
          <w:tcPr>
            <w:tcW w:w="40" w:type="dxa"/>
            <w:vAlign w:val="bottom"/>
          </w:tcPr>
          <w:p>
            <w:pPr>
              <w:spacing w:after="0"/>
              <w:rPr>
                <w:sz w:val="21"/>
                <w:szCs w:val="21"/>
                <w:color w:val="auto"/>
              </w:rPr>
            </w:pPr>
          </w:p>
        </w:tc>
        <w:tc>
          <w:tcPr>
            <w:tcW w:w="5580" w:type="dxa"/>
            <w:vAlign w:val="bottom"/>
            <w:gridSpan w:val="2"/>
          </w:tcPr>
          <w:p>
            <w:pPr>
              <w:ind w:left="340"/>
              <w:spacing w:after="0"/>
              <w:rPr>
                <w:sz w:val="20"/>
                <w:szCs w:val="20"/>
                <w:color w:val="auto"/>
              </w:rPr>
            </w:pPr>
            <w:r>
              <w:rPr>
                <w:rFonts w:ascii="Arial" w:cs="Arial" w:eastAsia="Arial" w:hAnsi="Arial"/>
                <w:sz w:val="18"/>
                <w:szCs w:val="18"/>
                <w:color w:val="auto"/>
              </w:rPr>
              <w:t>Restructuring and other charges</w:t>
            </w:r>
          </w:p>
        </w:tc>
        <w:tc>
          <w:tcPr>
            <w:tcW w:w="3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3,502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3,584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5,429</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Acquisition costs and other related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w:t>
            </w:r>
          </w:p>
        </w:tc>
      </w:tr>
      <w:tr>
        <w:trPr>
          <w:trHeight w:val="243"/>
        </w:trPr>
        <w:tc>
          <w:tcPr>
            <w:tcW w:w="40" w:type="dxa"/>
            <w:vAlign w:val="bottom"/>
          </w:tcPr>
          <w:p>
            <w:pPr>
              <w:spacing w:after="0"/>
              <w:rPr>
                <w:sz w:val="21"/>
                <w:szCs w:val="21"/>
                <w:color w:val="auto"/>
              </w:rPr>
            </w:pPr>
          </w:p>
        </w:tc>
        <w:tc>
          <w:tcPr>
            <w:tcW w:w="5580" w:type="dxa"/>
            <w:vAlign w:val="bottom"/>
            <w:gridSpan w:val="2"/>
          </w:tcPr>
          <w:p>
            <w:pPr>
              <w:ind w:left="340"/>
              <w:spacing w:after="0"/>
              <w:rPr>
                <w:sz w:val="20"/>
                <w:szCs w:val="20"/>
                <w:color w:val="auto"/>
              </w:rPr>
            </w:pPr>
            <w:r>
              <w:rPr>
                <w:rFonts w:ascii="Arial" w:cs="Arial" w:eastAsia="Arial" w:hAnsi="Arial"/>
                <w:sz w:val="18"/>
                <w:szCs w:val="18"/>
                <w:color w:val="auto"/>
              </w:rPr>
              <w:t>Fair value adjustments from purchase accounting</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2,293</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Stock-based compensation cost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7,466</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6,265</w:t>
            </w:r>
          </w:p>
        </w:tc>
      </w:tr>
      <w:tr>
        <w:trPr>
          <w:trHeight w:val="237"/>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Adjusted EBITDA</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7,663</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5,242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16,374</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7,888</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Free cash flow, a non-GAAP measure for reporting cash flow, is defined as cash provided by operating activities less capital expenditures for property and equipment. We believe free cash flow provides investors with an important perspective on cash available for investments and acquisitions after making capital investments required to support ongoing business operations and long-term value creation. We believe that trends in our free cash flow are valuable indicators of our operating performance and liquidity.</w:t>
      </w:r>
    </w:p>
    <w:p>
      <w:pPr>
        <w:spacing w:after="0" w:line="79"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Free cash flow is a non-GAAP financial measure and should not be considered in isolation or as a substitute for financial information provided in accordance with GAAP. This non-GAAP financial measure may not be computed in the same manner as similarly titled measures used by other companies. We expect to continue to incur expenditures similar to the free cash flow adjustment described above, and investors should not infer from our presentation of this non-GAAP financial measure that these expenditures reflect all of our obligations which require cash.</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reconciles cash provided by operating activities, the most directly comparable GAAP financial measure, to free cash flow:</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614"/>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6"/>
                <w:szCs w:val="16"/>
                <w:color w:val="auto"/>
              </w:rPr>
            </w:pPr>
          </w:p>
        </w:tc>
      </w:tr>
      <w:tr>
        <w:trPr>
          <w:trHeight w:val="229"/>
        </w:trPr>
        <w:tc>
          <w:tcPr>
            <w:tcW w:w="608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9"/>
                <w:szCs w:val="19"/>
                <w:color w:val="auto"/>
              </w:rPr>
            </w:pPr>
          </w:p>
        </w:tc>
        <w:tc>
          <w:tcPr>
            <w:tcW w:w="940" w:type="dxa"/>
            <w:vAlign w:val="bottom"/>
          </w:tcPr>
          <w:p>
            <w:pPr>
              <w:jc w:val="right"/>
              <w:ind w:right="399"/>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ind w:right="41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9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ind w:right="394"/>
              <w:spacing w:after="0"/>
              <w:rPr>
                <w:sz w:val="20"/>
                <w:szCs w:val="20"/>
                <w:color w:val="auto"/>
              </w:rPr>
            </w:pPr>
            <w:r>
              <w:rPr>
                <w:rFonts w:ascii="Arial" w:cs="Arial" w:eastAsia="Arial" w:hAnsi="Arial"/>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44"/>
        </w:trPr>
        <w:tc>
          <w:tcPr>
            <w:tcW w:w="6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provided by (used in) operating activities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2,201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11,732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(6,693)</w:t>
            </w:r>
          </w:p>
        </w:tc>
      </w:tr>
      <w:tr>
        <w:trPr>
          <w:trHeight w:val="243"/>
        </w:trPr>
        <w:tc>
          <w:tcPr>
            <w:tcW w:w="40" w:type="dxa"/>
            <w:vAlign w:val="bottom"/>
          </w:tcPr>
          <w:p>
            <w:pPr>
              <w:spacing w:after="0"/>
              <w:rPr>
                <w:sz w:val="21"/>
                <w:szCs w:val="21"/>
                <w:color w:val="auto"/>
              </w:rPr>
            </w:pPr>
          </w:p>
        </w:tc>
        <w:tc>
          <w:tcPr>
            <w:tcW w:w="6040" w:type="dxa"/>
            <w:vAlign w:val="bottom"/>
            <w:gridSpan w:val="2"/>
          </w:tcPr>
          <w:p>
            <w:pPr>
              <w:ind w:left="34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(5,067)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(2,259)</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6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Free cash flow</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1,068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1,164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6,665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(8,952)</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ECENTLY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SSUED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RONOUNCEMENTS</w:t>
      </w:r>
    </w:p>
    <w:p>
      <w:pPr>
        <w:spacing w:after="0" w:line="135"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 xml:space="preserve">In July 2013, the FASB issued ASU No. 2013-11, </w:t>
      </w:r>
      <w:r>
        <w:rPr>
          <w:rFonts w:ascii="Arial" w:cs="Arial" w:eastAsia="Arial" w:hAnsi="Arial"/>
          <w:sz w:val="18"/>
          <w:szCs w:val="18"/>
          <w:i w:val="1"/>
          <w:iCs w:val="1"/>
          <w:color w:val="auto"/>
        </w:rPr>
        <w:t>Presentation of an Unrecognized Tax Benefit When a Net Operating Loss Carryforward, a Similar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Tax Loss, or a Tax Credit Carryforward Exists, </w:t>
      </w:r>
      <w:r>
        <w:rPr>
          <w:rFonts w:ascii="Arial" w:cs="Arial" w:eastAsia="Arial" w:hAnsi="Arial"/>
          <w:sz w:val="18"/>
          <w:szCs w:val="18"/>
          <w:color w:val="auto"/>
        </w:rPr>
        <w:t>an amendment of the FASB Accounting Standards Codification. The ASU requires an unrecognized tax</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to be presented as a decrease in a deferred tax asset when net operating loss carryforwards, similar tax losses, or tax credit carryforwards exist and certain criteria are met. The ASU is effective prospectively for annual reporting periods beginning after December 15, 2013. This guidance is not expected to have a material impact to our consolidated financial statements.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692" w:right="239" w:bottom="1440" w:gutter="0" w:footer="0" w:header="0"/>
        </w:sectPr>
      </w:pPr>
    </w:p>
    <w:bookmarkStart w:id="26" w:name="page27"/>
    <w:bookmarkEnd w:id="26"/>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material changes in our exposure to market risk from June 30, 2013 to March 31, 2014.</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17"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We conducted an evaluation under the supervision and with the participation of our management, including the Chief Executive Officer and Chief Financial Officer (our principal executive officer and principal financial officer, respectively), regarding the effectiveness of our disclosure controls and procedures (as defined in Rules 13a-15(e) and 15d-15(e) under the Securities Exchange Act of 1934 as amended (the “Exchange Act”)) as of the end of the period covered by this report. Based on this evaluation, our Chief Executive Officer and Chief Financial Officer have concluded that our disclosure controls and procedures were effective as of March 31, 2014. We continue to review our disclosure controls and procedures and may from time to time make changes aimed at enhancing their effectiveness and to ensure that our systems evolve with our Company’s business. A control system, no matter how well conceived and operated, can provide only reasonable, not absolute, assurance that the objectives of the control system are met.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117"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There was no change in our internal control over financial reporting (as defined in Rules 13c-15(f) and 15d-15(f) under the Exchange Act) that occurred during the quarter ended March 31, 2014 that has materially affected, or is reasonably likely to materially affect, our internal control over financial reporting.</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823" w:right="259" w:bottom="1440" w:gutter="0" w:footer="0" w:header="0"/>
        </w:sectPr>
      </w:pPr>
    </w:p>
    <w:bookmarkStart w:id="27" w:name="page28"/>
    <w:bookmarkEnd w:id="27"/>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380" w:firstLine="432"/>
        <w:spacing w:after="0" w:line="259" w:lineRule="auto"/>
        <w:rPr>
          <w:sz w:val="20"/>
          <w:szCs w:val="20"/>
          <w:color w:val="auto"/>
        </w:rPr>
      </w:pPr>
      <w:r>
        <w:rPr>
          <w:rFonts w:ascii="Arial" w:cs="Arial" w:eastAsia="Arial" w:hAnsi="Arial"/>
          <w:sz w:val="18"/>
          <w:szCs w:val="18"/>
          <w:color w:val="auto"/>
        </w:rPr>
        <w:t>We are subject to litigation, claims, investigations and audits arising from time to time in the ordinary course of our business. Although legal proceedings are inherently unpredictable, we believe that we have valid defenses with respect to those matters currently pending against us and intend to defend our self vigorously. The outcome of these matters, individually and in the aggregate, is not expected to have a material impact on our cash flows, results of operations, or financial position.</w:t>
      </w:r>
    </w:p>
    <w:p>
      <w:pPr>
        <w:spacing w:after="0" w:line="21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You should carefully review and consider the information regarding certain factors that could materially affect our business, financial condition or future results set forth under Item 1A (Risk Factors) in our Annual Report on Form 10-K for the fiscal year ended June 30, 2013. There have been no material changes from the factors disclosed in our 2013 Annual Report on Form 10-K filed on August 16, 2013, although we may disclose changes to such factors or disclose additional factors from time to time in our future filings with the Securities and Exchange Commission.</w:t>
      </w:r>
    </w:p>
    <w:p>
      <w:pPr>
        <w:spacing w:after="0" w:line="19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Exhibits are filed or furnished, as applicable, herewith:</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31.1</w:t>
            </w:r>
          </w:p>
        </w:tc>
        <w:tc>
          <w:tcPr>
            <w:tcW w:w="9940" w:type="dxa"/>
            <w:vAlign w:val="bottom"/>
          </w:tcPr>
          <w:p>
            <w:pPr>
              <w:ind w:left="940"/>
              <w:spacing w:after="0"/>
              <w:rPr>
                <w:sz w:val="20"/>
                <w:szCs w:val="20"/>
                <w:color w:val="auto"/>
              </w:rPr>
            </w:pPr>
            <w:r>
              <w:rPr>
                <w:rFonts w:ascii="Arial" w:cs="Arial" w:eastAsia="Arial" w:hAnsi="Arial"/>
                <w:sz w:val="18"/>
                <w:szCs w:val="18"/>
                <w:color w:val="auto"/>
                <w:w w:val="99"/>
              </w:rPr>
              <w:t>Certification of the Company’s Chief Executive Officer pursuant to Section 302 of the Sarbanes-Oxley Act of 2002</w:t>
            </w:r>
          </w:p>
        </w:tc>
      </w:tr>
      <w:tr>
        <w:trPr>
          <w:trHeight w:val="594"/>
        </w:trPr>
        <w:tc>
          <w:tcPr>
            <w:tcW w:w="1340" w:type="dxa"/>
            <w:vAlign w:val="bottom"/>
          </w:tcPr>
          <w:p>
            <w:pPr>
              <w:spacing w:after="0"/>
              <w:rPr>
                <w:sz w:val="20"/>
                <w:szCs w:val="20"/>
                <w:color w:val="auto"/>
              </w:rPr>
            </w:pPr>
            <w:r>
              <w:rPr>
                <w:rFonts w:ascii="Arial" w:cs="Arial" w:eastAsia="Arial" w:hAnsi="Arial"/>
                <w:sz w:val="18"/>
                <w:szCs w:val="18"/>
                <w:color w:val="auto"/>
              </w:rPr>
              <w:t>31.2</w:t>
            </w:r>
          </w:p>
        </w:tc>
        <w:tc>
          <w:tcPr>
            <w:tcW w:w="9940" w:type="dxa"/>
            <w:vAlign w:val="bottom"/>
          </w:tcPr>
          <w:p>
            <w:pPr>
              <w:ind w:left="940"/>
              <w:spacing w:after="0"/>
              <w:rPr>
                <w:sz w:val="20"/>
                <w:szCs w:val="20"/>
                <w:color w:val="auto"/>
              </w:rPr>
            </w:pPr>
            <w:r>
              <w:rPr>
                <w:rFonts w:ascii="Arial" w:cs="Arial" w:eastAsia="Arial" w:hAnsi="Arial"/>
                <w:sz w:val="18"/>
                <w:szCs w:val="18"/>
                <w:color w:val="auto"/>
              </w:rPr>
              <w:t>Certification of the Company’s Chief Financial Officer pursuant to Section 302 of the Sarbanes-Oxley Act of 2002</w:t>
            </w:r>
          </w:p>
        </w:tc>
      </w:tr>
      <w:tr>
        <w:trPr>
          <w:trHeight w:val="580"/>
        </w:trPr>
        <w:tc>
          <w:tcPr>
            <w:tcW w:w="1340" w:type="dxa"/>
            <w:vAlign w:val="bottom"/>
          </w:tcPr>
          <w:p>
            <w:pPr>
              <w:spacing w:after="0"/>
              <w:rPr>
                <w:sz w:val="20"/>
                <w:szCs w:val="20"/>
                <w:color w:val="auto"/>
              </w:rPr>
            </w:pPr>
            <w:r>
              <w:rPr>
                <w:rFonts w:ascii="Arial" w:cs="Arial" w:eastAsia="Arial" w:hAnsi="Arial"/>
                <w:sz w:val="18"/>
                <w:szCs w:val="18"/>
                <w:color w:val="auto"/>
              </w:rPr>
              <w:t>32.1+</w:t>
            </w:r>
          </w:p>
        </w:tc>
        <w:tc>
          <w:tcPr>
            <w:tcW w:w="9940" w:type="dxa"/>
            <w:vAlign w:val="bottom"/>
          </w:tcPr>
          <w:p>
            <w:pPr>
              <w:ind w:left="940"/>
              <w:spacing w:after="0"/>
              <w:rPr>
                <w:sz w:val="20"/>
                <w:szCs w:val="20"/>
                <w:color w:val="auto"/>
              </w:rPr>
            </w:pPr>
            <w:r>
              <w:rPr>
                <w:rFonts w:ascii="Arial" w:cs="Arial" w:eastAsia="Arial" w:hAnsi="Arial"/>
                <w:sz w:val="18"/>
                <w:szCs w:val="18"/>
                <w:color w:val="auto"/>
                <w:w w:val="91"/>
              </w:rPr>
              <w:t>Certification of the Company’s Chief Executive Officer and Chief Financial Officer pursuant to Section 906 of the Sarbanes-</w:t>
            </w:r>
          </w:p>
        </w:tc>
      </w:tr>
      <w:tr>
        <w:trPr>
          <w:trHeight w:val="230"/>
        </w:trPr>
        <w:tc>
          <w:tcPr>
            <w:tcW w:w="1340" w:type="dxa"/>
            <w:vAlign w:val="bottom"/>
          </w:tcPr>
          <w:p>
            <w:pPr>
              <w:spacing w:after="0"/>
              <w:rPr>
                <w:sz w:val="20"/>
                <w:szCs w:val="20"/>
                <w:color w:val="auto"/>
              </w:rPr>
            </w:pPr>
          </w:p>
        </w:tc>
        <w:tc>
          <w:tcPr>
            <w:tcW w:w="9940" w:type="dxa"/>
            <w:vAlign w:val="bottom"/>
          </w:tcPr>
          <w:p>
            <w:pPr>
              <w:ind w:left="940"/>
              <w:spacing w:after="0"/>
              <w:rPr>
                <w:sz w:val="20"/>
                <w:szCs w:val="20"/>
                <w:color w:val="auto"/>
              </w:rPr>
            </w:pPr>
            <w:r>
              <w:rPr>
                <w:rFonts w:ascii="Arial" w:cs="Arial" w:eastAsia="Arial" w:hAnsi="Arial"/>
                <w:sz w:val="18"/>
                <w:szCs w:val="18"/>
                <w:color w:val="auto"/>
              </w:rPr>
              <w:t>Oxley Act of 2002</w:t>
            </w:r>
          </w:p>
        </w:tc>
      </w:tr>
      <w:tr>
        <w:trPr>
          <w:trHeight w:val="580"/>
        </w:trPr>
        <w:tc>
          <w:tcPr>
            <w:tcW w:w="1340" w:type="dxa"/>
            <w:vAlign w:val="bottom"/>
          </w:tcPr>
          <w:p>
            <w:pPr>
              <w:spacing w:after="0"/>
              <w:rPr>
                <w:sz w:val="20"/>
                <w:szCs w:val="20"/>
                <w:color w:val="auto"/>
              </w:rPr>
            </w:pPr>
            <w:r>
              <w:rPr>
                <w:rFonts w:ascii="Arial" w:cs="Arial" w:eastAsia="Arial" w:hAnsi="Arial"/>
                <w:sz w:val="18"/>
                <w:szCs w:val="18"/>
                <w:color w:val="auto"/>
              </w:rPr>
              <w:t>101</w:t>
            </w:r>
          </w:p>
        </w:tc>
        <w:tc>
          <w:tcPr>
            <w:tcW w:w="9940" w:type="dxa"/>
            <w:vAlign w:val="bottom"/>
          </w:tcPr>
          <w:p>
            <w:pPr>
              <w:ind w:left="940"/>
              <w:spacing w:after="0"/>
              <w:rPr>
                <w:sz w:val="20"/>
                <w:szCs w:val="20"/>
                <w:color w:val="auto"/>
              </w:rPr>
            </w:pPr>
            <w:r>
              <w:rPr>
                <w:rFonts w:ascii="Arial" w:cs="Arial" w:eastAsia="Arial" w:hAnsi="Arial"/>
                <w:sz w:val="18"/>
                <w:szCs w:val="18"/>
                <w:color w:val="auto"/>
                <w:w w:val="95"/>
              </w:rPr>
              <w:t>The following materials from the Company’s Quarterly Report on the Form 10-Q for the quarter ended March 31, 2014</w:t>
            </w:r>
          </w:p>
        </w:tc>
      </w:tr>
      <w:tr>
        <w:trPr>
          <w:trHeight w:val="216"/>
        </w:trPr>
        <w:tc>
          <w:tcPr>
            <w:tcW w:w="1340" w:type="dxa"/>
            <w:vAlign w:val="bottom"/>
          </w:tcPr>
          <w:p>
            <w:pPr>
              <w:spacing w:after="0"/>
              <w:rPr>
                <w:sz w:val="18"/>
                <w:szCs w:val="18"/>
                <w:color w:val="auto"/>
              </w:rPr>
            </w:pPr>
          </w:p>
        </w:tc>
        <w:tc>
          <w:tcPr>
            <w:tcW w:w="9940" w:type="dxa"/>
            <w:vAlign w:val="bottom"/>
          </w:tcPr>
          <w:p>
            <w:pPr>
              <w:ind w:left="940"/>
              <w:spacing w:after="0"/>
              <w:rPr>
                <w:sz w:val="20"/>
                <w:szCs w:val="20"/>
                <w:color w:val="auto"/>
              </w:rPr>
            </w:pPr>
            <w:r>
              <w:rPr>
                <w:rFonts w:ascii="Arial" w:cs="Arial" w:eastAsia="Arial" w:hAnsi="Arial"/>
                <w:sz w:val="18"/>
                <w:szCs w:val="18"/>
                <w:color w:val="auto"/>
                <w:w w:val="93"/>
              </w:rPr>
              <w:t>formatted in XBRL (eXtensible Business Reporting Language): (i) the Consolidated Balance Sheets; (ii) the Consolidated</w:t>
            </w:r>
          </w:p>
        </w:tc>
      </w:tr>
      <w:tr>
        <w:trPr>
          <w:trHeight w:val="216"/>
        </w:trPr>
        <w:tc>
          <w:tcPr>
            <w:tcW w:w="1340" w:type="dxa"/>
            <w:vAlign w:val="bottom"/>
          </w:tcPr>
          <w:p>
            <w:pPr>
              <w:spacing w:after="0"/>
              <w:rPr>
                <w:sz w:val="18"/>
                <w:szCs w:val="18"/>
                <w:color w:val="auto"/>
              </w:rPr>
            </w:pPr>
          </w:p>
        </w:tc>
        <w:tc>
          <w:tcPr>
            <w:tcW w:w="9940" w:type="dxa"/>
            <w:vAlign w:val="bottom"/>
          </w:tcPr>
          <w:p>
            <w:pPr>
              <w:ind w:left="940"/>
              <w:spacing w:after="0"/>
              <w:rPr>
                <w:sz w:val="20"/>
                <w:szCs w:val="20"/>
                <w:color w:val="auto"/>
              </w:rPr>
            </w:pPr>
            <w:r>
              <w:rPr>
                <w:rFonts w:ascii="Arial" w:cs="Arial" w:eastAsia="Arial" w:hAnsi="Arial"/>
                <w:sz w:val="18"/>
                <w:szCs w:val="18"/>
                <w:color w:val="auto"/>
                <w:w w:val="94"/>
              </w:rPr>
              <w:t>Statements of Operations; (iii) the Consolidated Statements of Cash Flows; and (iv) notes to the Consolidated Financial</w:t>
            </w:r>
          </w:p>
        </w:tc>
      </w:tr>
      <w:tr>
        <w:trPr>
          <w:trHeight w:val="230"/>
        </w:trPr>
        <w:tc>
          <w:tcPr>
            <w:tcW w:w="1340" w:type="dxa"/>
            <w:vAlign w:val="bottom"/>
          </w:tcPr>
          <w:p>
            <w:pPr>
              <w:spacing w:after="0"/>
              <w:rPr>
                <w:sz w:val="20"/>
                <w:szCs w:val="20"/>
                <w:color w:val="auto"/>
              </w:rPr>
            </w:pPr>
          </w:p>
        </w:tc>
        <w:tc>
          <w:tcPr>
            <w:tcW w:w="9940" w:type="dxa"/>
            <w:vAlign w:val="bottom"/>
          </w:tcPr>
          <w:p>
            <w:pPr>
              <w:ind w:left="940"/>
              <w:spacing w:after="0"/>
              <w:rPr>
                <w:sz w:val="20"/>
                <w:szCs w:val="20"/>
                <w:color w:val="auto"/>
              </w:rPr>
            </w:pPr>
            <w:r>
              <w:rPr>
                <w:rFonts w:ascii="Arial" w:cs="Arial" w:eastAsia="Arial" w:hAnsi="Arial"/>
                <w:sz w:val="18"/>
                <w:szCs w:val="18"/>
                <w:color w:val="auto"/>
              </w:rPr>
              <w:t>Statements</w:t>
            </w:r>
          </w:p>
        </w:tc>
      </w:tr>
    </w:tbl>
    <w:p>
      <w:pPr>
        <w:spacing w:after="0" w:line="121" w:lineRule="exact"/>
        <w:rPr>
          <w:sz w:val="20"/>
          <w:szCs w:val="20"/>
          <w:color w:val="auto"/>
        </w:rPr>
      </w:pPr>
    </w:p>
    <w:p>
      <w:pPr>
        <w:ind w:left="660" w:right="340" w:hanging="607"/>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Furnished herewith. This certificate shall not be deemed “filed” for purposes of Section 18 of the Securities Exchange Act of 1934, or otherwise subject to the liability of that section, nor shall it be incorporated by reference into any filing under the Securities Act of 1933 or the Securities Exchange Act of 1934.</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580" w:right="279" w:bottom="1440" w:gutter="0" w:footer="0" w:header="0"/>
        </w:sectPr>
      </w:pPr>
    </w:p>
    <w:bookmarkStart w:id="28" w:name="page29"/>
    <w:bookmarkEnd w:id="28"/>
    <w:p>
      <w:pPr>
        <w:jc w:val="center"/>
        <w:ind w:right="-719"/>
        <w:spacing w:after="0"/>
        <w:rPr>
          <w:sz w:val="20"/>
          <w:szCs w:val="20"/>
          <w:color w:val="auto"/>
        </w:rPr>
      </w:pPr>
      <w:r>
        <w:rPr>
          <w:rFonts w:ascii="Arial" w:cs="Arial" w:eastAsia="Arial" w:hAnsi="Arial"/>
          <w:sz w:val="18"/>
          <w:szCs w:val="18"/>
          <w:b w:val="1"/>
          <w:bCs w:val="1"/>
          <w:color w:val="auto"/>
        </w:rPr>
        <w:t>MERCURY SYSTEMS, INC.</w:t>
      </w:r>
    </w:p>
    <w:p>
      <w:pPr>
        <w:spacing w:after="0" w:line="171"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in Chelmsford, Massachusetts, on May 8, 2014.</w:t>
      </w:r>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MERCURY SYSTEMS, INC.</w:t>
      </w:r>
    </w:p>
    <w:p>
      <w:pPr>
        <w:spacing w:after="0" w:line="387" w:lineRule="exact"/>
        <w:rPr>
          <w:sz w:val="20"/>
          <w:szCs w:val="20"/>
          <w:color w:val="auto"/>
        </w:rPr>
      </w:pPr>
    </w:p>
    <w:p>
      <w:pPr>
        <w:ind w:left="4620"/>
        <w:spacing w:after="0"/>
        <w:tabs>
          <w:tab w:leader="none" w:pos="7620" w:val="left"/>
          <w:tab w:leader="none" w:pos="7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K</w:t>
      </w:r>
      <w:r>
        <w:rPr>
          <w:rFonts w:ascii="Arial" w:cs="Arial" w:eastAsia="Arial" w:hAnsi="Arial"/>
          <w:sz w:val="14"/>
          <w:szCs w:val="14"/>
          <w:color w:val="auto"/>
        </w:rPr>
        <w:t>EVIN</w:t>
      </w:r>
      <w:r>
        <w:rPr>
          <w:rFonts w:ascii="Arial" w:cs="Arial" w:eastAsia="Arial" w:hAnsi="Arial"/>
          <w:sz w:val="18"/>
          <w:szCs w:val="18"/>
          <w:color w:val="auto"/>
        </w:rPr>
        <w:t xml:space="preserve"> M. B</w:t>
      </w:r>
      <w:r>
        <w:rPr>
          <w:rFonts w:ascii="Arial" w:cs="Arial" w:eastAsia="Arial" w:hAnsi="Arial"/>
          <w:sz w:val="14"/>
          <w:szCs w:val="14"/>
          <w:color w:val="auto"/>
        </w:rPr>
        <w:t>ISSON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02" w:lineRule="exact"/>
        <w:rPr>
          <w:sz w:val="20"/>
          <w:szCs w:val="20"/>
          <w:color w:val="auto"/>
        </w:rPr>
      </w:pPr>
    </w:p>
    <w:p>
      <w:pPr>
        <w:jc w:val="center"/>
        <w:ind w:left="5840"/>
        <w:spacing w:after="0"/>
        <w:rPr>
          <w:sz w:val="20"/>
          <w:szCs w:val="20"/>
          <w:color w:val="auto"/>
        </w:rPr>
      </w:pPr>
      <w:r>
        <w:rPr>
          <w:rFonts w:ascii="Arial" w:cs="Arial" w:eastAsia="Arial" w:hAnsi="Arial"/>
          <w:sz w:val="14"/>
          <w:szCs w:val="14"/>
          <w:b w:val="1"/>
          <w:bCs w:val="1"/>
          <w:color w:val="auto"/>
        </w:rPr>
        <w:t>Kevin M. Bisson</w:t>
      </w:r>
    </w:p>
    <w:p>
      <w:pPr>
        <w:spacing w:after="0" w:line="109" w:lineRule="exact"/>
        <w:rPr>
          <w:sz w:val="20"/>
          <w:szCs w:val="20"/>
          <w:color w:val="auto"/>
        </w:rPr>
      </w:pPr>
    </w:p>
    <w:p>
      <w:pPr>
        <w:jc w:val="center"/>
        <w:ind w:left="5840"/>
        <w:spacing w:after="0"/>
        <w:rPr>
          <w:sz w:val="20"/>
          <w:szCs w:val="20"/>
          <w:color w:val="auto"/>
        </w:rPr>
      </w:pPr>
      <w:r>
        <w:rPr>
          <w:rFonts w:ascii="Arial" w:cs="Arial" w:eastAsia="Arial" w:hAnsi="Arial"/>
          <w:sz w:val="14"/>
          <w:szCs w:val="14"/>
          <w:b w:val="1"/>
          <w:bCs w:val="1"/>
          <w:color w:val="auto"/>
        </w:rPr>
        <w:t>Senior Vice President,</w:t>
      </w:r>
    </w:p>
    <w:p>
      <w:pPr>
        <w:spacing w:after="0" w:line="109" w:lineRule="exact"/>
        <w:rPr>
          <w:sz w:val="20"/>
          <w:szCs w:val="20"/>
          <w:color w:val="auto"/>
        </w:rPr>
      </w:pPr>
    </w:p>
    <w:p>
      <w:pPr>
        <w:jc w:val="center"/>
        <w:ind w:left="584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200" w:lineRule="exact"/>
        <w:rPr>
          <w:sz w:val="20"/>
          <w:szCs w:val="20"/>
          <w:color w:val="auto"/>
        </w:rPr>
      </w:pPr>
    </w:p>
    <w:p>
      <w:pPr>
        <w:spacing w:after="0" w:line="22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720"/>
          </w:cols>
          <w:pgMar w:left="240" w:top="580" w:right="9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Mark Aslett, certify that:</w:t>
      </w:r>
    </w:p>
    <w:p>
      <w:pPr>
        <w:spacing w:after="0" w:line="171" w:lineRule="exact"/>
        <w:rPr>
          <w:sz w:val="20"/>
          <w:szCs w:val="20"/>
          <w:color w:val="auto"/>
        </w:rPr>
      </w:pPr>
    </w:p>
    <w:p>
      <w:pPr>
        <w:ind w:left="1620" w:hanging="964"/>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Mercury Systems, Inc.;</w:t>
      </w:r>
    </w:p>
    <w:p>
      <w:pPr>
        <w:spacing w:after="0" w:line="171" w:lineRule="exact"/>
        <w:rPr>
          <w:rFonts w:ascii="Arial" w:cs="Arial" w:eastAsia="Arial" w:hAnsi="Arial"/>
          <w:sz w:val="18"/>
          <w:szCs w:val="18"/>
          <w:color w:val="auto"/>
        </w:rPr>
      </w:pPr>
    </w:p>
    <w:p>
      <w:pPr>
        <w:ind w:left="1620" w:right="20" w:hanging="964"/>
        <w:spacing w:after="0" w:line="264" w:lineRule="auto"/>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620" w:right="80" w:hanging="964"/>
        <w:spacing w:after="0" w:line="342" w:lineRule="auto"/>
        <w:tabs>
          <w:tab w:leader="none" w:pos="16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620" w:right="100" w:hanging="964"/>
        <w:spacing w:after="0" w:line="264" w:lineRule="auto"/>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2760" w:right="220" w:hanging="1131"/>
        <w:spacing w:after="0" w:line="259" w:lineRule="auto"/>
        <w:tabs>
          <w:tab w:leader="none" w:pos="27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8"/>
          <w:szCs w:val="18"/>
          <w:color w:val="auto"/>
        </w:rPr>
      </w:pPr>
    </w:p>
    <w:p>
      <w:pPr>
        <w:ind w:left="2760" w:right="120" w:hanging="1131"/>
        <w:spacing w:after="0" w:line="312" w:lineRule="auto"/>
        <w:tabs>
          <w:tab w:leader="none" w:pos="27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2" w:lineRule="exact"/>
        <w:rPr>
          <w:rFonts w:ascii="Arial" w:cs="Arial" w:eastAsia="Arial" w:hAnsi="Arial"/>
          <w:sz w:val="16"/>
          <w:szCs w:val="16"/>
          <w:color w:val="auto"/>
        </w:rPr>
      </w:pPr>
    </w:p>
    <w:p>
      <w:pPr>
        <w:ind w:left="2760" w:hanging="1131"/>
        <w:spacing w:after="0" w:line="264" w:lineRule="auto"/>
        <w:tabs>
          <w:tab w:leader="none" w:pos="27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2760" w:right="120" w:hanging="1131"/>
        <w:spacing w:after="0" w:line="259" w:lineRule="auto"/>
        <w:tabs>
          <w:tab w:leader="none" w:pos="27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8"/>
          <w:szCs w:val="18"/>
          <w:color w:val="auto"/>
        </w:rPr>
      </w:pPr>
    </w:p>
    <w:p>
      <w:pPr>
        <w:ind w:left="1620" w:right="220" w:hanging="964"/>
        <w:spacing w:after="0" w:line="264" w:lineRule="auto"/>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2760" w:hanging="1131"/>
        <w:spacing w:after="0" w:line="264" w:lineRule="auto"/>
        <w:tabs>
          <w:tab w:leader="none" w:pos="27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7" w:lineRule="exact"/>
        <w:rPr>
          <w:rFonts w:ascii="Arial" w:cs="Arial" w:eastAsia="Arial" w:hAnsi="Arial"/>
          <w:sz w:val="18"/>
          <w:szCs w:val="18"/>
          <w:color w:val="auto"/>
        </w:rPr>
      </w:pPr>
    </w:p>
    <w:p>
      <w:pPr>
        <w:ind w:left="2760" w:right="300" w:hanging="1131"/>
        <w:spacing w:after="0" w:line="277" w:lineRule="auto"/>
        <w:tabs>
          <w:tab w:leader="none" w:pos="27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8, 2014</w:t>
      </w:r>
    </w:p>
    <w:p>
      <w:pPr>
        <w:spacing w:after="0" w:line="171" w:lineRule="exact"/>
        <w:rPr>
          <w:sz w:val="20"/>
          <w:szCs w:val="20"/>
          <w:color w:val="auto"/>
        </w:rPr>
      </w:pPr>
    </w:p>
    <w:p>
      <w:pPr>
        <w:ind w:left="2060"/>
        <w:spacing w:after="0"/>
        <w:tabs>
          <w:tab w:leader="none" w:pos="24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ARK</w:t>
      </w:r>
      <w:r>
        <w:rPr>
          <w:rFonts w:ascii="Arial" w:cs="Arial" w:eastAsia="Arial" w:hAnsi="Arial"/>
          <w:sz w:val="18"/>
          <w:szCs w:val="18"/>
          <w:color w:val="auto"/>
        </w:rPr>
        <w:t xml:space="preserve"> A</w:t>
      </w:r>
      <w:r>
        <w:rPr>
          <w:rFonts w:ascii="Arial" w:cs="Arial" w:eastAsia="Arial" w:hAnsi="Arial"/>
          <w:sz w:val="14"/>
          <w:szCs w:val="14"/>
          <w:color w:val="auto"/>
        </w:rPr>
        <w:t>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791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48" w:lineRule="exact"/>
        <w:rPr>
          <w:sz w:val="20"/>
          <w:szCs w:val="20"/>
          <w:color w:val="auto"/>
        </w:rPr>
      </w:pPr>
    </w:p>
    <w:p>
      <w:pPr>
        <w:ind w:left="2540"/>
        <w:spacing w:after="0"/>
        <w:rPr>
          <w:sz w:val="20"/>
          <w:szCs w:val="20"/>
          <w:color w:val="auto"/>
        </w:rPr>
      </w:pPr>
      <w:r>
        <w:rPr>
          <w:rFonts w:ascii="Arial" w:cs="Arial" w:eastAsia="Arial" w:hAnsi="Arial"/>
          <w:sz w:val="14"/>
          <w:szCs w:val="14"/>
          <w:b w:val="1"/>
          <w:bCs w:val="1"/>
          <w:color w:val="auto"/>
        </w:rPr>
        <w:t>Mark Aslett</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4"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580"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Kevin M. Bisson, certify that:</w:t>
      </w:r>
    </w:p>
    <w:p>
      <w:pPr>
        <w:spacing w:after="0" w:line="171" w:lineRule="exact"/>
        <w:rPr>
          <w:sz w:val="20"/>
          <w:szCs w:val="20"/>
          <w:color w:val="auto"/>
        </w:rPr>
      </w:pPr>
    </w:p>
    <w:p>
      <w:pPr>
        <w:ind w:left="1620" w:hanging="964"/>
        <w:spacing w:after="0"/>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Mercury Systems, Inc.;</w:t>
      </w:r>
    </w:p>
    <w:p>
      <w:pPr>
        <w:spacing w:after="0" w:line="171" w:lineRule="exact"/>
        <w:rPr>
          <w:rFonts w:ascii="Arial" w:cs="Arial" w:eastAsia="Arial" w:hAnsi="Arial"/>
          <w:sz w:val="18"/>
          <w:szCs w:val="18"/>
          <w:color w:val="auto"/>
        </w:rPr>
      </w:pPr>
    </w:p>
    <w:p>
      <w:pPr>
        <w:ind w:left="1620" w:right="20" w:hanging="964"/>
        <w:spacing w:after="0" w:line="264" w:lineRule="auto"/>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620" w:right="80" w:hanging="964"/>
        <w:spacing w:after="0" w:line="342" w:lineRule="auto"/>
        <w:tabs>
          <w:tab w:leader="none" w:pos="16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620" w:right="100" w:hanging="964"/>
        <w:spacing w:after="0" w:line="264" w:lineRule="auto"/>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2760" w:right="220" w:hanging="1131"/>
        <w:spacing w:after="0" w:line="259" w:lineRule="auto"/>
        <w:tabs>
          <w:tab w:leader="none" w:pos="27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8"/>
          <w:szCs w:val="18"/>
          <w:color w:val="auto"/>
        </w:rPr>
      </w:pPr>
    </w:p>
    <w:p>
      <w:pPr>
        <w:ind w:left="2760" w:right="120" w:hanging="1131"/>
        <w:spacing w:after="0" w:line="312" w:lineRule="auto"/>
        <w:tabs>
          <w:tab w:leader="none" w:pos="27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2" w:lineRule="exact"/>
        <w:rPr>
          <w:rFonts w:ascii="Arial" w:cs="Arial" w:eastAsia="Arial" w:hAnsi="Arial"/>
          <w:sz w:val="16"/>
          <w:szCs w:val="16"/>
          <w:color w:val="auto"/>
        </w:rPr>
      </w:pPr>
    </w:p>
    <w:p>
      <w:pPr>
        <w:ind w:left="2760" w:hanging="1131"/>
        <w:spacing w:after="0" w:line="264" w:lineRule="auto"/>
        <w:tabs>
          <w:tab w:leader="none" w:pos="27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2760" w:right="120" w:hanging="1131"/>
        <w:spacing w:after="0" w:line="259" w:lineRule="auto"/>
        <w:tabs>
          <w:tab w:leader="none" w:pos="27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8"/>
          <w:szCs w:val="18"/>
          <w:color w:val="auto"/>
        </w:rPr>
      </w:pPr>
    </w:p>
    <w:p>
      <w:pPr>
        <w:ind w:left="1620" w:right="220" w:hanging="964"/>
        <w:spacing w:after="0" w:line="264" w:lineRule="auto"/>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2760" w:hanging="1131"/>
        <w:spacing w:after="0" w:line="264" w:lineRule="auto"/>
        <w:tabs>
          <w:tab w:leader="none" w:pos="27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7" w:lineRule="exact"/>
        <w:rPr>
          <w:rFonts w:ascii="Arial" w:cs="Arial" w:eastAsia="Arial" w:hAnsi="Arial"/>
          <w:sz w:val="18"/>
          <w:szCs w:val="18"/>
          <w:color w:val="auto"/>
        </w:rPr>
      </w:pPr>
    </w:p>
    <w:p>
      <w:pPr>
        <w:ind w:left="2760" w:right="300" w:hanging="1131"/>
        <w:spacing w:after="0" w:line="277" w:lineRule="auto"/>
        <w:tabs>
          <w:tab w:leader="none" w:pos="27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8, 2014</w:t>
      </w:r>
    </w:p>
    <w:p>
      <w:pPr>
        <w:spacing w:after="0" w:line="171" w:lineRule="exact"/>
        <w:rPr>
          <w:sz w:val="20"/>
          <w:szCs w:val="20"/>
          <w:color w:val="auto"/>
        </w:rPr>
      </w:pPr>
    </w:p>
    <w:p>
      <w:pPr>
        <w:ind w:left="1920"/>
        <w:spacing w:after="0"/>
        <w:tabs>
          <w:tab w:leader="none" w:pos="22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K</w:t>
      </w:r>
      <w:r>
        <w:rPr>
          <w:rFonts w:ascii="Arial" w:cs="Arial" w:eastAsia="Arial" w:hAnsi="Arial"/>
          <w:sz w:val="14"/>
          <w:szCs w:val="14"/>
          <w:color w:val="auto"/>
        </w:rPr>
        <w:t>EVIN</w:t>
      </w:r>
      <w:r>
        <w:rPr>
          <w:rFonts w:ascii="Arial" w:cs="Arial" w:eastAsia="Arial" w:hAnsi="Arial"/>
          <w:sz w:val="18"/>
          <w:szCs w:val="18"/>
          <w:color w:val="auto"/>
        </w:rPr>
        <w:t xml:space="preserve"> M. B</w:t>
      </w:r>
      <w:r>
        <w:rPr>
          <w:rFonts w:ascii="Arial" w:cs="Arial" w:eastAsia="Arial" w:hAnsi="Arial"/>
          <w:sz w:val="14"/>
          <w:szCs w:val="14"/>
          <w:color w:val="auto"/>
        </w:rPr>
        <w:t>ISSON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79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48" w:lineRule="exact"/>
        <w:rPr>
          <w:sz w:val="20"/>
          <w:szCs w:val="20"/>
          <w:color w:val="auto"/>
        </w:rPr>
      </w:pPr>
    </w:p>
    <w:p>
      <w:pPr>
        <w:ind w:left="2400"/>
        <w:spacing w:after="0"/>
        <w:rPr>
          <w:sz w:val="20"/>
          <w:szCs w:val="20"/>
          <w:color w:val="auto"/>
        </w:rPr>
      </w:pPr>
      <w:r>
        <w:rPr>
          <w:rFonts w:ascii="Arial" w:cs="Arial" w:eastAsia="Arial" w:hAnsi="Arial"/>
          <w:sz w:val="14"/>
          <w:szCs w:val="14"/>
          <w:b w:val="1"/>
          <w:bCs w:val="1"/>
          <w:color w:val="auto"/>
        </w:rPr>
        <w:t>Kevin M. Bisson</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SENIOR VICE PRESIDENT,</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580"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Mercury Systems,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w:t>
      </w:r>
    </w:p>
    <w:p>
      <w:pPr>
        <w:spacing w:after="0" w:line="76"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In connection with the Quarterly Report of Mercury Systems, Inc. (the “Company”) on Form 10-Q for the period ended March 31, 2014 as filed with the Securities and Exchange Commission (the “Report”), we, Mark Aslett, President and Chief Executive Officer of the Company, and Kevin M. Bisson, Senior Vice President, Chief Financial Officer, and Treasurer of the Company, certify, pursuant to Section 1350 of Chapter 63 of Title 18, United States Code, that to our knowledge the Report fully complies with the requirements of Section 13(a) or 15(d), as applicable, of the Securities Exchange Act of 1934, as amended, and the information contained in the Report fairly presents, in all material respects, the financial condition and results of operations of the Company.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Date: May 8, 2014</w:t>
      </w:r>
    </w:p>
    <w:p>
      <w:pPr>
        <w:spacing w:after="0" w:line="360" w:lineRule="exact"/>
        <w:rPr>
          <w:sz w:val="20"/>
          <w:szCs w:val="20"/>
          <w:color w:val="auto"/>
        </w:rPr>
      </w:pPr>
    </w:p>
    <w:p>
      <w:pPr>
        <w:ind w:left="2060"/>
        <w:spacing w:after="0"/>
        <w:tabs>
          <w:tab w:leader="none" w:pos="24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ARK</w:t>
      </w:r>
      <w:r>
        <w:rPr>
          <w:rFonts w:ascii="Arial" w:cs="Arial" w:eastAsia="Arial" w:hAnsi="Arial"/>
          <w:sz w:val="18"/>
          <w:szCs w:val="18"/>
          <w:color w:val="auto"/>
        </w:rPr>
        <w:t xml:space="preserve"> A</w:t>
      </w:r>
      <w:r>
        <w:rPr>
          <w:rFonts w:ascii="Arial" w:cs="Arial" w:eastAsia="Arial" w:hAnsi="Arial"/>
          <w:sz w:val="14"/>
          <w:szCs w:val="14"/>
          <w:color w:val="auto"/>
        </w:rPr>
        <w:t>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791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48" w:lineRule="exact"/>
        <w:rPr>
          <w:sz w:val="20"/>
          <w:szCs w:val="20"/>
          <w:color w:val="auto"/>
        </w:rPr>
      </w:pPr>
    </w:p>
    <w:p>
      <w:pPr>
        <w:ind w:left="2540"/>
        <w:spacing w:after="0"/>
        <w:rPr>
          <w:sz w:val="20"/>
          <w:szCs w:val="20"/>
          <w:color w:val="auto"/>
        </w:rPr>
      </w:pPr>
      <w:r>
        <w:rPr>
          <w:rFonts w:ascii="Arial" w:cs="Arial" w:eastAsia="Arial" w:hAnsi="Arial"/>
          <w:sz w:val="14"/>
          <w:szCs w:val="14"/>
          <w:b w:val="1"/>
          <w:bCs w:val="1"/>
          <w:color w:val="auto"/>
        </w:rPr>
        <w:t>Mark Aslett</w:t>
      </w:r>
    </w:p>
    <w:p>
      <w:pPr>
        <w:spacing w:after="0" w:line="42" w:lineRule="exact"/>
        <w:rPr>
          <w:sz w:val="20"/>
          <w:szCs w:val="20"/>
          <w:color w:val="auto"/>
        </w:rPr>
      </w:pPr>
    </w:p>
    <w:p>
      <w:pPr>
        <w:ind w:left="128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374" w:lineRule="exact"/>
        <w:rPr>
          <w:sz w:val="20"/>
          <w:szCs w:val="20"/>
          <w:color w:val="auto"/>
        </w:rPr>
      </w:pPr>
    </w:p>
    <w:p>
      <w:pPr>
        <w:ind w:left="1920"/>
        <w:spacing w:after="0"/>
        <w:tabs>
          <w:tab w:leader="none" w:pos="22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K</w:t>
      </w:r>
      <w:r>
        <w:rPr>
          <w:rFonts w:ascii="Arial" w:cs="Arial" w:eastAsia="Arial" w:hAnsi="Arial"/>
          <w:sz w:val="14"/>
          <w:szCs w:val="14"/>
          <w:color w:val="auto"/>
        </w:rPr>
        <w:t>EVIN</w:t>
      </w:r>
      <w:r>
        <w:rPr>
          <w:rFonts w:ascii="Arial" w:cs="Arial" w:eastAsia="Arial" w:hAnsi="Arial"/>
          <w:sz w:val="18"/>
          <w:szCs w:val="18"/>
          <w:color w:val="auto"/>
        </w:rPr>
        <w:t xml:space="preserve"> M. B</w:t>
      </w:r>
      <w:r>
        <w:rPr>
          <w:rFonts w:ascii="Arial" w:cs="Arial" w:eastAsia="Arial" w:hAnsi="Arial"/>
          <w:sz w:val="14"/>
          <w:szCs w:val="14"/>
          <w:color w:val="auto"/>
        </w:rPr>
        <w:t>ISSON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791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48" w:lineRule="exact"/>
        <w:rPr>
          <w:sz w:val="20"/>
          <w:szCs w:val="20"/>
          <w:color w:val="auto"/>
        </w:rPr>
      </w:pPr>
    </w:p>
    <w:p>
      <w:pPr>
        <w:ind w:left="2400"/>
        <w:spacing w:after="0"/>
        <w:rPr>
          <w:sz w:val="20"/>
          <w:szCs w:val="20"/>
          <w:color w:val="auto"/>
        </w:rPr>
      </w:pPr>
      <w:r>
        <w:rPr>
          <w:rFonts w:ascii="Arial" w:cs="Arial" w:eastAsia="Arial" w:hAnsi="Arial"/>
          <w:sz w:val="14"/>
          <w:szCs w:val="14"/>
          <w:b w:val="1"/>
          <w:bCs w:val="1"/>
          <w:color w:val="auto"/>
        </w:rPr>
        <w:t>Kevin M. Bisson</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SENIOR VICE PRESIDENT,</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18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x"/>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upperLetter"/>
      <w:start w:val="1"/>
    </w:lvl>
  </w:abstractNum>
  <w:abstractNum w:abstractNumId="3">
    <w:nsid w:val="66EF438D"/>
    <w:multiLevelType w:val="hybridMultilevel"/>
    <w:lvl w:ilvl="0">
      <w:lvlJc w:val="left"/>
      <w:lvlText w:val="%1."/>
      <w:numFmt w:val="upperLetter"/>
      <w:start w:val="2"/>
    </w:lvl>
  </w:abstractNum>
  <w:abstractNum w:abstractNumId="4">
    <w:nsid w:val="140E0F76"/>
    <w:multiLevelType w:val="hybridMultilevel"/>
    <w:lvl w:ilvl="0">
      <w:lvlJc w:val="left"/>
      <w:lvlText w:val="%1."/>
      <w:numFmt w:val="upperLetter"/>
      <w:start w:val="3"/>
    </w:lvl>
  </w:abstractNum>
  <w:abstractNum w:abstractNumId="5">
    <w:nsid w:val="3352255A"/>
    <w:multiLevelType w:val="hybridMultilevel"/>
    <w:lvl w:ilvl="0">
      <w:lvlJc w:val="left"/>
      <w:lvlText w:val="%1."/>
      <w:numFmt w:val="upperLetter"/>
      <w:start w:val="4"/>
    </w:lvl>
  </w:abstractNum>
  <w:abstractNum w:abstractNumId="6">
    <w:nsid w:val="109CF92E"/>
    <w:multiLevelType w:val="hybridMultilevel"/>
    <w:lvl w:ilvl="0">
      <w:lvlJc w:val="left"/>
      <w:lvlText w:val="%1."/>
      <w:numFmt w:val="upperLetter"/>
      <w:start w:val="5"/>
    </w:lvl>
  </w:abstractNum>
  <w:abstractNum w:abstractNumId="7">
    <w:nsid w:val="DED7263"/>
    <w:multiLevelType w:val="hybridMultilevel"/>
    <w:lvl w:ilvl="0">
      <w:lvlJc w:val="left"/>
      <w:lvlText w:val="%1."/>
      <w:numFmt w:val="upperLetter"/>
      <w:start w:val="6"/>
    </w:lvl>
  </w:abstractNum>
  <w:abstractNum w:abstractNumId="8">
    <w:nsid w:val="7FDCC233"/>
    <w:multiLevelType w:val="hybridMultilevel"/>
    <w:lvl w:ilvl="0">
      <w:lvlJc w:val="left"/>
      <w:lvlText w:val="%1."/>
      <w:numFmt w:val="upperLetter"/>
      <w:start w:val="7"/>
    </w:lvl>
  </w:abstractNum>
  <w:abstractNum w:abstractNumId="9">
    <w:nsid w:val="1BEFD79F"/>
    <w:multiLevelType w:val="hybridMultilevel"/>
    <w:lvl w:ilvl="0">
      <w:lvlJc w:val="left"/>
      <w:lvlText w:val="%1."/>
      <w:numFmt w:val="upperLetter"/>
      <w:start w:val="8"/>
    </w:lvl>
  </w:abstractNum>
  <w:abstractNum w:abstractNumId="10">
    <w:nsid w:val="41A7C4C9"/>
    <w:multiLevelType w:val="hybridMultilevel"/>
    <w:lvl w:ilvl="0">
      <w:lvlJc w:val="left"/>
      <w:lvlText w:val="%1."/>
      <w:numFmt w:val="upperLetter"/>
      <w:start w:val="9"/>
    </w:lvl>
  </w:abstractNum>
  <w:abstractNum w:abstractNumId="11">
    <w:nsid w:val="6B68079A"/>
    <w:multiLevelType w:val="hybridMultilevel"/>
    <w:lvl w:ilvl="0">
      <w:lvlJc w:val="left"/>
      <w:lvlText w:val="%1."/>
      <w:numFmt w:val="upperLetter"/>
      <w:start w:val="10"/>
    </w:lvl>
  </w:abstractNum>
  <w:abstractNum w:abstractNumId="12">
    <w:nsid w:val="4E6AFB66"/>
    <w:multiLevelType w:val="hybridMultilevel"/>
    <w:lvl w:ilvl="0">
      <w:lvlJc w:val="left"/>
      <w:lvlText w:val="%1."/>
      <w:numFmt w:val="upperLetter"/>
      <w:start w:val="1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1."/>
      <w:numFmt w:val="upperLetter"/>
      <w:start w:val="12"/>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2019-12-06T18:19:45Z</dcterms:created>
  <dcterms:modified xsi:type="dcterms:W3CDTF">2019-12-06T18:19:45Z</dcterms:modified>
</cp:coreProperties>
</file>