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Ostfeld Scott</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888 SEVENTH AVENUE, 24TH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MERCURY SYSTEMS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MRCY</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1" w:lineRule="exact"/>
        <w:rPr>
          <w:sz w:val="24"/>
          <w:szCs w:val="24"/>
          <w:color w:val="auto"/>
        </w:rPr>
      </w:pPr>
    </w:p>
    <w:p>
      <w:pPr>
        <w:spacing w:after="0"/>
        <w:rPr>
          <w:sz w:val="20"/>
          <w:szCs w:val="20"/>
          <w:color w:val="auto"/>
        </w:rPr>
      </w:pPr>
      <w:r>
        <w:rPr>
          <w:rFonts w:ascii="Arial" w:cs="Arial" w:eastAsia="Arial" w:hAnsi="Arial"/>
          <w:sz w:val="13"/>
          <w:szCs w:val="13"/>
          <w:color w:val="auto"/>
        </w:rPr>
        <w:t>Foreign Trading Symbol</w:t>
      </w:r>
    </w:p>
    <w:p>
      <w:pPr>
        <w:spacing w:after="0" w:line="225"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10/28/2026</w:t>
      </w:r>
    </w:p>
    <w:p>
      <w:pPr>
        <w:spacing w:after="0" w:line="20" w:lineRule="exact"/>
        <w:rPr>
          <w:sz w:val="24"/>
          <w:szCs w:val="24"/>
          <w:color w:val="auto"/>
        </w:rPr>
      </w:pPr>
      <w:r>
        <w:rPr>
          <w:sz w:val="24"/>
          <w:szCs w:val="24"/>
          <w:color w:val="auto"/>
        </w:rPr>
        <w:br w:type="column"/>
      </w:r>
    </w:p>
    <w:p>
      <w:pPr>
        <w:ind w:left="5" w:right="540" w:hanging="5"/>
        <w:spacing w:after="0" w:line="27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7"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77"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465" w:lineRule="exact"/>
        <w:rPr>
          <w:sz w:val="24"/>
          <w:szCs w:val="24"/>
          <w:color w:val="auto"/>
        </w:rPr>
      </w:pPr>
    </w:p>
    <w:p>
      <w:pPr>
        <w:sectPr>
          <w:pgSz w:w="11900" w:h="16838" w:orient="portrait"/>
          <w:cols w:equalWidth="0" w:num="3">
            <w:col w:w="3200" w:space="720"/>
            <w:col w:w="3280" w:space="535"/>
            <w:col w:w="3345"/>
          </w:cols>
          <w:pgMar w:left="460" w:top="219" w:right="359" w:bottom="1440" w:gutter="0" w:footer="0" w:header="0"/>
          <w:type w:val="continuous"/>
        </w:sectPr>
      </w:pPr>
    </w:p>
    <w:p>
      <w:pPr>
        <w:spacing w:after="0" w:line="200"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10106</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40" w:type="dxa"/>
            <w:vAlign w:val="bottom"/>
          </w:tcPr>
          <w:p>
            <w:pPr>
              <w:spacing w:after="0"/>
              <w:rPr>
                <w:sz w:val="13"/>
                <w:szCs w:val="13"/>
                <w:color w:val="auto"/>
              </w:rPr>
            </w:pP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0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0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00" w:type="dxa"/>
            <w:vAlign w:val="bottom"/>
            <w:gridSpan w:val="7"/>
          </w:tcPr>
          <w:p>
            <w:pPr>
              <w:ind w:left="6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680" w:type="dxa"/>
            <w:vAlign w:val="bottom"/>
          </w:tcPr>
          <w:p>
            <w:pPr>
              <w:spacing w:after="0"/>
              <w:rPr>
                <w:sz w:val="6"/>
                <w:szCs w:val="6"/>
                <w:color w:val="auto"/>
              </w:rPr>
            </w:pPr>
          </w:p>
        </w:tc>
        <w:tc>
          <w:tcPr>
            <w:tcW w:w="44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6"/>
                <w:szCs w:val="6"/>
                <w:color w:val="auto"/>
              </w:rPr>
            </w:pPr>
          </w:p>
        </w:tc>
        <w:tc>
          <w:tcPr>
            <w:tcW w:w="62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40" w:type="dxa"/>
            <w:vAlign w:val="bottom"/>
          </w:tcPr>
          <w:p>
            <w:pPr>
              <w:spacing w:after="0"/>
              <w:rPr>
                <w:sz w:val="3"/>
                <w:szCs w:val="3"/>
                <w:color w:val="auto"/>
              </w:rPr>
            </w:pPr>
          </w:p>
        </w:tc>
        <w:tc>
          <w:tcPr>
            <w:tcW w:w="46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60" w:type="dxa"/>
            <w:vAlign w:val="bottom"/>
          </w:tcPr>
          <w:p>
            <w:pPr>
              <w:ind w:left="140"/>
              <w:spacing w:after="0" w:line="133" w:lineRule="exact"/>
              <w:rPr>
                <w:sz w:val="20"/>
                <w:szCs w:val="20"/>
                <w:color w:val="auto"/>
              </w:rPr>
            </w:pPr>
            <w:r>
              <w:rPr>
                <w:rFonts w:ascii="Arial" w:cs="Arial" w:eastAsia="Arial" w:hAnsi="Arial"/>
                <w:sz w:val="12"/>
                <w:szCs w:val="12"/>
                <w:b w:val="1"/>
                <w:bCs w:val="1"/>
                <w:color w:val="auto"/>
                <w:w w:val="93"/>
              </w:rPr>
              <w:t>(A) or</w:t>
            </w:r>
          </w:p>
        </w:tc>
        <w:tc>
          <w:tcPr>
            <w:tcW w:w="600" w:type="dxa"/>
            <w:vAlign w:val="bottom"/>
            <w:gridSpan w:val="2"/>
            <w:vMerge w:val="restart"/>
          </w:tcPr>
          <w:p>
            <w:pPr>
              <w:ind w:left="160"/>
              <w:spacing w:after="0"/>
              <w:rPr>
                <w:sz w:val="20"/>
                <w:szCs w:val="20"/>
                <w:color w:val="auto"/>
              </w:rPr>
            </w:pPr>
            <w:r>
              <w:rPr>
                <w:rFonts w:ascii="Arial" w:cs="Arial" w:eastAsia="Arial" w:hAnsi="Arial"/>
                <w:sz w:val="12"/>
                <w:szCs w:val="12"/>
                <w:b w:val="1"/>
                <w:bCs w:val="1"/>
                <w:color w:val="auto"/>
              </w:rPr>
              <w:t>Price</w:t>
            </w:r>
          </w:p>
        </w:tc>
        <w:tc>
          <w:tcPr>
            <w:tcW w:w="1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680" w:type="dxa"/>
            <w:vAlign w:val="bottom"/>
          </w:tcPr>
          <w:p>
            <w:pPr>
              <w:spacing w:after="0"/>
              <w:rPr>
                <w:sz w:val="8"/>
                <w:szCs w:val="8"/>
                <w:color w:val="auto"/>
              </w:rPr>
            </w:pPr>
          </w:p>
        </w:tc>
        <w:tc>
          <w:tcPr>
            <w:tcW w:w="44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40" w:type="dxa"/>
            <w:vAlign w:val="bottom"/>
            <w:vMerge w:val="continue"/>
          </w:tcPr>
          <w:p>
            <w:pPr>
              <w:spacing w:after="0"/>
              <w:rPr>
                <w:sz w:val="8"/>
                <w:szCs w:val="8"/>
                <w:color w:val="auto"/>
              </w:rPr>
            </w:pPr>
          </w:p>
        </w:tc>
        <w:tc>
          <w:tcPr>
            <w:tcW w:w="46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62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680" w:type="dxa"/>
            <w:vAlign w:val="bottom"/>
          </w:tcPr>
          <w:p>
            <w:pPr>
              <w:spacing w:after="0"/>
              <w:rPr>
                <w:sz w:val="5"/>
                <w:szCs w:val="5"/>
                <w:color w:val="auto"/>
              </w:rPr>
            </w:pPr>
          </w:p>
        </w:tc>
        <w:tc>
          <w:tcPr>
            <w:tcW w:w="44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4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2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 par value $0.01 per share</w:t>
            </w:r>
          </w:p>
        </w:tc>
        <w:tc>
          <w:tcPr>
            <w:tcW w:w="1120" w:type="dxa"/>
            <w:vAlign w:val="bottom"/>
            <w:gridSpan w:val="2"/>
            <w:vMerge w:val="restart"/>
          </w:tcPr>
          <w:p>
            <w:pPr>
              <w:ind w:left="160"/>
              <w:spacing w:after="0"/>
              <w:rPr>
                <w:sz w:val="20"/>
                <w:szCs w:val="20"/>
                <w:color w:val="auto"/>
              </w:rPr>
            </w:pPr>
            <w:r>
              <w:rPr>
                <w:rFonts w:ascii="Times New Roman" w:cs="Times New Roman" w:eastAsia="Times New Roman" w:hAnsi="Times New Roman"/>
                <w:sz w:val="17"/>
                <w:szCs w:val="17"/>
                <w:color w:val="0000FF"/>
              </w:rPr>
              <w:t>10/28/2026</w:t>
            </w:r>
          </w:p>
        </w:tc>
        <w:tc>
          <w:tcPr>
            <w:tcW w:w="4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2,348</w:t>
            </w:r>
            <w:r>
              <w:rPr>
                <w:rFonts w:ascii="Times New Roman" w:cs="Times New Roman" w:eastAsia="Times New Roman" w:hAnsi="Times New Roman"/>
                <w:sz w:val="22"/>
                <w:szCs w:val="22"/>
                <w:color w:val="008000"/>
                <w:vertAlign w:val="superscript"/>
              </w:rPr>
              <w:t>(1)</w:t>
            </w:r>
          </w:p>
        </w:tc>
        <w:tc>
          <w:tcPr>
            <w:tcW w:w="460" w:type="dxa"/>
            <w:vAlign w:val="bottom"/>
            <w:vMerge w:val="restart"/>
          </w:tcPr>
          <w:p>
            <w:pPr>
              <w:ind w:left="26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vMerge w:val="restart"/>
          </w:tcPr>
          <w:p>
            <w:pPr>
              <w:ind w:left="32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700" w:type="dxa"/>
            <w:vAlign w:val="bottom"/>
            <w:vMerge w:val="restart"/>
          </w:tcPr>
          <w:p>
            <w:pPr>
              <w:jc w:val="right"/>
              <w:ind w:right="517"/>
              <w:spacing w:after="0"/>
              <w:rPr>
                <w:sz w:val="20"/>
                <w:szCs w:val="20"/>
                <w:color w:val="auto"/>
              </w:rPr>
            </w:pPr>
            <w:r>
              <w:rPr>
                <w:rFonts w:ascii="Times New Roman" w:cs="Times New Roman" w:eastAsia="Times New Roman" w:hAnsi="Times New Roman"/>
                <w:sz w:val="17"/>
                <w:szCs w:val="17"/>
                <w:color w:val="0000FF"/>
              </w:rPr>
              <w:t>0</w:t>
            </w:r>
          </w:p>
        </w:tc>
        <w:tc>
          <w:tcPr>
            <w:tcW w:w="300" w:type="dxa"/>
            <w:vAlign w:val="bottom"/>
          </w:tcPr>
          <w:p>
            <w:pPr>
              <w:spacing w:after="0"/>
              <w:rPr>
                <w:sz w:val="21"/>
                <w:szCs w:val="21"/>
                <w:color w:val="auto"/>
              </w:rPr>
            </w:pPr>
          </w:p>
        </w:tc>
        <w:tc>
          <w:tcPr>
            <w:tcW w:w="62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3080" w:type="dxa"/>
            <w:vAlign w:val="bottom"/>
            <w:gridSpan w:val="4"/>
            <w:vMerge w:val="continue"/>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vMerge w:val="continue"/>
          </w:tcPr>
          <w:p>
            <w:pPr>
              <w:spacing w:after="0"/>
              <w:rPr>
                <w:sz w:val="15"/>
                <w:szCs w:val="15"/>
                <w:color w:val="auto"/>
              </w:rPr>
            </w:pPr>
          </w:p>
        </w:tc>
        <w:tc>
          <w:tcPr>
            <w:tcW w:w="740" w:type="dxa"/>
            <w:vAlign w:val="bottom"/>
            <w:vMerge w:val="continue"/>
          </w:tcPr>
          <w:p>
            <w:pPr>
              <w:spacing w:after="0"/>
              <w:rPr>
                <w:sz w:val="15"/>
                <w:szCs w:val="15"/>
                <w:color w:val="auto"/>
              </w:rPr>
            </w:pPr>
          </w:p>
        </w:tc>
        <w:tc>
          <w:tcPr>
            <w:tcW w:w="460" w:type="dxa"/>
            <w:vAlign w:val="bottom"/>
            <w:vMerge w:val="continue"/>
          </w:tcPr>
          <w:p>
            <w:pPr>
              <w:spacing w:after="0"/>
              <w:rPr>
                <w:sz w:val="15"/>
                <w:szCs w:val="15"/>
                <w:color w:val="auto"/>
              </w:rPr>
            </w:pPr>
          </w:p>
        </w:tc>
        <w:tc>
          <w:tcPr>
            <w:tcW w:w="5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vMerge w:val="continue"/>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(2)</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72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112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68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800" w:type="dxa"/>
            <w:vAlign w:val="bottom"/>
            <w:tcBorders>
              <w:bottom w:val="single" w:sz="8" w:color="2C2C2C"/>
            </w:tcBorders>
          </w:tcPr>
          <w:p>
            <w:pPr>
              <w:spacing w:after="0"/>
              <w:rPr>
                <w:sz w:val="13"/>
                <w:szCs w:val="13"/>
                <w:color w:val="auto"/>
              </w:rPr>
            </w:pPr>
          </w:p>
        </w:tc>
        <w:tc>
          <w:tcPr>
            <w:tcW w:w="740" w:type="dxa"/>
            <w:vAlign w:val="bottom"/>
            <w:tcBorders>
              <w:bottom w:val="single" w:sz="8" w:color="2C2C2C"/>
            </w:tcBorders>
          </w:tcPr>
          <w:p>
            <w:pPr>
              <w:spacing w:after="0"/>
              <w:rPr>
                <w:sz w:val="13"/>
                <w:szCs w:val="13"/>
                <w:color w:val="auto"/>
              </w:rPr>
            </w:pPr>
          </w:p>
        </w:tc>
        <w:tc>
          <w:tcPr>
            <w:tcW w:w="460" w:type="dxa"/>
            <w:vAlign w:val="bottom"/>
            <w:tcBorders>
              <w:bottom w:val="single" w:sz="8" w:color="2C2C2C"/>
            </w:tcBorders>
          </w:tcPr>
          <w:p>
            <w:pPr>
              <w:spacing w:after="0"/>
              <w:rPr>
                <w:sz w:val="13"/>
                <w:szCs w:val="13"/>
                <w:color w:val="auto"/>
              </w:rPr>
            </w:pPr>
          </w:p>
        </w:tc>
        <w:tc>
          <w:tcPr>
            <w:tcW w:w="5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70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700" w:type="dxa"/>
            <w:vAlign w:val="bottom"/>
            <w:gridSpan w:val="14"/>
          </w:tcPr>
          <w:p>
            <w:pPr>
              <w:jc w:val="right"/>
              <w:ind w:right="517"/>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4840" w:type="dxa"/>
            <w:vAlign w:val="bottom"/>
            <w:gridSpan w:val="9"/>
          </w:tcPr>
          <w:p>
            <w:pPr>
              <w:ind w:left="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0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4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2"/>
          </w:tcPr>
          <w:p>
            <w:pPr>
              <w:ind w:left="6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derivative</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8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7"/>
              </w:rPr>
              <w:t>Securities</w:t>
            </w:r>
          </w:p>
        </w:tc>
        <w:tc>
          <w:tcPr>
            <w:tcW w:w="300" w:type="dxa"/>
            <w:vAlign w:val="bottom"/>
          </w:tcPr>
          <w:p>
            <w:pPr>
              <w:spacing w:after="0"/>
              <w:rPr>
                <w:sz w:val="11"/>
                <w:szCs w:val="11"/>
                <w:color w:val="auto"/>
              </w:rPr>
            </w:pP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9"/>
              </w:rPr>
              <w:t>Following</w:t>
            </w:r>
          </w:p>
        </w:tc>
        <w:tc>
          <w:tcPr>
            <w:tcW w:w="300" w:type="dxa"/>
            <w:vAlign w:val="bottom"/>
          </w:tcPr>
          <w:p>
            <w:pPr>
              <w:spacing w:after="0"/>
              <w:rPr>
                <w:sz w:val="11"/>
                <w:szCs w:val="11"/>
                <w:color w:val="auto"/>
              </w:rPr>
            </w:pPr>
          </w:p>
        </w:tc>
        <w:tc>
          <w:tcPr>
            <w:tcW w:w="7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680" w:type="dxa"/>
            <w:vAlign w:val="bottom"/>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0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1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Number</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6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of</w:t>
            </w:r>
          </w:p>
        </w:tc>
        <w:tc>
          <w:tcPr>
            <w:tcW w:w="1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Exercisable</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1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deferred stock units ("DSUs") granted to Scott Ostfeld ("Mr. Ostfeld"), a Managing Partner and Portfolio Manager of JANA Partners Management, LP ("JANA"), in connection with his service on the Issuer's Board of Directors. The DSUs vest on the earlier of the first anniversary of the grant date and the next annual meeting of shareholders. Vested DSUs do not convert into shares of common stock until the date on which Mr. Ostfeld ceases to be a member of the Issuer's Board of Directors.</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Mr. Ostfeld has assigned all rights to any shares issuable pursuant to the grant to JANA. Pursuant to the assignment, settlement of the award on vesting will be made to JANA.</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color w:val="008000"/>
        </w:rPr>
        <w:t>Based on the current structure of JANA, JANA will no longer file as a director-by-deputization for purposes of Section 16 under the Securities Exchange Act of 1934.</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20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Scott Ostfeld</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10/30/2026</w:t>
            </w:r>
          </w:p>
        </w:tc>
      </w:tr>
      <w:tr>
        <w:trPr>
          <w:trHeight w:val="20"/>
        </w:trPr>
        <w:tc>
          <w:tcPr>
            <w:tcW w:w="112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670312" TargetMode="External"/><Relationship Id="rId14" Type="http://schemas.openxmlformats.org/officeDocument/2006/relationships/hyperlink" Target="http://www.sec.gov/cgi-bin/browse-edgar?action=getcompany&amp;CIK=000104952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2026-10-30T07:56:01Z</dcterms:created>
  <dcterms:modified xsi:type="dcterms:W3CDTF">2026-10-30T07:56:01Z</dcterms:modified>
</cp:coreProperties>
</file>