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-224155</wp:posOffset>
            </wp:positionV>
            <wp:extent cx="1697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324485</wp:posOffset>
            </wp:positionV>
            <wp:extent cx="1697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720" w:right="320" w:hanging="685"/>
        <w:spacing w:after="0" w:line="266"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2014</w:t>
      </w:r>
    </w:p>
    <w:p>
      <w:pPr>
        <w:jc w:val="center"/>
        <w:ind w:right="-3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4" w:lineRule="exact"/>
        <w:rPr>
          <w:sz w:val="24"/>
          <w:szCs w:val="24"/>
          <w:color w:val="auto"/>
        </w:rPr>
      </w:pPr>
    </w:p>
    <w:p>
      <w:pPr>
        <w:ind w:left="720"/>
        <w:spacing w:after="0"/>
        <w:tabs>
          <w:tab w:leader="none" w:pos="4180" w:val="left"/>
          <w:tab w:leader="none" w:pos="53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0-23599</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MERCURY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-224155</wp:posOffset>
            </wp:positionV>
            <wp:extent cx="1697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167640</wp:posOffset>
            </wp:positionV>
            <wp:extent cx="1697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4040" w:type="dxa"/>
            <w:vAlign w:val="bottom"/>
          </w:tcPr>
          <w:p>
            <w:pPr>
              <w:jc w:val="center"/>
              <w:ind w:left="918"/>
              <w:spacing w:after="0"/>
              <w:rPr>
                <w:sz w:val="20"/>
                <w:szCs w:val="20"/>
                <w:color w:val="auto"/>
              </w:rPr>
            </w:pPr>
            <w:r>
              <w:rPr>
                <w:rFonts w:ascii="Arial" w:cs="Arial" w:eastAsia="Arial" w:hAnsi="Arial"/>
                <w:sz w:val="18"/>
                <w:szCs w:val="18"/>
                <w:b w:val="1"/>
                <w:bCs w:val="1"/>
                <w:color w:val="auto"/>
                <w:w w:val="98"/>
              </w:rPr>
              <w:t>MASSACHUSETTS</w:t>
            </w:r>
          </w:p>
        </w:tc>
        <w:tc>
          <w:tcPr>
            <w:tcW w:w="5600" w:type="dxa"/>
            <w:vAlign w:val="bottom"/>
            <w:gridSpan w:val="3"/>
          </w:tcPr>
          <w:p>
            <w:pPr>
              <w:jc w:val="right"/>
              <w:ind w:right="899"/>
              <w:spacing w:after="0"/>
              <w:rPr>
                <w:sz w:val="20"/>
                <w:szCs w:val="20"/>
                <w:color w:val="auto"/>
              </w:rPr>
            </w:pPr>
            <w:r>
              <w:rPr>
                <w:rFonts w:ascii="Arial" w:cs="Arial" w:eastAsia="Arial" w:hAnsi="Arial"/>
                <w:sz w:val="18"/>
                <w:szCs w:val="18"/>
                <w:b w:val="1"/>
                <w:bCs w:val="1"/>
                <w:color w:val="auto"/>
              </w:rPr>
              <w:t>04-2741391</w:t>
            </w:r>
          </w:p>
        </w:tc>
        <w:tc>
          <w:tcPr>
            <w:tcW w:w="0" w:type="dxa"/>
            <w:vAlign w:val="bottom"/>
          </w:tcPr>
          <w:p>
            <w:pPr>
              <w:spacing w:after="0"/>
              <w:rPr>
                <w:sz w:val="1"/>
                <w:szCs w:val="1"/>
                <w:color w:val="auto"/>
              </w:rPr>
            </w:pPr>
          </w:p>
        </w:tc>
      </w:tr>
      <w:tr>
        <w:trPr>
          <w:trHeight w:val="180"/>
        </w:trPr>
        <w:tc>
          <w:tcPr>
            <w:tcW w:w="4040" w:type="dxa"/>
            <w:vAlign w:val="bottom"/>
          </w:tcPr>
          <w:p>
            <w:pPr>
              <w:jc w:val="center"/>
              <w:ind w:left="918"/>
              <w:spacing w:after="0"/>
              <w:rPr>
                <w:sz w:val="20"/>
                <w:szCs w:val="20"/>
                <w:color w:val="auto"/>
              </w:rPr>
            </w:pPr>
            <w:r>
              <w:rPr>
                <w:rFonts w:ascii="Arial" w:cs="Arial" w:eastAsia="Arial" w:hAnsi="Arial"/>
                <w:sz w:val="14"/>
                <w:szCs w:val="14"/>
                <w:b w:val="1"/>
                <w:bCs w:val="1"/>
                <w:color w:val="auto"/>
                <w:w w:val="93"/>
              </w:rPr>
              <w:t>(State or other jurisdiction of</w:t>
            </w:r>
          </w:p>
        </w:tc>
        <w:tc>
          <w:tcPr>
            <w:tcW w:w="2680" w:type="dxa"/>
            <w:vAlign w:val="bottom"/>
          </w:tcPr>
          <w:p>
            <w:pPr>
              <w:spacing w:after="0"/>
              <w:rPr>
                <w:sz w:val="15"/>
                <w:szCs w:val="15"/>
                <w:color w:val="auto"/>
              </w:rPr>
            </w:pPr>
          </w:p>
        </w:tc>
        <w:tc>
          <w:tcPr>
            <w:tcW w:w="2920" w:type="dxa"/>
            <w:vAlign w:val="bottom"/>
            <w:gridSpan w:val="2"/>
          </w:tcPr>
          <w:p>
            <w:pPr>
              <w:jc w:val="center"/>
              <w:ind w:left="44"/>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40" w:type="dxa"/>
            <w:vAlign w:val="bottom"/>
          </w:tcPr>
          <w:p>
            <w:pPr>
              <w:jc w:val="center"/>
              <w:ind w:left="918"/>
              <w:spacing w:after="0"/>
              <w:rPr>
                <w:sz w:val="20"/>
                <w:szCs w:val="20"/>
                <w:color w:val="auto"/>
              </w:rPr>
            </w:pPr>
            <w:r>
              <w:rPr>
                <w:rFonts w:ascii="Arial" w:cs="Arial" w:eastAsia="Arial" w:hAnsi="Arial"/>
                <w:sz w:val="14"/>
                <w:szCs w:val="14"/>
                <w:b w:val="1"/>
                <w:bCs w:val="1"/>
                <w:color w:val="auto"/>
                <w:w w:val="94"/>
              </w:rPr>
              <w:t>incorporation or organization)</w:t>
            </w:r>
          </w:p>
        </w:tc>
        <w:tc>
          <w:tcPr>
            <w:tcW w:w="2680" w:type="dxa"/>
            <w:vAlign w:val="bottom"/>
          </w:tcPr>
          <w:p>
            <w:pPr>
              <w:spacing w:after="0"/>
              <w:rPr>
                <w:sz w:val="16"/>
                <w:szCs w:val="16"/>
                <w:color w:val="auto"/>
              </w:rPr>
            </w:pPr>
          </w:p>
        </w:tc>
        <w:tc>
          <w:tcPr>
            <w:tcW w:w="292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72"/>
        </w:trPr>
        <w:tc>
          <w:tcPr>
            <w:tcW w:w="4040" w:type="dxa"/>
            <w:vAlign w:val="bottom"/>
          </w:tcPr>
          <w:p>
            <w:pPr>
              <w:jc w:val="center"/>
              <w:ind w:left="918"/>
              <w:spacing w:after="0"/>
              <w:rPr>
                <w:sz w:val="20"/>
                <w:szCs w:val="20"/>
                <w:color w:val="auto"/>
              </w:rPr>
            </w:pPr>
            <w:r>
              <w:rPr>
                <w:rFonts w:ascii="Arial" w:cs="Arial" w:eastAsia="Arial" w:hAnsi="Arial"/>
                <w:sz w:val="18"/>
                <w:szCs w:val="18"/>
                <w:b w:val="1"/>
                <w:bCs w:val="1"/>
                <w:color w:val="auto"/>
              </w:rPr>
              <w:t>201 RIVERNECK ROAD</w:t>
            </w:r>
          </w:p>
        </w:tc>
        <w:tc>
          <w:tcPr>
            <w:tcW w:w="2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40" w:type="dxa"/>
            <w:vAlign w:val="bottom"/>
          </w:tcPr>
          <w:p>
            <w:pPr>
              <w:jc w:val="center"/>
              <w:ind w:left="918"/>
              <w:spacing w:after="0"/>
              <w:rPr>
                <w:sz w:val="20"/>
                <w:szCs w:val="20"/>
                <w:color w:val="auto"/>
              </w:rPr>
            </w:pPr>
            <w:r>
              <w:rPr>
                <w:rFonts w:ascii="Arial" w:cs="Arial" w:eastAsia="Arial" w:hAnsi="Arial"/>
                <w:sz w:val="18"/>
                <w:szCs w:val="18"/>
                <w:b w:val="1"/>
                <w:bCs w:val="1"/>
                <w:color w:val="auto"/>
              </w:rPr>
              <w:t>CHELMSFORD, MA</w:t>
            </w:r>
          </w:p>
        </w:tc>
        <w:tc>
          <w:tcPr>
            <w:tcW w:w="5600" w:type="dxa"/>
            <w:vAlign w:val="bottom"/>
            <w:gridSpan w:val="3"/>
          </w:tcPr>
          <w:p>
            <w:pPr>
              <w:jc w:val="right"/>
              <w:ind w:right="1099"/>
              <w:spacing w:after="0"/>
              <w:rPr>
                <w:sz w:val="20"/>
                <w:szCs w:val="20"/>
                <w:color w:val="auto"/>
              </w:rPr>
            </w:pPr>
            <w:r>
              <w:rPr>
                <w:rFonts w:ascii="Arial" w:cs="Arial" w:eastAsia="Arial" w:hAnsi="Arial"/>
                <w:sz w:val="18"/>
                <w:szCs w:val="18"/>
                <w:b w:val="1"/>
                <w:bCs w:val="1"/>
                <w:color w:val="auto"/>
              </w:rPr>
              <w:t>01824</w:t>
            </w:r>
          </w:p>
        </w:tc>
        <w:tc>
          <w:tcPr>
            <w:tcW w:w="0" w:type="dxa"/>
            <w:vAlign w:val="bottom"/>
          </w:tcPr>
          <w:p>
            <w:pPr>
              <w:spacing w:after="0"/>
              <w:rPr>
                <w:sz w:val="1"/>
                <w:szCs w:val="1"/>
                <w:color w:val="auto"/>
              </w:rPr>
            </w:pPr>
          </w:p>
        </w:tc>
      </w:tr>
      <w:tr>
        <w:trPr>
          <w:trHeight w:val="218"/>
        </w:trPr>
        <w:tc>
          <w:tcPr>
            <w:tcW w:w="4040" w:type="dxa"/>
            <w:vAlign w:val="bottom"/>
          </w:tcPr>
          <w:p>
            <w:pPr>
              <w:jc w:val="center"/>
              <w:ind w:left="9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978-256-1300</w:t>
            </w:r>
          </w:p>
        </w:tc>
        <w:tc>
          <w:tcPr>
            <w:tcW w:w="292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20" w:type="dxa"/>
            <w:vAlign w:val="bottom"/>
            <w:gridSpan w:val="3"/>
          </w:tcPr>
          <w:p>
            <w:pPr>
              <w:jc w:val="center"/>
              <w:ind w:left="23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8320" w:type="dxa"/>
            <w:vAlign w:val="bottom"/>
            <w:gridSpan w:val="3"/>
          </w:tcPr>
          <w:p>
            <w:pPr>
              <w:jc w:val="center"/>
              <w:ind w:left="2338"/>
              <w:spacing w:after="0"/>
              <w:rPr>
                <w:sz w:val="20"/>
                <w:szCs w:val="20"/>
                <w:color w:val="auto"/>
              </w:rPr>
            </w:pPr>
            <w:r>
              <w:rPr>
                <w:rFonts w:ascii="Arial" w:cs="Arial" w:eastAsia="Arial" w:hAnsi="Arial"/>
                <w:sz w:val="16"/>
                <w:szCs w:val="16"/>
                <w:b w:val="1"/>
                <w:bCs w:val="1"/>
                <w:color w:val="auto"/>
              </w:rPr>
              <w:t>SECURITIES REGISTERED PURSUANT TO SECTION 12(b) OF THE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20" w:type="dxa"/>
            <w:vAlign w:val="bottom"/>
            <w:gridSpan w:val="3"/>
          </w:tcPr>
          <w:p>
            <w:pPr>
              <w:jc w:val="center"/>
              <w:ind w:left="2338"/>
              <w:spacing w:after="0"/>
              <w:rPr>
                <w:sz w:val="20"/>
                <w:szCs w:val="20"/>
                <w:color w:val="auto"/>
              </w:rPr>
            </w:pPr>
            <w:r>
              <w:rPr>
                <w:rFonts w:ascii="Arial" w:cs="Arial" w:eastAsia="Arial" w:hAnsi="Arial"/>
                <w:sz w:val="16"/>
                <w:szCs w:val="16"/>
                <w:b w:val="1"/>
                <w:bCs w:val="1"/>
                <w:color w:val="auto"/>
              </w:rPr>
              <w:t>SECURITIES EXCHANGE ACT OF 1934: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040" w:type="dxa"/>
            <w:vAlign w:val="bottom"/>
          </w:tcPr>
          <w:p>
            <w:pPr>
              <w:jc w:val="center"/>
              <w:ind w:left="918"/>
              <w:spacing w:after="0"/>
              <w:rPr>
                <w:sz w:val="20"/>
                <w:szCs w:val="20"/>
                <w:color w:val="auto"/>
              </w:rPr>
            </w:pPr>
            <w:r>
              <w:rPr>
                <w:rFonts w:ascii="Arial" w:cs="Arial" w:eastAsia="Arial" w:hAnsi="Arial"/>
                <w:sz w:val="14"/>
                <w:szCs w:val="14"/>
                <w:b w:val="1"/>
                <w:bCs w:val="1"/>
                <w:color w:val="auto"/>
                <w:w w:val="93"/>
              </w:rPr>
              <w:t>Title of Each Class</w:t>
            </w:r>
          </w:p>
        </w:tc>
        <w:tc>
          <w:tcPr>
            <w:tcW w:w="2680" w:type="dxa"/>
            <w:vAlign w:val="bottom"/>
          </w:tcPr>
          <w:p>
            <w:pPr>
              <w:spacing w:after="0"/>
              <w:rPr>
                <w:sz w:val="24"/>
                <w:szCs w:val="24"/>
                <w:color w:val="auto"/>
              </w:rPr>
            </w:pPr>
          </w:p>
        </w:tc>
        <w:tc>
          <w:tcPr>
            <w:tcW w:w="292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41"/>
        </w:trPr>
        <w:tc>
          <w:tcPr>
            <w:tcW w:w="4040" w:type="dxa"/>
            <w:vAlign w:val="bottom"/>
          </w:tcPr>
          <w:p>
            <w:pPr>
              <w:jc w:val="center"/>
              <w:ind w:left="918"/>
              <w:spacing w:after="0"/>
              <w:rPr>
                <w:sz w:val="20"/>
                <w:szCs w:val="20"/>
                <w:color w:val="auto"/>
              </w:rPr>
            </w:pPr>
            <w:r>
              <w:rPr>
                <w:rFonts w:ascii="Arial" w:cs="Arial" w:eastAsia="Arial" w:hAnsi="Arial"/>
                <w:sz w:val="18"/>
                <w:szCs w:val="18"/>
                <w:color w:val="auto"/>
                <w:w w:val="88"/>
              </w:rPr>
              <w:t>Common Stock, Par Value $.01 Per Share</w:t>
            </w:r>
          </w:p>
        </w:tc>
        <w:tc>
          <w:tcPr>
            <w:tcW w:w="2680" w:type="dxa"/>
            <w:vAlign w:val="bottom"/>
          </w:tcPr>
          <w:p>
            <w:pPr>
              <w:spacing w:after="0"/>
              <w:rPr>
                <w:sz w:val="20"/>
                <w:szCs w:val="20"/>
                <w:color w:val="auto"/>
              </w:rPr>
            </w:pPr>
          </w:p>
        </w:tc>
        <w:tc>
          <w:tcPr>
            <w:tcW w:w="2920" w:type="dxa"/>
            <w:vAlign w:val="bottom"/>
            <w:gridSpan w:val="2"/>
          </w:tcPr>
          <w:p>
            <w:pPr>
              <w:jc w:val="center"/>
              <w:ind w:left="24"/>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r>
        <w:trPr>
          <w:trHeight w:val="230"/>
        </w:trPr>
        <w:tc>
          <w:tcPr>
            <w:tcW w:w="4040" w:type="dxa"/>
            <w:vAlign w:val="bottom"/>
          </w:tcPr>
          <w:p>
            <w:pPr>
              <w:jc w:val="center"/>
              <w:ind w:left="938"/>
              <w:spacing w:after="0"/>
              <w:rPr>
                <w:sz w:val="20"/>
                <w:szCs w:val="20"/>
                <w:color w:val="auto"/>
              </w:rPr>
            </w:pPr>
            <w:r>
              <w:rPr>
                <w:rFonts w:ascii="Arial" w:cs="Arial" w:eastAsia="Arial" w:hAnsi="Arial"/>
                <w:sz w:val="18"/>
                <w:szCs w:val="18"/>
                <w:color w:val="auto"/>
                <w:w w:val="89"/>
              </w:rPr>
              <w:t>Preferred Stock Purchase Rights</w:t>
            </w:r>
          </w:p>
        </w:tc>
        <w:tc>
          <w:tcPr>
            <w:tcW w:w="2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20" w:type="dxa"/>
            <w:vAlign w:val="bottom"/>
            <w:gridSpan w:val="3"/>
          </w:tcPr>
          <w:p>
            <w:pPr>
              <w:jc w:val="center"/>
              <w:ind w:left="2338"/>
              <w:spacing w:after="0"/>
              <w:rPr>
                <w:sz w:val="20"/>
                <w:szCs w:val="20"/>
                <w:color w:val="auto"/>
              </w:rPr>
            </w:pPr>
            <w:r>
              <w:rPr>
                <w:rFonts w:ascii="Arial" w:cs="Arial" w:eastAsia="Arial" w:hAnsi="Arial"/>
                <w:sz w:val="18"/>
                <w:szCs w:val="18"/>
                <w:b w:val="1"/>
                <w:bCs w:val="1"/>
                <w:color w:val="auto"/>
                <w:w w:val="99"/>
              </w:rPr>
              <w:t>SECURITIES REGISTERED PURSUANT TO SECTION 12(g) OF THE</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20" w:type="dxa"/>
            <w:vAlign w:val="bottom"/>
            <w:gridSpan w:val="3"/>
          </w:tcPr>
          <w:p>
            <w:pPr>
              <w:jc w:val="center"/>
              <w:ind w:left="2358"/>
              <w:spacing w:after="0"/>
              <w:rPr>
                <w:sz w:val="20"/>
                <w:szCs w:val="20"/>
                <w:color w:val="auto"/>
              </w:rPr>
            </w:pPr>
            <w:r>
              <w:rPr>
                <w:rFonts w:ascii="Arial" w:cs="Arial" w:eastAsia="Arial" w:hAnsi="Arial"/>
                <w:sz w:val="18"/>
                <w:szCs w:val="18"/>
                <w:b w:val="1"/>
                <w:bCs w:val="1"/>
                <w:color w:val="auto"/>
                <w:w w:val="99"/>
              </w:rPr>
              <w:t>SECURITIES EXCHANGE ACT OF 1934: NONE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2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132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3"/>
        </w:trPr>
        <w:tc>
          <w:tcPr>
            <w:tcW w:w="832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13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right="5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189"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340"/>
        <w:spacing w:after="0" w:line="184" w:lineRule="exact"/>
        <w:tabs>
          <w:tab w:leader="none" w:pos="786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100" w:firstLine="324"/>
        <w:spacing w:after="0" w:line="281"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$364.1 million based upon the closing price of the Common Stock as reported on the Nasdaq Global Select Market on December 31, 2013, the last business day of the registrant’s most recently completed second fiscal quarter.</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Shares of Common Stock outstanding as of July 31, 2014: 33,376,755 shares</w:t>
      </w:r>
    </w:p>
    <w:p>
      <w:pPr>
        <w:spacing w:after="0" w:line="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40" w:firstLine="324"/>
        <w:spacing w:after="0" w:line="246" w:lineRule="auto"/>
        <w:rPr>
          <w:sz w:val="20"/>
          <w:szCs w:val="20"/>
          <w:color w:val="auto"/>
        </w:rPr>
      </w:pPr>
      <w:r>
        <w:rPr>
          <w:rFonts w:ascii="Arial" w:cs="Arial" w:eastAsia="Arial" w:hAnsi="Arial"/>
          <w:sz w:val="16"/>
          <w:szCs w:val="16"/>
          <w:color w:val="auto"/>
        </w:rPr>
        <w:t>Portions of the registrant’s definitive Proxy Statement for its Annual Meeting of Shareholders to be held on October 21, 2014 (the “Proxy Statement”) are incorporated by reference into Part III of this report.</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Exhibit Index on Page 76</w:t>
      </w:r>
    </w:p>
    <w:p>
      <w:pPr>
        <w:sectPr>
          <w:pgSz w:w="11900" w:h="16838" w:orient="portrait"/>
          <w:cols w:equalWidth="0" w:num="1">
            <w:col w:w="11400"/>
          </w:cols>
          <w:pgMar w:left="240" w:top="46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9"/>
              </w:rPr>
              <w:t>MERCURY SYSTEMS,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7"/>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920" w:type="dxa"/>
            <w:vAlign w:val="bottom"/>
          </w:tcPr>
          <w:p>
            <w:pPr>
              <w:spacing w:after="0"/>
              <w:rPr>
                <w:sz w:val="17"/>
                <w:szCs w:val="17"/>
                <w:color w:val="auto"/>
              </w:rPr>
            </w:pPr>
          </w:p>
        </w:tc>
        <w:tc>
          <w:tcPr>
            <w:tcW w:w="580" w:type="dxa"/>
            <w:vAlign w:val="bottom"/>
            <w:tcBorders>
              <w:bottom w:val="single" w:sz="8" w:color="0000EE"/>
            </w:tcBorders>
          </w:tcPr>
          <w:p>
            <w:pPr>
              <w:spacing w:after="0" w:line="202" w:lineRule="exact"/>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8860" w:type="dxa"/>
            <w:vAlign w:val="bottom"/>
            <w:gridSpan w:val="22"/>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202"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800" w:type="dxa"/>
            <w:vAlign w:val="bottom"/>
            <w:gridSpan w:val="21"/>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5"/>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54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1"/>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Unresolved Staff Comments</w:t>
              </w:r>
            </w:hyperlink>
          </w:p>
        </w:tc>
        <w:tc>
          <w:tcPr>
            <w:tcW w:w="740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0" w:type="dxa"/>
            <w:vAlign w:val="bottom"/>
            <w:gridSpan w:val="3"/>
          </w:tcPr>
          <w:p>
            <w:pPr>
              <w:spacing w:after="0"/>
              <w:rPr>
                <w:rFonts w:ascii="Arial" w:cs="Arial" w:eastAsia="Arial" w:hAnsi="Arial"/>
                <w:sz w:val="18"/>
                <w:szCs w:val="18"/>
                <w:color w:val="0000EE"/>
                <w:w w:val="80"/>
              </w:rPr>
            </w:pPr>
            <w:hyperlink w:anchor="page25">
              <w:r>
                <w:rPr>
                  <w:rFonts w:ascii="Arial" w:cs="Arial" w:eastAsia="Arial" w:hAnsi="Arial"/>
                  <w:sz w:val="18"/>
                  <w:szCs w:val="18"/>
                  <w:color w:val="0000EE"/>
                  <w:w w:val="80"/>
                </w:rPr>
                <w:t>Properties</w:t>
              </w:r>
            </w:hyperlink>
          </w:p>
        </w:tc>
        <w:tc>
          <w:tcPr>
            <w:tcW w:w="1340" w:type="dxa"/>
            <w:vAlign w:val="bottom"/>
            <w:gridSpan w:val="8"/>
          </w:tcPr>
          <w:p>
            <w:pPr>
              <w:spacing w:after="0"/>
              <w:rPr>
                <w:sz w:val="21"/>
                <w:szCs w:val="21"/>
                <w:color w:val="auto"/>
              </w:rPr>
            </w:pPr>
          </w:p>
        </w:tc>
        <w:tc>
          <w:tcPr>
            <w:tcW w:w="740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00" w:type="dxa"/>
            <w:vAlign w:val="bottom"/>
            <w:gridSpan w:val="8"/>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Removed and Reserved</w:t>
              </w:r>
            </w:hyperlink>
          </w:p>
        </w:tc>
        <w:tc>
          <w:tcPr>
            <w:tcW w:w="774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4.1.</w:t>
            </w:r>
          </w:p>
        </w:tc>
        <w:tc>
          <w:tcPr>
            <w:tcW w:w="944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Officers of the Registrant</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2580" w:type="dxa"/>
            <w:vAlign w:val="bottom"/>
            <w:gridSpan w:val="1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w:t>
              </w:r>
            </w:hyperlink>
          </w:p>
        </w:tc>
        <w:tc>
          <w:tcPr>
            <w:tcW w:w="686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9"/>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514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0"/>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296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72</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68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b w:val="1"/>
                <w:bCs w:val="1"/>
                <w:color w:val="0000EE"/>
                <w:w w:val="95"/>
              </w:rPr>
            </w:pPr>
            <w:hyperlink w:anchor="page73">
              <w:r>
                <w:rPr>
                  <w:rFonts w:ascii="Arial" w:cs="Arial" w:eastAsia="Arial" w:hAnsi="Arial"/>
                  <w:sz w:val="18"/>
                  <w:szCs w:val="18"/>
                  <w:b w:val="1"/>
                  <w:bCs w:val="1"/>
                  <w:color w:val="0000EE"/>
                  <w:w w:val="95"/>
                </w:rPr>
                <w:t>PART III</w:t>
              </w:r>
            </w:hyperlink>
          </w:p>
        </w:tc>
        <w:tc>
          <w:tcPr>
            <w:tcW w:w="600" w:type="dxa"/>
            <w:vAlign w:val="bottom"/>
            <w:gridSpan w:val="4"/>
          </w:tcPr>
          <w:p>
            <w:pPr>
              <w:spacing w:after="0"/>
              <w:rPr>
                <w:sz w:val="24"/>
                <w:szCs w:val="24"/>
                <w:color w:val="auto"/>
              </w:rPr>
            </w:pPr>
          </w:p>
        </w:tc>
        <w:tc>
          <w:tcPr>
            <w:tcW w:w="8140" w:type="dxa"/>
            <w:vAlign w:val="bottom"/>
            <w:gridSpan w:val="1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10"/>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Executive Compensation</w:t>
              </w:r>
            </w:hyperlink>
          </w:p>
        </w:tc>
        <w:tc>
          <w:tcPr>
            <w:tcW w:w="2280" w:type="dxa"/>
            <w:vAlign w:val="bottom"/>
            <w:gridSpan w:val="6"/>
          </w:tcPr>
          <w:p>
            <w:pPr>
              <w:spacing w:after="0"/>
              <w:rPr>
                <w:sz w:val="21"/>
                <w:szCs w:val="21"/>
                <w:color w:val="auto"/>
              </w:rPr>
            </w:pPr>
          </w:p>
        </w:tc>
        <w:tc>
          <w:tcPr>
            <w:tcW w:w="53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2860" w:type="dxa"/>
            <w:vAlign w:val="bottom"/>
            <w:gridSpan w:val="13"/>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IV</w:t>
              </w:r>
            </w:hyperlink>
          </w:p>
        </w:tc>
        <w:tc>
          <w:tcPr>
            <w:tcW w:w="658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Exhibits and Financial Statement Schedules</w:t>
              </w:r>
            </w:hyperlink>
          </w:p>
        </w:tc>
        <w:tc>
          <w:tcPr>
            <w:tcW w:w="628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4"/>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Signatures</w:t>
              </w:r>
            </w:hyperlink>
          </w:p>
        </w:tc>
        <w:tc>
          <w:tcPr>
            <w:tcW w:w="2400" w:type="dxa"/>
            <w:vAlign w:val="bottom"/>
            <w:gridSpan w:val="10"/>
          </w:tcPr>
          <w:p>
            <w:pPr>
              <w:spacing w:after="0"/>
              <w:rPr>
                <w:sz w:val="21"/>
                <w:szCs w:val="21"/>
                <w:color w:val="auto"/>
              </w:rPr>
            </w:pPr>
          </w:p>
        </w:tc>
        <w:tc>
          <w:tcPr>
            <w:tcW w:w="628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75</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6"/>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Exhibit Index</w:t>
              </w:r>
            </w:hyperlink>
          </w:p>
        </w:tc>
        <w:tc>
          <w:tcPr>
            <w:tcW w:w="846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76</w:t>
              </w:r>
            </w:hyperlink>
          </w:p>
        </w:tc>
      </w:tr>
      <w:tr>
        <w:trPr>
          <w:trHeight w:val="507"/>
        </w:trPr>
        <w:tc>
          <w:tcPr>
            <w:tcW w:w="920" w:type="dxa"/>
            <w:vAlign w:val="bottom"/>
          </w:tcPr>
          <w:p>
            <w:pPr>
              <w:spacing w:after="0"/>
              <w:rPr>
                <w:sz w:val="24"/>
                <w:szCs w:val="24"/>
                <w:color w:val="auto"/>
              </w:rPr>
            </w:pPr>
          </w:p>
        </w:tc>
        <w:tc>
          <w:tcPr>
            <w:tcW w:w="980" w:type="dxa"/>
            <w:vAlign w:val="bottom"/>
            <w:tcBorders>
              <w:top w:val="single" w:sz="8" w:color="0000EE"/>
            </w:tcBorders>
            <w:gridSpan w:val="6"/>
          </w:tcPr>
          <w:p>
            <w:pPr>
              <w:spacing w:after="0"/>
              <w:rPr>
                <w:sz w:val="24"/>
                <w:szCs w:val="24"/>
                <w:color w:val="auto"/>
              </w:rPr>
            </w:pPr>
          </w:p>
        </w:tc>
        <w:tc>
          <w:tcPr>
            <w:tcW w:w="4460" w:type="dxa"/>
            <w:vAlign w:val="bottom"/>
            <w:gridSpan w:val="12"/>
          </w:tcPr>
          <w:p>
            <w:pPr>
              <w:jc w:val="center"/>
              <w:ind w:left="29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When used in this report, the terms “Mercury,” “we,” “our,” “us,” and “the Company” refer to Mercury Systems, Inc. and its consolidated subsidiaries, except where the context otherwise requires or as otherwise indicated. The term “fiscal” with respect to a year refers to the period from July 1 to June 30. For example, fiscal 2014 refers to the period from July 1, 2013 to June 30, 2014.</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provide commercially developed, specialized processing subsystems and services for critical commercial,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and Reaper. Mercury Systems operates across a broad spectrum of defense programs and we deliver our solutions and services via two business units: (i) Mercury Commercial Electronics; and (ii) Mercury Defense Systems. In the fourth quarter of fiscal 2014, we initiated a plan to divest our Mercury Intelligence Systems business unit. Consequently, its operating results are included in discontinued operations for fiscal 2014 and prior periods (see Note C to the consolidated financial statements).</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Mercury Commercial Electronics, or MCE, delivers affordable, innovative, commercially developed, specialized processing subsystems for critical commercial, defense and intelligence applications. We deliver secure solutions that are secure and based upon open architectures and widely adopted industry standards. We deliver rapid time-to-value and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our RF and microwave solutions to market on a more scalable basis.</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Mercury Defense Systems, or MDS, provides significant capabilities relating to pre-integrated, open, affordable electronic warfare ("EW"), electronic attack ("EA") and electronic counter measure ("ECM") subsystems, and signals intelligence ("SIGINT") and electro-optical/infrared (EO/IR) technologies. MDS deploys these solutions on behalf of defense prime contractors and the Department of Defense ("DoD"), leveraging commercially available technologies and solutions (or “building blocks”) from our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two business units allow us to deliver capabilities that combine technology building blocks, deep domain expertise in the defense sector and critical solution areas, and specialized skills in serving the DoD and the intelligence community.</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consolidated revenues, (loss) from continuing operations and adjusted EBITDA for fiscal 2014 were $208.7 million, $(4.1) million and $23.5 million, respectively. Our consolidated revenues, (loss) from continuing operations and adjusted EBITDA for fiscal 2013 were $194.2 million, $(13.8) million and $9.9 million, respectively. See the Non-GAAP Financial Measures section of this annual report for a reconciliation of our adjusted EBITDA to net loss from continuing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fiscal 2014, we moved into our new manufacturing facility in Hudson, New Hampshire that provides a platform for continued growth in our RF and microwave product lines. During the year, we consolidated four facilities into the new plant and installed integrated business systems that will allow us to scale our RF and microwave capabilities both organically and through potential future merger and acquisition activities.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2014, we announced a restructuring plan that was implemented as part of the final phase of integration activities relating to our recent acquisitions. The integration plan includes the consolidation of manufacturing facilities, centralization of administrative and manufacturing functions using common processes and integrated business systems and while rebalancing our research and development investments to areas where we see the greatest potential for profitable growth. The restructuring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included the elimination of 70 positions largely in administrative, manufacturing and engineering functions. Additionally, we closed four facilities relocating all related activities to the Company's Advanced Microelectronics Center ("AMC") in Hudson, New Hampshire. During the fourth quarter of fiscal 2014, we also consolidated facilities at our corporate headquarters. These restructuring expenses associated with our fiscal 2014 integration plan amounted to $5.4 million and affected both the MCE and MDS reportable segments. Future restructuring expenses associated with the integration plan are expected to be approximately $3.1 million, which are currently expected to be incurred by the end of the second quarter of fiscal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Since 1981, we have operated as a provider of advanced embedded computing products primarily for end markets in the defense industry. Over time, we expanded our business to focus on a number of commercial end markets, including the biotechnology, embedded systems and professional services, visual imaging software and life sciences markets. While this strategy was designed to expand our target market, in the mid-2000’s many of these new businesses required large investments, which significantly reduced our profitability, and we found ourselves spread across several disparate, unprofitable end-user segments.</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November 2007, we embarked on a strategy to refocus the business and return to growth and profitability. Since then, we have successfully sold or shut down five non-core business units, returned the Company to profitability and growth for four consecutive years, and transformed the Company into a provider of commercially developed, specialized processing subsystems, and services for critical commercial, defense and intelligence applications. Fiscal 2013 was a challenging year in light of uncertainty within the defense sector while fiscal 2014 was a return to revenue growth and improved operating performance. Despite macro-industry challenges, fiscal 2014 highlights for the Company included:</w:t>
      </w:r>
    </w:p>
    <w:p>
      <w:pPr>
        <w:spacing w:after="0" w:line="119"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bookings of $246.8 million with a 1.2 book-to-bill ratio;</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backlog of $174.1 million;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growth of 7%;</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doubling of adjusted EBITDA to $23.5 million;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80% of acquisition integration plan generating $13 million of gross annualized savings.</w:t>
      </w:r>
    </w:p>
    <w:p>
      <w:pPr>
        <w:spacing w:after="0" w:line="17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Over the past seven years, we continued to have success on programs such as Aegis, Global Hawk, Gorgon Stare, Predator and Reaper and have reinvested in our business. We improved our position in our target markets, with major design wins including the Patriot missile program, and SEWIP, the EW improvement program for surface vessels to counteract a variety of emerging threats. In fiscal 2010, we grew organically, improved our working capital position and profitability metrics, continued to refresh our product portfolio, and grew our services and systems integration business. We strengthened our position in our core intelligence, surveillance and reconnaissance ("ISR"), EW and ballistic missile defense markets. In fiscal 2011 and 2012, we continued to strengthen and grow our core business by enhancing our product portfolio and increasing our ISR, EW, and missile defense system domain expertise and capabilities. During fiscal 2013, we addressed significant industry headwinds aggressively by aligning our cost structure to lower revenue levels via two restructuring actions. These initiatives reduced our operating expenses by approximately $22 million annually. In addition, we acquired unique EW program capabilities through the acquisition of Micronetics early in fiscal 2013. During fiscal 2014, we completed the bulk of the integration of our recent acquisitions, including consolidating four facilities, moving into a new Advanced Microelectronics Center, and installing integrated business systems. Together, with the actions completed in the third quarter of fiscal 2014, we have cumulatively completed actions totaling nearly $13 million, or 80%, of the $16 million of planned annualized savings; and we created a business and operations platform that we can continue to grow organically and scale through future acquisitions.</w:t>
      </w:r>
    </w:p>
    <w:p>
      <w:pPr>
        <w:spacing w:after="0" w:line="13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continue to be successful on our existing programs and to pursue new design wins on high growth, high priority programs. In response to new and emerging threats, and the need for better intelligence in shorter time frames, we have developed new products and capabilities that, in conjunction with our customers, seek to address those areas of concern. We have also grown and anticipate growing further through acquisitions that will complement, strengthen and grow our core business. While we look at acquisitions on an on-going basis, we also are doing this as we balance our assessment of the industry environment, our business outlook and the potential to further build-out the sensor processing chain, all while also prudently managing the business. As a result of these efforts, we believe we are well-positioned to capture existing and future growth opportunities in our end markets. We also continually look at our organizational, product development, and go-to-market capabilities to ensure we maintain an orientation towards “time to value” for our customers. This approach will help us reach our goal of providing the best solutions as we apply our commercially developed technologies to solve complex customer problems.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market opportunity is defined by the growing demand for domestically designed and manufactured advanced sensor and mission processing capabilities for critical defense and intelligence applications. Our primary market has historically been the defense sector, specifically C4ISR (command, control, communications, computers, intelligence, surveillance and reconnaissance), EW, and ballistic missile defense; and commercial markets, which include commercial communications and other commercial computing applications. We believe we are well-positioned in growing, sustainable market segments of the defense sector that leverage advanced technology to improve warfighter capability and provide enhanced force protection capabilities.</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there are a number of evolving trends that are reshaping our target market and accordingly provide us with attractive growth opportunities, including:</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The defense electronics market is expected to grow in government fiscal 2015, in spite of DoD budget uncertainty, opaque execution of the U.S. budget sequestration mandate, and on-going uncertainty around future spending. According to The Teal Group, the defense electronics market is projected to increase from $41.7 billion in government fiscal 2014 to $42.8 billion in government fiscal 2015. </w:t>
      </w:r>
      <w:r>
        <w:rPr>
          <w:rFonts w:ascii="Arial" w:cs="Arial" w:eastAsia="Arial" w:hAnsi="Arial"/>
          <w:sz w:val="17"/>
          <w:szCs w:val="17"/>
          <w:color w:val="auto"/>
        </w:rPr>
        <w:t>Defense electronic spending represents approximately 6%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DoD spending annually. We believe ISR, EW and ballistic missile defense have a high priority for future DoD spending. We have positioned ourselves well in these important areas and have won a position on many programs and platforms. We continue to build on our strengths in the design and development of performance optimized electronic sub-systems for the ISR and EW markets. As a leader in these markets, we often contract with multiple defense prime contractors as they bid for a particular project, thereby increasing our chance of a successful outcome.</w:t>
      </w:r>
    </w:p>
    <w:p>
      <w:pPr>
        <w:spacing w:after="0" w:line="12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The rapidly expanding demand for tactical ISR is leading to significant growth in sensor data being generated, causing even greater demand for the capability of our products to process data onboard platforms</w:t>
      </w:r>
      <w:r>
        <w:rPr>
          <w:rFonts w:ascii="Arial" w:cs="Arial" w:eastAsia="Arial" w:hAnsi="Arial"/>
          <w:sz w:val="17"/>
          <w:szCs w:val="17"/>
          <w:color w:val="auto"/>
        </w:rPr>
        <w:t>. An increase in the prevalence and resolution of ISR sensors is generating significant growth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data that needs to be turned into information for the warfighter in a timely manner. In addition, several factors are driving the defense and intelligence industries to demand greater capability to collect and process data onboard the aircraft, unmanned aerial vehicles, or UAVs, ships and other vehicles, which we refer to collectively as platforms. Each platform has limited communications bandwidth and cannot realistically transmit all the data that is collected onboard the platform, and this problem will increase over time as sensor generated data will continue to outstrip data communication capabilities. Looking forward, we believe our armed forces will need platforms that operate more autonomously and possibly in denied communication environments. In addition, the platforms themselves require increased persistence, and reducing the need to communicate data off the platform can help increase the ability of the platform to remain on or fly above the battlefield for extended periods. Finally, the scarcity and cost of human analysts, the demand for timely and relevant quality information and the increasing need to fuse data not only from multiple onboard sensors but also with intelligence generated from other platforms is causing even greater demand for the onboard processing capabilities our products provide.</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Rogue nations’ missile programs and threats from peer nations are causing greater investment in new EW and ballistic missile defense capabilities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a number of new and emerging threats, such as peer nations developing stealth technologies, including stealth aircraft and new anti-ship ballistic missiles that potentially threaten the U.S. naval fleet. Finally, U.S. armed forces require enhanced signals intelligence and jamming capabilities. In response to these emerging threats, we have engaged in the following:</w:t>
      </w:r>
    </w:p>
    <w:p>
      <w:pPr>
        <w:spacing w:after="0" w:line="52" w:lineRule="exact"/>
        <w:rPr>
          <w:sz w:val="20"/>
          <w:szCs w:val="20"/>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the core radar processing on both the Aegis ballistic missile defense system as well as the Patriot missile system, a ground-based missile defense platform;</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advanced RF, microwave and digital products for the U.S. Navy's SEWIP Block 2 program, designed to upgrade the Naval Surface Fleet EW capability and counteract a range of new emerging threats;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provide radar processing capabilities for the F-22 Raptor and F-35 Joint Strike Fighter, the latest generation of U.S. stealth-enabled fighters;</w:t>
      </w:r>
    </w:p>
    <w:p>
      <w:pPr>
        <w:spacing w:after="0" w:line="101"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RF and microwave content for the U.S. Airforce F-15 EW upgrade program, designed to provide fighter jets with advanced radar warning and countermeasures capabilities. This is applicable to both U.S. DoD and foreign military sales; and</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respond to the need for the modernization and upgrades to radar capabilities on the F-16, we recently achieved a new design win for the next generation of the Scalable Agile Beam Radar, or SABR, program.</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The long-term DoD budget pressure is pushing more dollars toward upgrades of the electronic sub-systems on existing platforms, which may increase demand for our products</w:t>
      </w:r>
      <w:r>
        <w:rPr>
          <w:rFonts w:ascii="Arial" w:cs="Arial" w:eastAsia="Arial" w:hAnsi="Arial"/>
          <w:sz w:val="18"/>
          <w:szCs w:val="18"/>
          <w:color w:val="auto"/>
        </w:rPr>
        <w:t>. The DoD is moving from major new weapons systems developments to upgrades of the electronic sub-systems on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These upgrades are expected to include more sensors, signal processing, ISR algorithms, multi-intelligence fusion exploitation, computing and communications. We believe that upgrades to provide new urgent war fighting capability, driven by combatant commanders, are occurring more rapidly than traditional defense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prime contractors can easily react to. We believe these trends will cause defense prime contractors to increasingly seek out our high performance, cost-effective open architecture products.</w:t>
      </w:r>
    </w:p>
    <w:p>
      <w:pPr>
        <w:spacing w:after="0" w:line="11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Defense procurement reform is causing the defense prime contractors to outsource more work to commercial companies</w:t>
      </w:r>
      <w:r>
        <w:rPr>
          <w:rFonts w:ascii="Arial" w:cs="Arial" w:eastAsia="Arial" w:hAnsi="Arial"/>
          <w:sz w:val="16"/>
          <w:szCs w:val="16"/>
          <w:color w:val="auto"/>
        </w:rPr>
        <w:t>. The U.S. government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intensely focused on making systems more affordable and shortening their development time. As a company that provides commercial items to the defense industry, we believe our products are often more affordable than products with the same functionality developed by a defense prime contractor. Defense prime contractors are increasingly being asked to work under firm fixed price contract awards, which can pressure profit margins and increase program risk. Defense prime contractors are also being asked to produce systems much more rapidly than they have in the past. In addition, the U.S. government is demanding more use of commercial items and open system architectures. In this budget environment, there are fewer research and development dollars available with which defense prime contractors can invest early-on to differentiate their offerings while competing for new program awards or re-competes. As a result, defense prime contractors are generally trying to adjust their cost model from a high fixed cost model to a variable cost model. All of these factors are providing incentives for defense prime contractors to outsource more work to subcontractors with significant expertise and cost-effective technology capabilities, and we have transformed our business model over the last several years to address these long-term outsourcing needs and other trends.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strategy is built around our key strengths as a provider of commercially developed, specialized processing subsystems and services for critical commercial, defense, and intelligence applications. By driving this strategy consistently, we are able to help our customers, mostly defense prime contractors, to reduce program cost, minimize technical risk, and stay on-schedule. Tactically, we have a well earned reputation of relentless execution on behalf of our customers that supports the successful evolution of our strategy.</w:t>
      </w:r>
    </w:p>
    <w:p>
      <w:pPr>
        <w:spacing w:after="0" w:line="13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intend to accelerate our strategic direction through continued investment in advanced new products and solutions development in the fields of radio frequency, analog-to-digital and digital to analog conversion, advanced multi- and many-core sensor processing systems including GPUs, embedded security, digital storage, and digital radio frequency memory ("DRFM") solutions as well as software defined communications capabilities. We leverage our engineering development services including systems integration to accelerate our move to become a commercial outsourcing partner to the large defense prime contractors as they seek the more rapid design, development and delivery of affordable, commercially developed, open sensor processing solutions within the markets we serve. Our services-led engagements can help lead to long-term production sub-system annuity revenues that will continue long after the initial services are delivered. This business model positions us to be paid for work we would have previously expensed through our own income statement, to team concurrently with multiple defense prime contractors as they pursue new business with the government, and to engage with our customers much earlier in the design cycle and ahead of our competition. In fiscal 2013 and 2014, we have substantially added to our technology portfolio by adding capabilities in RF and microwave subsystems and components as critical building blocks to support programs in EW, EA, and ECM.</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strategy to accomplish our continued growth objectives include:</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Achieve Design Wins on High Growth, High Priority Defense Programs. </w:t>
      </w:r>
      <w:r>
        <w:rPr>
          <w:rFonts w:ascii="Arial" w:cs="Arial" w:eastAsia="Arial" w:hAnsi="Arial"/>
          <w:sz w:val="18"/>
          <w:szCs w:val="18"/>
          <w:color w:val="auto"/>
        </w:rPr>
        <w:t>We believe our advanced embedded sensor processing solutions position us</w:t>
      </w:r>
      <w:r>
        <w:rPr>
          <w:rFonts w:ascii="Arial" w:cs="Arial" w:eastAsia="Arial" w:hAnsi="Arial"/>
          <w:sz w:val="18"/>
          <w:szCs w:val="18"/>
          <w:i w:val="1"/>
          <w:iCs w:val="1"/>
          <w:color w:val="auto"/>
        </w:rPr>
        <w:t xml:space="preserve"> </w:t>
      </w:r>
      <w:r>
        <w:rPr>
          <w:rFonts w:ascii="Arial" w:cs="Arial" w:eastAsia="Arial" w:hAnsi="Arial"/>
          <w:sz w:val="18"/>
          <w:szCs w:val="18"/>
          <w:color w:val="auto"/>
        </w:rPr>
        <w:t>well going forward to capture design wins on key high growth, high priority defense programs within our targeted segments of the C4ISR market. We have won designs in persistent ISR related signals intelligence payloads on UAVs and other aerial platforms. As a result of these successes, we now have significant content on major UAV platforms, including Global Hawk, Predator, Triton, Reaper and Gorgon Stare. Our ballistic missile defense wins include additional designs on the Aegis program, as well as wins on the Patriot missile program. In EW, we have won key designs related to the U.S. Navy's SEWIP program and the Ships Signal Exploitation Equipment ("SSEE") programs. Additional wins in the critical EW space include the Navy's Filthy Badger and Filthy Buzzard programs, focusing on vulnerability assessment and training for manned aircraft. Together, these wins represent substantial opportunity for us in the years ahead.</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Continue to Provide Excellent Performance on Our Existing Programs. </w:t>
      </w:r>
      <w:r>
        <w:rPr>
          <w:rFonts w:ascii="Arial" w:cs="Arial" w:eastAsia="Arial" w:hAnsi="Arial"/>
          <w:sz w:val="17"/>
          <w:szCs w:val="17"/>
          <w:color w:val="auto"/>
        </w:rPr>
        <w:t>The foundation for our growth remains our continued involvement with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that are in late-stage development or currently in production, such as Aegis, the F-35 Joint Strike Fighter, Patriot missile, the F-16 and F-15 aircrafts, the Global Hawk, Predator and Reaper UAVs, the P-8 MMA as well as the Suite of Integrated Radio Frequency Countermeasures ("SIRFIC") program. As part of a long-term reprioritization, the DoD is shifting its emphasis from major new weapons systems development to upgrades of existing programs and platforms. We believe the upgrades on these programs focus on four key areas: improved sensors; more advanced on-board embedded computing; enhanced ISR algorithms; and better communications on and off the platform. A key element of our strategy is to continue to provide high performance, cost-effective solutions on these programs and for these customers.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Pursue Strategic, Capability-Enhancing Acquisitions. </w:t>
      </w:r>
      <w:r>
        <w:rPr>
          <w:rFonts w:ascii="Arial" w:cs="Arial" w:eastAsia="Arial" w:hAnsi="Arial"/>
          <w:sz w:val="18"/>
          <w:szCs w:val="18"/>
          <w:color w:val="auto"/>
        </w:rPr>
        <w:t>We will continue to pursue strategic acquisitions to augment our businesses using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adding technologies or products that expand MCE's core business by competing more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effectively in the ISR, EW, and missile defense markets; adding content and services to the defense programs and platforms in which we currently participate or could participate in the future and enhancing key customer relationships and forming relationships with potential new customers. Our acquisitions of LNX and KOR in fiscal 2011 and 2012 supported these objectives. Adding LNX to our business significantly strengthened our product portfolio in radio frequency and our capabilities in signals intelligence and EW. Similarly, adding KOR has brought key domain expertise in EW and capabilities with DRFM technologies that combine well with the RF domain expertise of LNX and the embedded computing and packaging design expertise developed organically at Mercury. Our acquisition of Micronetics in fiscal 2013 expanded our RF and microwave technology and subsystems integration capabilities. Our acquisition strategy also focuses on broadening our program and customer base.</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Capitalize on Outsourcing and Other Dynamics in the Defense Industry. </w:t>
      </w:r>
      <w:r>
        <w:rPr>
          <w:rFonts w:ascii="Arial" w:cs="Arial" w:eastAsia="Arial" w:hAnsi="Arial"/>
          <w:sz w:val="18"/>
          <w:szCs w:val="18"/>
          <w:color w:val="auto"/>
        </w:rPr>
        <w:t>We are well-positioned to take advantage of several changing dynamics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industry. Defense prime contractors are increasingly being awarded firm fixed price contracts. These contracts shift risk to the defense prime contractors, and as a result they are beginning to outsource increasing levels of sub-system development and production and other higher value program content. In addition, the U.S. government is shifting toward shorter program timelines, which require increased flexibility and responsiveness from defense prime contractors. Finally, more programs are moving to open systems architectures encompassing best-of-breed capabilities. We believe that these dynamics will result in defense prime contractors outsourcing increasing levels of program content to us as a provider of differentiated products, sub-systems engineering services and system integration.</w:t>
      </w:r>
    </w:p>
    <w:p>
      <w:pPr>
        <w:spacing w:after="0" w:line="13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Leverage Our Research and Development Efforts to Anticipate Market Needs and Maintain our Technology Leadership. </w:t>
      </w:r>
      <w:r>
        <w:rPr>
          <w:rFonts w:ascii="Arial" w:cs="Arial" w:eastAsia="Arial" w:hAnsi="Arial"/>
          <w:sz w:val="16"/>
          <w:szCs w:val="16"/>
          <w:color w:val="auto"/>
        </w:rPr>
        <w:t>Our high performance, quick</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 sub-systems and capabilities require increasingly more sophisticated hardware, software and middleware technology. In addition, as the defense industries shift to products with open systems architectures, we believe that our software expertise will become increasingly important and differentiates us from many of our competitors as we have the ability to map complex algorithms onto size, weight, and power-constrained on-board embedded sensor processing solutions. We have substantially and will continue to refresh both our sensor processing and multicomputer product lines while increasing our product development velocity. Faster product development velocity aligns us with the U.S. government’s demands on the defense prime contractors for quick reaction capabilities. By shortening our product development times, we have been able to quickly launch the products we need to win new designs from the defense prime contractor community that will ultimately generate bookings and revenue for us. We intend to continue to utilize company and customer-funded research and development, as well as our acquisition strategy, to develop technologies, products and solutions that have significant potential for near-term and long-term value creation in the defense industry. We devote significant resources in order to anticipate the future requirements in our target defense markets, including monitoring and pioneering advances in advanced embedded computing hardware and software, anticipating changes in U.S. government spending and procurement practices and leveraging insight from direct interaction with our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We believe the following competitive strengths will allow us to take advantage of the evolving trends in our industry and successfully pursue our business strategy:</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Sub-System Solutions Provider for the C4ISR and EW Markets. </w:t>
      </w:r>
      <w:r>
        <w:rPr>
          <w:rFonts w:ascii="Arial" w:cs="Arial" w:eastAsia="Arial" w:hAnsi="Arial"/>
          <w:sz w:val="17"/>
          <w:szCs w:val="17"/>
          <w:color w:val="auto"/>
        </w:rPr>
        <w:t>Through our commercially developed, specialized processing subsystem solutions,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 We leverage our deep expertise in embedded multi-computing, embedded sensor processing, with the recent addition of our RF and microwave subsystems and components, to provide solutions across the sensor processing chain. Our deep domain knowledge within MDS rounds-out our full capabilities in service to our prime contractor and DoD customers.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Diverse Mix of Stable, High Growth Programs Aligned with DoD Funding Priorities. </w:t>
      </w:r>
      <w:r>
        <w:rPr>
          <w:rFonts w:ascii="Arial" w:cs="Arial" w:eastAsia="Arial" w:hAnsi="Arial"/>
          <w:sz w:val="18"/>
          <w:szCs w:val="18"/>
          <w:color w:val="auto"/>
        </w:rPr>
        <w:t>Our products and solutions have been deployed on more than 300</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programs and over 25 different defense prime contractors. We serve high priority markets for the DoD and foreign militaries, such as UAVs, ballistic missile defense, airborne reconnaissance, EW, ECM, and have secured positions on mission-critical programs including Aegis, Predator and Reaper UAVs, F-35 Joint Strike Fighter, Patriot missile, and SEWIP. In addition, we consistently leverage our technology and capability across 15 to 20 programs on an annual basis, providing significant operating leverage and cost savings.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Value-Added Sub-System Solution Provider for Defense Prime Contractors. </w:t>
      </w:r>
      <w:r>
        <w:rPr>
          <w:rFonts w:ascii="Arial" w:cs="Arial" w:eastAsia="Arial" w:hAnsi="Arial"/>
          <w:sz w:val="18"/>
          <w:szCs w:val="18"/>
          <w:color w:val="auto"/>
        </w:rPr>
        <w:t>Because of the DoD’s shift towards a firm fixed price contract procurement</w:t>
      </w:r>
      <w:r>
        <w:rPr>
          <w:rFonts w:ascii="Arial" w:cs="Arial" w:eastAsia="Arial" w:hAnsi="Arial"/>
          <w:sz w:val="18"/>
          <w:szCs w:val="18"/>
          <w:i w:val="1"/>
          <w:iCs w:val="1"/>
          <w:color w:val="auto"/>
        </w:rPr>
        <w:t xml:space="preserve"> </w:t>
      </w:r>
      <w:r>
        <w:rPr>
          <w:rFonts w:ascii="Arial" w:cs="Arial" w:eastAsia="Arial" w:hAnsi="Arial"/>
          <w:sz w:val="18"/>
          <w:szCs w:val="18"/>
          <w:color w:val="auto"/>
        </w:rPr>
        <w:t>model, an increasingly uncertain budgetary and procurement environment, and increased budget pressures from both the U.S. and allied governments, defense prime contractors are accelerating their move towards outsourcing opportunities to help mitigate the increased program and financial risk. Our differentiated advanced sensor processing solutions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offer meaningful capabilities upgrades for our customers and enable the rapid, cost-effective deployment of systems to the end customer. We believe our open architecture sub-systems offer differentiated sensor processing and data analytics capabilities that cannot be easily replicated. Our solutions minimize program risk, maximize application portability, and accelerate customers’ time to market.</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MDS Enables the Delivery of Platform-Ready Solutions for Classified Programs. </w:t>
      </w:r>
      <w:r>
        <w:rPr>
          <w:rFonts w:ascii="Arial" w:cs="Arial" w:eastAsia="Arial" w:hAnsi="Arial"/>
          <w:sz w:val="17"/>
          <w:szCs w:val="17"/>
          <w:color w:val="auto"/>
        </w:rPr>
        <w:t>MDS was created in fiscal 2013 to enable us to directly pursue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integration opportunities within the DoD. On top of that, we now have the ability, within MDS, to draw on the critical subsystem innovations from MCE. We believe the development work through MDS will provide us leverage and implement key classified government intellectual property, including critical intelligence and signal processing algorithms. Within MDS, we will also be able to leverage our combination of domain knowledge, plus building blocks from MCE to serve the needs of our core defense prime contractor customer base. We believe that MDS also provides us the opportunity to directly integrate these building blocks along with intellectual property onto our existing MCE business, enabling us to deliver affordable, platform-ready integrated ISR sub-systems that leverage our open architecture solutions and address key government technology and procurement concerns. MDS operations in this environment will also influence future product development so that critical future needs can be met in a timely manner.</w:t>
      </w:r>
    </w:p>
    <w:p>
      <w:pPr>
        <w:spacing w:after="0" w:line="1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Advanced Microelectronics Centers. </w:t>
      </w:r>
      <w:r>
        <w:rPr>
          <w:rFonts w:ascii="Arial" w:cs="Arial" w:eastAsia="Arial" w:hAnsi="Arial"/>
          <w:sz w:val="17"/>
          <w:szCs w:val="17"/>
          <w:color w:val="auto"/>
        </w:rPr>
        <w:t>Our Advanced Microelectronics Centers (“AMCs”) in Hudson, New Hampshire and West Caldwell, New Jersey</w:t>
      </w:r>
      <w:r>
        <w:rPr>
          <w:rFonts w:ascii="Arial" w:cs="Arial" w:eastAsia="Arial" w:hAnsi="Arial"/>
          <w:sz w:val="17"/>
          <w:szCs w:val="17"/>
          <w:i w:val="1"/>
          <w:iCs w:val="1"/>
          <w:color w:val="auto"/>
        </w:rPr>
        <w:t xml:space="preserve"> </w:t>
      </w:r>
      <w:r>
        <w:rPr>
          <w:rFonts w:ascii="Arial" w:cs="Arial" w:eastAsia="Arial" w:hAnsi="Arial"/>
          <w:sz w:val="17"/>
          <w:szCs w:val="17"/>
          <w:color w:val="auto"/>
        </w:rPr>
        <w:t>design, build and test both RF and microwave components and subsystems in support of a variety of key customer programs. With our fiscal 2014 move into our new AMC in Hudson, New Hampshire, including the installation of integrated business systems into both our AMCs, we have a platform for scalable, continued growth in our RF and microwave product lines. With our company-wide focus on continuous improvement in our security policies and practices, our AMCs, like most of our facilities, have earned Superior security ratings in vulnerability assessments conducted by the Defense Security Service (DSS). A Superior rating, the highest level awarded to cleared defense contractors by DSS, is awarded to contractors that consistently and fully implement the requirements of the National Industrial Security Program Operating Manual in an effective fashion, resulting in a security posture that is superior to other contractors of similar size and complexity. Our scalable microelectronics manufacturing operations at our AMCs enable rapid, cost-effective deployment of RF and microwave solutions to our customers.</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Long-Standing Industry Relationships</w:t>
      </w:r>
      <w:r>
        <w:rPr>
          <w:rFonts w:ascii="Arial" w:cs="Arial" w:eastAsia="Arial" w:hAnsi="Arial"/>
          <w:sz w:val="18"/>
          <w:szCs w:val="18"/>
          <w:color w:val="auto"/>
        </w:rPr>
        <w:t>. We have established long-standing relationships with defense prime contractors, the U.S. government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key organizations in the defense industry over our 30 years in the defense electronics industry. Our customers include BAE Systems, the Boeing Company, Exelis, Lockheed Martin Corporation, Northrop Grumman Corporation, and Raytheon Company. Over this period, we have become recognized for our ability to develop new technologies and meet stringent program requirements. We believe we are well-positioned to maintain these high-level customer engagements.</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Over the past several years, our senior management team has refocused the Company on its economic core, developed a</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compelling strategy for the defense markets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for the next phase to transform, grow and scale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part of our strategy, we are focusing on being a commercial outsourcing partner to the large defense prime contractors as they seek the more rapid design, development and delivery of affordable, commercially developed, specialized processing solutions within the markets we serve. We deliver sub-system level engineering expertise as well as ongoing systems integration services addressing our strategy to capitalize on the multi-billion dollar sub-system market within the defense embedded electronics market segment.</w:t>
      </w:r>
    </w:p>
    <w:p>
      <w:pPr>
        <w:spacing w:after="0" w:line="1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defense prime contractor community towards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revenues into a single class as services revenues do not exceed 10 percent of total revenues. A significant portion of our services revenues is provided by our MIS operating segment, which is now classified as a discontinued operation.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software is developed using some of the most advanced integrated development environments ("IDE’s"), such as Eclipse, and our work is done on multiple platforms including open source platforms such as Linux. Our software development teams are schooled in the most up-to-date software development methodologies.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software and middleware provides customer application-level algorithm portability across rapidly evolving hardware processor types with math and input/output, or I/O, interfaces running at industry leading performance rates. In order to develop, test and integrate software ahead of hardware availability, we have invested in the notion of a Virtual Multi-Computer. The Virtual Multi-Computer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119"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 xml:space="preserve">Our multi-computer software packages are marketed and licensed under the </w:t>
      </w:r>
      <w:r>
        <w:rPr>
          <w:rFonts w:ascii="Arial" w:cs="Arial" w:eastAsia="Arial" w:hAnsi="Arial"/>
          <w:sz w:val="18"/>
          <w:szCs w:val="18"/>
          <w:i w:val="1"/>
          <w:iCs w:val="1"/>
          <w:color w:val="auto"/>
        </w:rPr>
        <w:t>MultiCore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Products</w:t>
      </w:r>
    </w:p>
    <w:p>
      <w:pPr>
        <w:spacing w:after="0" w:line="17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We are also influential in the industry-standard organizations associated with our market segments. For example, we started the OpenVPX</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initiative with the goal of providing customers with multi-vendor interoperable hardware built to well-defined system standards. We continue to leverage our embedded high performance processing technologies with our Intel server-class processing products as well as graphics based processor ("GPGPU") products. While this multi-computing and embedded processing technology is a core skill of Mercury Systems, the size, weight, and power ("SWaP") constraints that occur concurrent with the high performance embedded processing create unique challenges. For example, with the heat build-up involved in small subsystems, we introduced a key innovation in fiscal 2013 designed to address this challenge. The technology is called Air-Flow-By</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it allows previously unattainable levels of processing power within a small footprint by effectively removing heat so the server-class processors can perform at maximum designed power limits. In rugged environments where air is limited, such as high altitude operations, a technology developed in fiscal 2014 called Liquid-Flow-By</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has been successfully customer tested allowing maximum server-class processor performance in high altitude missions. These innovative cooling techniques for the first time allow full performance server-class processing in rugged environments enabling new and advanced modes of operation that enhance the multi-intelligence, situational awareness and EW capabilities in military platforms.</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are used in both commercial industrial applications, such as ground radar air traffic control, and advanced defense and intelligence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hardware products into the following categories:</w:t>
      </w:r>
    </w:p>
    <w:p>
      <w:pPr>
        <w:spacing w:after="0" w:line="90" w:lineRule="exact"/>
        <w:rPr>
          <w:sz w:val="20"/>
          <w:szCs w:val="20"/>
          <w:color w:val="auto"/>
        </w:rPr>
      </w:pPr>
    </w:p>
    <w:p>
      <w:pPr>
        <w:ind w:left="90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signal and image processing, multi-computer and sensor interfaces, including embedded processing boards, switch fabric boards, high speed input/output boards, digital receiver boards, and chassis-based systems using air, conduction, and proprietary cooling technologies;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RF and microwave assemblies, including tuners, converters, transceivers, and switch filters;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RF and microwave components, including power amplifiers and limiters, switches, oscillators, and equalizers.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address the current challenges facing the war fighter, our government and defense prime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13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Our open architecture is carried throughout our entire Ensemble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from the very small form-factor sub-systems to the high-end, where ultimate processing power and reliability is of paramount importance to the mission. Our commercially-developed hardware and software product capabilities cover the entire ISR spectrum from acquisition and digitization of the signal, to processing of the signal, through the exploitation and dissemination of the information. We work continuously to improve our hardware technology with an eye toward optimization of SWaP demands, as outlined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research and development efforts are focused on developing new products and systems as well as enhancing existing hardware and software products in mission, signal and image processing. Our research and development goal is to fully exploit and maintain our technological lead in the high-performance, real-time sensor processing industry. Expenditures for research and development amounted to $35.7 million in fiscal 2014, $32.6 million in fiscal 2013 and $46.0 million in fiscal 2012. As of June 30, 2014, we had 215 employees, including hardware and 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Commercial Electronics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complex chassis systems, and RF &amp; microwave components and subsystems.</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printed circuit board assemblies and chassis systems' manufacturing operations consist primarily of materials planning and procurement, final assembly and test and logistics (inventory and traffic management). We subcontract the assembly and testing of most embedded multi-computing products to contract manufacturers in the U.S. to build to our specifications. We currently rely primarily on one contract manufacturer.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built out a new microelectronics facility in Hudson, New Hampshire that opened during fiscal 2014. This new facility consolidated the former microelectronics operations in Salem, New Hampshire and Hudson, New Hampshire as well as the former facilities in Ewing, New Jersey and Monroe, Connecticut. This new facility is specifically aimed at providing scalable manufacturing within our critical RF and microwave businesses. We leverage best practices in design, development, manufacturing and materials handling at this facility. The facility is part of our Advanced Microelectronics Centers, which includes our RF/microwave subsystems group in West Caldwell, New Jersey. The Advanced Microelectronics Centers design, build and test both RF and microwave components and subsystems in support of a variety of key customer programs.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Defense Systems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MDS designs, develops, and manufactures digital radio frequency memory (“DRFM”) units for a variety of modern EW applications, as well as radar environment simulation and test systems for defense and intelligence applications. MDS develops high performance SIGINT payloads and electro-optical/infrared (EO/IR) technologies for small UAV platforms as well as powerful onboard UAV processor systems for real-time Wide Area Motion Imagery ("WAMI").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Commercial Electronics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MCE operates in a highly competitive marketplace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customer’s product, where the customer evaluates alternative technologies and design approaches.</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size, weight and power solution possible, our ability to rapidly respond to varied customer requirements, and a track record of successfully supporting many high profile programs in both the commercial and defense markets. There are a limited number of competitors across the market segments and application types in which we compete. Some of these competitors are larger and have greater resources than us. Some of these competitors compete against us at purely a board-level, others at a sub-system level. We also compete with in-house design teams at our customers. The DoD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 standing sub-system expertise to provide this value to our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Defense Systems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MDS competes with many specialized providers of EW-related solutions, test and simulation and SIGINT capabilities. These competitors range from small specialized pure play providers with limited solutions capabilities to full scale integrated providers who can provide large scale solutions and subsystems.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work directly with the DoD as well as with defense prime contractors. We can help drive subsystem development and deployment in both a classified and unclassified environment. We can produce DRFM based ECM solutions for tactical, testing and training applications. We have developed, within MDS, high performance SIGINT payloads for small UAV platforms as well as powerful onboard UAV processor systems for real-time Wide Area Motion Imagery ("WAMI"). These systems digest multiple simultaneous image sources to produce imagery for storage and exploitation. MDS has the ability to drive engineering experience, understanding of customer needs in critical domains, and then leverage MCE's building blocks, SWaP and packaging expertise and embedded processing legacy of excellence.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2014, we held 39 patents of varying duration issued in the United States. We file U.S. patent applications and, where appropriate, foreign patent applications. We also file continuations to cover both new and improved designs and products. At present, we have several U.S. and foreign patent applications in process.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June 30, 2014, we had a backlog of orders aggregating approximately $174.1 million, of which $144.0 million is expected to be delivered within the next twelve months. As of June 30, 2013, backlog was approximately $136.1 million. The defense backlog at June 30, 2014 was $160.8 million, a $47.9 million increase from June 30, 2013.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conditions, both 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30, 2014, we employed a total of 632 people excluding contractors, including 215 in research and development, 63 in sales and marketing, 251 in manufacturing and customer support and 103 in general and administrative functions. We have five employees located in Europe, one located in Japan, and 626 located in the United States. We do not have any employees represented by a labor organization, and we believe that our relations with our employees are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revenues were concentrated in three defense prime contractors including Lockheed Martin Corporation, Raytheon Company and Northrop Grumman Corporation for the years ended June 30, 2014, 2013 and 2012. These three defense prime contractors comprised an aggregate of 43%, 38% and 56% of our revenues in each of the years ended June 30, 2014, 2013 and 2012,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www.mrcy.com</w:t>
      </w:r>
      <w:r>
        <w:rPr>
          <w:rFonts w:ascii="Arial" w:cs="Arial" w:eastAsia="Arial" w:hAnsi="Arial"/>
          <w:sz w:val="18"/>
          <w:szCs w:val="18"/>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EchoCore, Echotek, Ensemble, PowerStream, RACE++ and MultiCore Plus are registered trademarks, and Mercury Systems, Innovation that Matters, Air Flow-By, Liquid Flow-By, Application Ready Subsystem, ARS, POET, and StreamDirect are trademarks of Mercury Systems, Inc. OpenVPX is a trademark of the VMEbus International Trade Association. All other trademarks and registered trademarks are the property of their respective holders, and are hereby acknowledged.</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and services, which may be only partially funded and are subject to potential termination and reductions and delays in government spending.</w:t>
      </w:r>
    </w:p>
    <w:p>
      <w:pPr>
        <w:spacing w:after="0" w:line="11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Sales of our application ready subsystems, digital, microwave, RF components, and related services, primarily as an indirect subcontractor or team member with defense prime contractors, and in some cases directly, to the U.S. government and its agencies, as well as foreign governments and agencies, accounted for approximately 92%, 90%, and 94% of our total net revenues in fiscal 2014, 2013, and 2012,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During fiscal 2013, the Presidential election, bipartisan gridlock in Congress, a continuing budget resolution, and the implementation of defense budget sequestration impacted our revenues and increased uncertainty in our business and financial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planning. For fiscal 2015 and beyond, the potential for further bipartisan gridlock in Congress, another continuing budget resolution, and the defense industry operating under sequestration may continue to adversely impact our revenues and increase uncertainty in our business and financial planning. In addition, delays in the funding for new or existing programs, or of the defense appropriation generally, could negatively impact our revenues and have a material adverse effect on our financial condition and results of operations for the period in which such revenues were originally anticipated.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37"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such as defense budget sequestration, for the defense programs that use our defense electronics products and services.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other risks and uncertainties associated with defense-related contracts, which may have a material adverse effect on our business.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35" w:lineRule="exact"/>
        <w:rPr>
          <w:sz w:val="20"/>
          <w:szCs w:val="20"/>
          <w:color w:val="auto"/>
        </w:rPr>
      </w:pPr>
    </w:p>
    <w:p>
      <w:pPr>
        <w:jc w:val="both"/>
        <w:ind w:left="640" w:hanging="321"/>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46"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51"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 the loss of the program or significantly reduce our revenue or margin from the program. The government’s requirements for more frequent technology refreshes on defense programs may lead to increased costs and lower long term revenues.</w:t>
      </w:r>
    </w:p>
    <w:p>
      <w:pPr>
        <w:spacing w:after="0" w:line="43"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40" w:hanging="321"/>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such as MDS, contract with the U.S. government, they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58" w:lineRule="exact"/>
        <w:rPr>
          <w:rFonts w:ascii="Arial" w:cs="Arial" w:eastAsia="Arial" w:hAnsi="Arial"/>
          <w:sz w:val="18"/>
          <w:szCs w:val="18"/>
          <w:color w:val="auto"/>
        </w:rPr>
      </w:pPr>
    </w:p>
    <w:p>
      <w:pPr>
        <w:jc w:val="both"/>
        <w:ind w:left="640" w:hanging="321"/>
        <w:spacing w:after="0" w:line="25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sell many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item supplier, there could be a material adverse effect on our business and operating results. For example, there have been legislative proposals to narrow the definition of a “commercial item” (as defined in the Federal Acquisition Regulations) that could limit our ability to contract as a commercial item supplier. In addition, growth in our defense sales relative to our commercial sales could adversely impact our status as a commercial supplier, which could adversely affect our business and operating results. Changes in our mix of business, in federal regulations, or in the interpretation of federal regulations, may subject us to audit by the Defense Contract Audit Agency ("DCAA") for certain of our products or services. Such changes may require us to implement a DCAA cost-accounting system at our commercial item business unit. Operating under a cost-accounting business model rather than our historical commercial item business model could adversely impact our revenues and profitability.</w:t>
      </w:r>
    </w:p>
    <w:p>
      <w:pPr>
        <w:spacing w:after="0" w:line="59"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qualify as a “small business” for government contracts purposes under the definition of that term in an applicable NAICS code because we have fewer than 1,000 employees. As we grow and potentially have over 1,000 employees in the future, we would no longer qualify as a small business. Loss of our small business status could negatively impact us, including our customers purchases from us would not qualify as purchases from a small business, customers may flow down additional Federal Acquisition Regulation, or FAR, clauses in their contracts with us that are less favorable than our existing contract terms and conditions, and the flow down of certain FAR clauses may require us to implement a Defense Contract Audit Agency cost-accounting system at our commercial item business unit.</w:t>
      </w:r>
    </w:p>
    <w:p>
      <w:pPr>
        <w:spacing w:after="0" w:line="43" w:lineRule="exact"/>
        <w:rPr>
          <w:rFonts w:ascii="Arial" w:cs="Arial" w:eastAsia="Arial" w:hAnsi="Arial"/>
          <w:sz w:val="17"/>
          <w:szCs w:val="17"/>
          <w:color w:val="auto"/>
        </w:rPr>
      </w:pPr>
    </w:p>
    <w:p>
      <w:pPr>
        <w:jc w:val="both"/>
        <w:ind w:left="640" w:hanging="321"/>
        <w:spacing w:after="0" w:line="276"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subject to the Defense Federal Acquisition Regulations Supplement, referred to as DFARS, in connection with our defense work for the U.S. government and defense prime contractors. Amendments to the DFARS, such as the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 Compliance with the new conflict minerals regulations enacted pursuant to the Dodd Frank legislation poses similar risks and increases our costs.</w:t>
      </w:r>
    </w:p>
    <w:p>
      <w:pPr>
        <w:spacing w:after="0" w:line="37"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 government or a defense prime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46" w:lineRule="exact"/>
        <w:rPr>
          <w:rFonts w:ascii="Arial" w:cs="Arial" w:eastAsia="Arial" w:hAnsi="Arial"/>
          <w:sz w:val="18"/>
          <w:szCs w:val="18"/>
          <w:color w:val="auto"/>
        </w:rPr>
      </w:pPr>
    </w:p>
    <w:p>
      <w:pPr>
        <w:jc w:val="both"/>
        <w:ind w:left="640" w:hanging="321"/>
        <w:spacing w:after="0" w:line="271"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 For fiscal 2015, we will need to further adapt our export procedures for the new federal export reform regulations going into effect during the fiscal year.</w:t>
      </w:r>
    </w:p>
    <w:p>
      <w:pPr>
        <w:spacing w:after="0" w:line="43" w:lineRule="exact"/>
        <w:rPr>
          <w:rFonts w:ascii="Arial" w:cs="Arial" w:eastAsia="Arial" w:hAnsi="Arial"/>
          <w:sz w:val="17"/>
          <w:szCs w:val="17"/>
          <w:color w:val="auto"/>
        </w:rPr>
      </w:pPr>
    </w:p>
    <w:p>
      <w:pPr>
        <w:jc w:val="both"/>
        <w:ind w:left="640" w:hanging="321"/>
        <w:spacing w:after="0" w:line="30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anticipate that sales to our U.S. prime defense contractor customers as part of foreign military sales (“FMS”) programs will be an increasing part of our business going forward. These FMS sales combine several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w:t>
      </w:r>
    </w:p>
    <w:p>
      <w:pPr>
        <w:spacing w:after="0" w:line="19" w:lineRule="exact"/>
        <w:rPr>
          <w:rFonts w:ascii="Arial" w:cs="Arial" w:eastAsia="Arial" w:hAnsi="Arial"/>
          <w:sz w:val="16"/>
          <w:szCs w:val="16"/>
          <w:color w:val="auto"/>
        </w:rPr>
      </w:pPr>
    </w:p>
    <w:p>
      <w:pPr>
        <w:jc w:val="both"/>
        <w:ind w:left="640" w:hanging="321"/>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of our employees with appropriate security clearance may require access to classified information in connection with the performance of a U.S. government contract. We must comply with security requirements pursuant to the National Industrial Security Program Operating Manual, or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40" w:hanging="321"/>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invest additional capital to build out higher level security infrastructure at certain of our facilities to capture new design wins on defense programs with higher level security requirements. Failure to invest in such infrastructure may limit our ability to obtain new design wins on defense programs. In addition, we may need to invest in additional secure laboratory space to efficiently integrate subsystem level solutions and maintain quality assurance on current programs.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17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dependent on a small number of customers for a large portion of our revenues. A significant decrease in the sales to or loss of any of our major customers would have a material adverse effect on our business and results of operations. In fiscal 2014, Lockheed Martin Corporation accounted for 18% of our total net revenues, Raytheon Company accounted for 13% of our total net revenues, and Northrop Grumman Corporation accounted for 12% of our total net revenues. In fiscal 2013, Lockheed Martin Corporation accounted for 17% of our total net revenues, Raytheon Company accounted for 10% of our total net revenues, and Northrop Grumman Corporation accounted for 11% of our total net revenues. In fiscal 2012, Raytheon Company accounted for 23% of our total net revenues, Northrop Grumman Corporation accounted for 18% of our total net revenues and Lockheed Martin Corporation accounted for 15%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dependent on sales for radar applications for a large portion of our revenues. Sales related to radar applications accounted for 53%, 38% and 57% of our total net revenues for fiscal 2014, 2013, and 2012, respectively. While our radar sales relate to multiple different platforms and defense programs, our revenues are largely dependent upon our customers incorporating our products into radar applications. For the fiscal years ended June 30, 2014, 2013 and 2012, the Aegis program individually comprised 15%, 10% and 12% of the Company's revenues, respectively. Loss of a significant radar program could adversely affect our results of operations.</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Going forward, we believe the SEWIP program and the Patriot missile defense program could be a large portion of our future revenues in the coming years, and the loss or cancellation of these programs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11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We may be unable to keep pace with competitors’ marketing and the lack of visibility in the marketplace may negatively impact design wins, bookings, and revenues. Customers may also decide to reduce costs and accept the least costly technically acceptable alternative to our products or services.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 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 Further, our lack of strong engagements with important government-funded laboratories (e.g. DARPA, MIT Lincoln Labs, MITRE) may inhibit our ability to become subsystem solution design partners with our defense prime customers. With the reduction in force in our engineering group during fiscal 2013 as part of our cost containment efforts, we have fewer engineering resources to deliver advanced, subsystem level products to satisfy our customers' demanding expectations.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markets that are subject to technological cycles. Any change in the demand for our products due to technological cycles in our customers’ end markets could result in a decrease in our revenues.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1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compete in highly competitive industries, and our OEM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embedded systems’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OEM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This competition could result in fewer customer orders and a loss of market share.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products in a more highly environmentally isolated setting. These developments could negatively impact our revenues and have a material adverse effect on our business and operating results.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11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timing, length and severity of the up-and-down cycles in the telecommunications and other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During periods of declining revenues, such as in the current environment,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growth strategy includes developing new products, adding new customers within our existing markets, and entering new markets, as well as identifying and integrating acquisitions and achieving revenue and cost synergies and economies of scale. Our ability to compete in new markets will depend upon a number of factors including, among others:</w:t>
      </w:r>
    </w:p>
    <w:p>
      <w:pPr>
        <w:spacing w:after="0" w:line="46"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 and achieve revenue and cost synergies and economies of scale.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 customer support organizations.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Growing our business, in particular through providing services and products such as sophisticated application ready subsystems for major defense programs like Patriot, SEWIP and Aegis, could strain our 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systems level products is a key driver of our growth strategy and the failure to properly scale our capabilities to support our customers at a systems level could result in lost opportunities and revenues.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or divestitures may adversely affect our 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part of our strategy for growth, we may continue to explore acquisitions, divestitures, or strategic alliances, which may not be completed or may not be ultimately beneficial to us.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Acquisitions or divestitures may pose risks to our operations, including:</w:t>
      </w:r>
    </w:p>
    <w:p>
      <w:pPr>
        <w:spacing w:after="0" w:line="90" w:lineRule="exact"/>
        <w:rPr>
          <w:sz w:val="20"/>
          <w:szCs w:val="20"/>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or divestiture of the personnel, operations, technologies, or products of the acquired or divested businesses;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make planned divestitures of businesses on favorable terms in a timely manner or at all;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101" w:lineRule="exact"/>
        <w:rPr>
          <w:rFonts w:ascii="Arial" w:cs="Arial" w:eastAsia="Arial" w:hAnsi="Arial"/>
          <w:sz w:val="17"/>
          <w:szCs w:val="17"/>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rationalize manufacturing capacity, locations, and operating models to achieve anticipated economies of scale, or disruptions to manufacturing and product design operations during the combination of facilities;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failure to successfully integrate any acquisitions or to make planned divestitures in an efficient or timely manner may negatively impact our financial condition and operating results, or we may not be able to fully realize anticipated savings.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9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Several components used in our products are currently obtained from sole-source suppliers. We are dependent on key vendors like LSI Logic Corporation, Xilinx, Inc., and IBM Corporation for custom-designed application-specific integrated circuits (“ASICs”) and field programmable gate arrays (“FPGAs”), Freescale Semiconductor, Inc. and IBM Corporation for PowerPC microprocessors, Intel Corporation for our next generation processors, IBM Corporation for a specific SRAM, Curtiss Wright Corporation and Motorola, Inc. for chassis and chassis components and Benchmark Electronics, Inc. for board assembly, test and integration. The semiconductor industry is experiencing a significant year over year increase in demand amid an uncertain macro economy which is limiting any investment in additional capacity. We believe this dynamic will result in increased lead-time for most classes of semiconductors and passive components and will continue to put pressure on component pricing where supply becomes constrained.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Benchmark Electronics, Inc.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1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With the expansion of our microwave and RF product lines in recent years, primarily related to the acquisitions of Micronetics, Inc., KOR Electronics, and LNX Corporation, the mix of products that we manufacture in-house has increased. If we are unable to develop a co-manufacturing relationship with a contract manufacturer to scale production capacity for our microwave and RF products, our ability to reduce production costs and improve product quality may be limited. With the building of our Advanced Microelectronics Center in Hudson, NH during fiscal 2014, we are becoming more vertically integrated in our microwave and RF product lines. This vertical integration could lead to higher capital intensity, labor utilization rate volatility which could affect our profitability, and higher fixed costs. Also, the changes to business processes and IT systems required to combine two locations into a single site like our new Advanced Microelectronics Center may interrupt our operations for a period of time resulting in higher costs, lower revenues and missed opportunities for design wins.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market and sell products in international markets, and have established offices and subsidiaries in Europe and Japan. Revenues from international operations accounted for 4%, 6% and 4% of our total net revenues in fiscal 2014, 2013 and 2012, respectively. We also ship directly from our U.S. operations to international customers. There are inherent risks in transacting business internationally, including: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must comply with the Foreign Corrupt Practices Act, or the FCPA.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11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11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Customers in our commercial markets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commercial equipment, or if selected, we may not generate any revenues for such design work.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design-in process is typically lengthy and expensive, and there can be no assurance that we will be able to continue to meet the product specifications of OEM customers in a timely and adequate manner. In addition, any failure to anticipate or respond adequately to changes in technology, customer preferences and future order demands, or any significant delay in product developments, product introductions or order volume,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are complex, and undetected defects may increase our costs, harm our reputation with customers or lead to costly litigation.</w:t>
      </w:r>
    </w:p>
    <w:p>
      <w:pPr>
        <w:spacing w:after="0" w:line="18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products are extremely complex and must operate successfully with complex products of other vendors. Our products may contain undetected errors when first introduced or as we introduce product upgrades. The pressures we face to be the first to market new products or functionality and the 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costs to support our service contracts and other costs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 Further, with the reduction in force in our engineering group during fiscal 2013 as part of our cost containment efforts and with reduced levels of research and development spending in fiscal 2014 compared with prior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years, we have fewer engineering resources to deliver advanced, subsystem level products to satisfy our customers' demanding expectations.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results of operations are subject to fluctuation from period to period and may not be an accurate indication of future performance.</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products and services in relatively large dollar amounts to a relatively small number of customers. Customers specify delivery date requirements that coincide with their need for our products and services. Because these customers may use our products and services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High quarterly book-ship ratios may pressure inventory and cash flow management, necessitating increased inventory balances to ensure quarterly revenue attainment. Increased inventory balances tie up additional capital, limiting our operational flexibility. Some of our customers may have become conditioned to wait until the end of a quarter to place orders in the expectation of receiving a discount. Customers conditioned to seek quarter-end discounts increase risk and uncertainty in our financial forecasting and decrease our margins and profitability.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shipping hardware and software;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asset impairment, including goodwill and intangibles, or restructuring charges;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17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For example, effective in 2013, we must comply with the new conflict minerals regulations mandated by the Dodd Frank legislation. Compliance with the conflict minerals regulations may increase our operating costs as we implement new monitoring systems and the results of our conflict minerals due diligence review may harm our reputation with our customers and shareholders.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generally accepted accounting principles may adversely affect us.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From time to time, the Financial Accounting Standards Board, or FASB, promulgates new accounting principles that could have a material adverse impact on our results of operations or financial condition.</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 unable to deliver subsystem level products and related services on time and on budget with our limited engineering resources. Without sufficient resources in hardware, software, and mechanical engineering and quality assurance we may be unable to adequately scale our business and deliver the subsystem solutions that our customers expect. We must also develop new engineering talent in our engineering base to contain high engineering costs to alleviate pressures on our margins and price points.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retain key personnel.</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1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 In addition, we may need to invest in new information technology systems and infrastructure to scale our operations.</w:t>
      </w:r>
    </w:p>
    <w:p>
      <w:pPr>
        <w:spacing w:after="0" w:line="12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from external sources or from an insider threat, we may have a loss in sales or increased costs arising from the restoration or implementation of additional security measures, either of which could adversely affect our business and financial results. In addition, a security breach that involved classified information could subject us to civil or criminal penalties, loss of a government contract, loss of access to classified information, or debarment as a government contractor.</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we may need to adopt new information technology systems and infrastructure to scale our business and obtain the synergies from prior and future business acquisitions. Our older information technology systems and infrastructure could create product development or production work stoppages, negatively impact product delivery times and quality, and increase our compliance costs. Failure to invest in newer information technology systems and infrastructure may lead to operational inefficiencies and increased compliance costs and risks.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Shareholder Rights Plan that could make it more difficult for a third party to acquire, or could discourage a third party from acquiring, our company or a large block of our common stock. A third party that acquires 15% or more of our common stock (an “acquiring person”) could suffer substantial dilution of its ownership interest under the terms of the Shareholder Rights Plan through the issuance of common stock or common stock equivalents to all shareholders other than the acquiring person.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9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11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stock price, like that of other technology companies, has been volatile. The stock market in general and technology companies in particular may continue to experience volatility. The stock prices for companies in the defense technology industry may continue to remain volatile given the uncertainty and timing of funding for defense programs.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microcap status could hamper existing and new shareholders from gaining a meaningful position in our stock. In addition, the limited availability of credit in the financial markets and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9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13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Our management, including our chief executive officer and principal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analysts downgrade our common stock or if analysts issue other unfavorable commentary or cease publishing reports about us or our business.</w:t>
      </w:r>
    </w:p>
    <w:p>
      <w:pPr>
        <w:spacing w:after="0" w:line="2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credit facility. The sale of additional equity securities or securities convertible into our ordinary shares could result in additional dilution to our stockholders. The incurrence of indebtedness would result in increased debt service obligations and could result in operating and financing covenants that would restrict our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defense technology companies;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of the United States and other capital markets in which we may seek to raise funds;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6" w:lineRule="exact"/>
        <w:rPr>
          <w:sz w:val="20"/>
          <w:szCs w:val="20"/>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develop or enhance our customer base;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operations in the United States and elsewhere;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our software solutions, services and products; or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significant properties as of June 30, 2014:</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00" w:type="dxa"/>
            <w:vAlign w:val="bottom"/>
          </w:tcPr>
          <w:p>
            <w:pPr>
              <w:spacing w:after="0"/>
              <w:rPr>
                <w:sz w:val="14"/>
                <w:szCs w:val="14"/>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Segment(s) served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Size in</w:t>
            </w:r>
          </w:p>
        </w:tc>
        <w:tc>
          <w:tcPr>
            <w:tcW w:w="1340" w:type="dxa"/>
            <w:vAlign w:val="bottom"/>
          </w:tcPr>
          <w:p>
            <w:pPr>
              <w:spacing w:after="0"/>
              <w:rPr>
                <w:sz w:val="14"/>
                <w:szCs w:val="14"/>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29"/>
        </w:trPr>
        <w:tc>
          <w:tcPr>
            <w:tcW w:w="25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5"/>
              </w:rPr>
              <w:t>Sq. Feet</w:t>
            </w:r>
          </w:p>
        </w:tc>
        <w:tc>
          <w:tcPr>
            <w:tcW w:w="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34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Chelmsford, MA</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All (Corporate HQ)</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185,327</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2017, 2 buildings</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Hudson, NH</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100,111</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Cypress, CA</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MDS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42,770</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2021</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Huntsville, AL</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25,137</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West Caldwell, NJ</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23,000</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2019</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Manteca, CA</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actively manages its facilities and is in pursuit of lease extensions or alternative locations for facilities with expiration dates in 2014 or 2015. In addition, we lease a number of smaller offices around the world primarily for sales. For financial information regarding obligations under our leases, see Note L to the consolidated financial statements.</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currently pending against us and intend to defend our self vigorously. The outcome of these matters, individually and in the aggregate, is not expected to have a material impact on our cash flows, results of operations, or financial position.</w:t>
      </w: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ectPr>
          <w:pgSz w:w="11900" w:h="16838" w:orient="portrait"/>
          <w:cols w:equalWidth="0" w:num="1">
            <w:col w:w="11420"/>
          </w:cols>
          <w:pgMar w:left="240" w:top="746"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Mark Aslett</w:t>
      </w:r>
      <w:r>
        <w:rPr>
          <w:rFonts w:ascii="Arial" w:cs="Arial" w:eastAsia="Arial" w:hAnsi="Arial"/>
          <w:sz w:val="18"/>
          <w:szCs w:val="18"/>
          <w:color w:val="auto"/>
        </w:rPr>
        <w:t>, age 46, joined Mercury in 2007 and has served as the President and Chief Executive Officer since that date, and served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Kevin M. Bisson</w:t>
      </w:r>
      <w:r>
        <w:rPr>
          <w:rFonts w:ascii="Arial" w:cs="Arial" w:eastAsia="Arial" w:hAnsi="Arial"/>
          <w:sz w:val="17"/>
          <w:szCs w:val="17"/>
          <w:color w:val="auto"/>
        </w:rPr>
        <w:t>, age 53, joined Mercury in 2012 as Senior Vice President, Chief Financial Officer and Treasurer. Prior to joining Mercury, Mr. Bisson</w:t>
      </w:r>
      <w:r>
        <w:rPr>
          <w:rFonts w:ascii="Arial" w:cs="Arial" w:eastAsia="Arial" w:hAnsi="Arial"/>
          <w:sz w:val="17"/>
          <w:szCs w:val="17"/>
          <w:i w:val="1"/>
          <w:iCs w:val="1"/>
          <w:color w:val="auto"/>
        </w:rPr>
        <w:t xml:space="preserve"> </w:t>
      </w:r>
      <w:r>
        <w:rPr>
          <w:rFonts w:ascii="Arial" w:cs="Arial" w:eastAsia="Arial" w:hAnsi="Arial"/>
          <w:sz w:val="17"/>
          <w:szCs w:val="17"/>
          <w:color w:val="auto"/>
        </w:rPr>
        <w:t>had been Chief Financial Officer, Treasurer, Secretary, and Senior Vice President, Finance and Administration, at SeaChange International, Inc., a publicly-traded global multi-screen video software company. Mr. Bisson worked at SeaChange from March 2006 until January 2012. Prior to joining SeaChange, Mr. Bisson served from May 2003 until March 2006 as the Senior Vice President and Chief Financial Officer of American Superconductor Corporation, a publicly-traded energy technologies company. Mr. Bisson served from 2000 to 2003 as Vice President, Controller, and Treasurer for Axcelis Technologies, Inc., a publicly-traded semiconductor equipment manufacturing company. Prior to joining Axcelis Technologies, Mr. Bisson served for ten years in a number of financial capacities with United Technologies Corporation. Mr. Bisson is a CPA.</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Gerald M. Haines II</w:t>
      </w:r>
      <w:r>
        <w:rPr>
          <w:rFonts w:ascii="Arial" w:cs="Arial" w:eastAsia="Arial" w:hAnsi="Arial"/>
          <w:sz w:val="16"/>
          <w:szCs w:val="16"/>
          <w:color w:val="auto"/>
        </w:rPr>
        <w:t>, age 51, joined Mercury in 2010 as Senior Vice President, Corporate Development, Chief Legal Officer, and Secretary.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Mercury, from January 2008 to June 2010, Mr. Haines was Executive Vice President, Chief Legal Officer and Secretary at Verenium Corporation, a publicly traded company engaged in the development and commercialization of cellulosic biofuels and high performance specialty enzymes. From September 2006 to December 2007, he was an advisor to early-stage companies on legal and business matters. From May 2001 to August 2006, Mr. Haines served as Executive Vice President of Strategic Affairs, Chief Legal Officer and Secretary of Enterasys Networks, Inc., a public network communications company that was taken private in March 2006 following a successful business restructuring and turnaround. Prior to Enterasys Networks, Mr. Haines served as Senior Vice President and General Counsel of Cabletron Systems, Inc., the predecessor of Enterasys Networks. Before Cabletron, he was Vice President and General Counsel of the largest manufacturer of oriented polypropylene packaging and labeling films in North America, and prior to that was in private practice as a corporate attorney in a large Boston law firm. Mr. Haines is admitted to practice in Massachusetts, Maine, and the Federal District of Massachusetts.</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Charles A. Speicher</w:t>
      </w:r>
      <w:r>
        <w:rPr>
          <w:rFonts w:ascii="Arial" w:cs="Arial" w:eastAsia="Arial" w:hAnsi="Arial"/>
          <w:sz w:val="18"/>
          <w:szCs w:val="18"/>
          <w:color w:val="auto"/>
        </w:rPr>
        <w:t>, age 55, joined Mercury in 2010 as Vice President, Controller, and Chief Accounting Officer. Prior to joining Mercury,</w:t>
      </w:r>
      <w:r>
        <w:rPr>
          <w:rFonts w:ascii="Arial" w:cs="Arial" w:eastAsia="Arial" w:hAnsi="Arial"/>
          <w:sz w:val="18"/>
          <w:szCs w:val="18"/>
          <w:i w:val="1"/>
          <w:iCs w:val="1"/>
          <w:color w:val="auto"/>
        </w:rPr>
        <w:t xml:space="preserve"> </w:t>
      </w:r>
      <w:r>
        <w:rPr>
          <w:rFonts w:ascii="Arial" w:cs="Arial" w:eastAsia="Arial" w:hAnsi="Arial"/>
          <w:sz w:val="18"/>
          <w:szCs w:val="18"/>
          <w:color w:val="auto"/>
        </w:rPr>
        <w:t>Mr. Speicher held various positions at Virtusa Corporation, a publicly-traded global IT services company, including Vice President of Global Accounting Operations and Corporate Controller from 2001 to 2009. Mr. Speicher was Corporate Controller at Cerulean Technologies Inc., a private software product company, from 1996 to 2000 prior to its sale to Aether Systems Inc. where he served as Division Controller of Aether Mobile Government from 2000 to 2001. Prior to joining Cerulean Technology, Mr. Speicher held positions with Wyman-Gordon Company, Wang Laboratories and Arthur Andersen &amp; Company, LLP. Mr. Speicher is a CPA licensed in Massachusetts.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Didier M.C. Thibaud</w:t>
      </w:r>
      <w:r>
        <w:rPr>
          <w:rFonts w:ascii="Arial" w:cs="Arial" w:eastAsia="Arial" w:hAnsi="Arial"/>
          <w:sz w:val="18"/>
          <w:szCs w:val="18"/>
          <w:color w:val="auto"/>
        </w:rPr>
        <w:t>, age 53, joined Mercury in 1995, and has served as President of our Mercury Commercial Electronics business unit since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he was President of our Advanced Computing Solutions business unit since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ectPr>
          <w:pgSz w:w="11900" w:h="16838" w:orient="portrait"/>
          <w:cols w:equalWidth="0" w:num="1">
            <w:col w:w="11420"/>
          </w:cols>
          <w:pgMar w:left="240" w:top="112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6"/>
                <w:szCs w:val="16"/>
                <w:color w:val="auto"/>
              </w:rPr>
            </w:pPr>
          </w:p>
        </w:tc>
        <w:tc>
          <w:tcPr>
            <w:tcW w:w="860" w:type="dxa"/>
            <w:vAlign w:val="bottom"/>
          </w:tcPr>
          <w:p>
            <w:pPr>
              <w:jc w:val="right"/>
              <w:ind w:right="352"/>
              <w:spacing w:after="0"/>
              <w:rPr>
                <w:sz w:val="20"/>
                <w:szCs w:val="20"/>
                <w:color w:val="auto"/>
              </w:rPr>
            </w:pPr>
            <w:r>
              <w:rPr>
                <w:rFonts w:ascii="Arial" w:cs="Arial" w:eastAsia="Arial" w:hAnsi="Arial"/>
                <w:sz w:val="14"/>
                <w:szCs w:val="14"/>
                <w:b w:val="1"/>
                <w:bCs w:val="1"/>
                <w:color w:val="auto"/>
              </w:rPr>
              <w:t>Low</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Fourth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8.48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8.51</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2014, we had approximately 5,513 shareholders including record and nominee 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never declared or paid cash dividends on shares of our common stock. We currently intend to retain any earnings for future growth.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that any cash dividends will be declared or paid on our common stock in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2014, we had no active net share settlement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2014, we had no active share repurchase programs.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208,729</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194,231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237,070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228,710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199,830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(4,072)</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22,323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18,442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28,069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23,522</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29,856</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(loss) earnings per share from continuing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48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June 30,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127,375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115,483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170,761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203,978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111,249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373,712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385,606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224,338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13,635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15,112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15,560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17,920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10,621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327,147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328,501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333,104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301,436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179,112</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540" w:hanging="316"/>
        <w:spacing w:after="0" w:line="269"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our periodic communications, we discuss a key measure that is not calculated according to U.S. generally accepted accounting principles (“GAAP”), adjusted EBITDA. Adjusted EBITDA is defined as earnings from continuing operations before interest income and expense, income taxes, depreciation, amortization of acquired intangible assets, restructuring and other charges,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components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48" w:lineRule="exact"/>
        <w:rPr>
          <w:sz w:val="20"/>
          <w:szCs w:val="20"/>
          <w:color w:val="auto"/>
        </w:rPr>
      </w:pPr>
    </w:p>
    <w:p>
      <w:pPr>
        <w:jc w:val="both"/>
        <w:ind w:left="580"/>
        <w:spacing w:after="0" w:line="297"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 See the Non-GAAP Financial Measures section of this annual report for a reconciliation of our adjusted EBITDA to income from continuing operations.</w:t>
      </w:r>
    </w:p>
    <w:p>
      <w:pPr>
        <w:spacing w:after="0" w:line="1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divestitures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Mercury Systems provides commercially developed, specialized processing subsystems and services for critical commercial,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and Reaper. Our organizational structure allows the Company to deliver capabilities that combine technology building blocks and deep domain expertise in the defense sector. We believe our total portfolio of services and solutions is unique in the industry for a commercial company. Mercury Systems operates across a broad spectrum of defense programs and, effective for fiscal 2015, we deliver our solutions and services via two business units: (i) Mercury Commercial Electronics; and (ii) Mercury Defense Systems. In the fourth quarter of fiscal 2014, we initiated a plan to divest our Mercury Intelligence Systems business unit. Consequently, its operating results are included in discontinued operations for all periods presented (see Note C to the consolidated financial statements).</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2014, we had 632 employees. Our revenue, (loss) from continuing operations and adjusted EBITDA for fiscal 2014 were $208.7 million, $(4.1) million, and $23.5 million, respectively. See the Non-GAAP Financial Measures section for a reconciliation of our (loss) income from continuing operations to adjusted EBITDA.</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provides affordable, innovative, commercially designed and developed, specialized processing subsystems</w:t>
      </w:r>
      <w:r>
        <w:rPr>
          <w:rFonts w:ascii="Arial" w:cs="Arial" w:eastAsia="Arial" w:hAnsi="Arial"/>
          <w:sz w:val="18"/>
          <w:szCs w:val="18"/>
          <w:i w:val="1"/>
          <w:iCs w:val="1"/>
          <w:color w:val="auto"/>
        </w:rPr>
        <w:t xml:space="preserve"> </w:t>
      </w:r>
      <w:r>
        <w:rPr>
          <w:rFonts w:ascii="Arial" w:cs="Arial" w:eastAsia="Arial" w:hAnsi="Arial"/>
          <w:sz w:val="18"/>
          <w:szCs w:val="18"/>
          <w:color w:val="auto"/>
        </w:rPr>
        <w:t>for critical commercial, defense and intelligence applications. We deliver innovative solutions, rapid time-to-value and service and support to our prime defense contractor customers. Our technologies and capabilities include embedded processing modules and subsystems, RF and microwave multi-function assemblies as well as subsystems, and RF and microwave components.</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as well as some commercial applications. In addition, MCE designs and builds RF and microwave components and subsystems to meet the needs of the EW, SIGINT and other high bandwidth communications requirements and applications.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fiscal 2014, MCE accounted for 84% of our total net revenues.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Mercury Defense Systems</w:t>
      </w:r>
      <w:r>
        <w:rPr>
          <w:rFonts w:ascii="Arial" w:cs="Arial" w:eastAsia="Arial" w:hAnsi="Arial"/>
          <w:sz w:val="17"/>
          <w:szCs w:val="17"/>
          <w:color w:val="auto"/>
        </w:rPr>
        <w:t>, or MDS, provides significant capabilities relating to pre-integrated, open, affordable electronic warfare ("EW"),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attack ("EA") and electronic counter measure ("ECM") subsystems, and signals intelligence ("SIGINT") and electro-optical/infrared (EO/IR) technologies. MDS deploys these solutions on behalf of defense prime contractors and the Department of Defense ("DoD"), leveraging commercially available technologies and solutions (or “building blocks”) from our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fiscal 2014, MDS accounted for 16% of our total net revenues.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2014</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moved into our new manufacturing facility in Hudson, New Hampshire that will provide a platform for continued growth in our RF and microwave product lines. During the year, we consolidated four facilities into the new plant and installed integrated business systems that will allow us to scale our RF and microwave capabilities both organically and through merger and acquisition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fiscal 2014, we announced a restructuring plan ("2014 Plan") that was implemented as part of the final phase of integration activities relating to our recent acquisitions. The integration plan includes the consolidation of manufacturing facilities, centralization of administrative and manufacturing functions using common information systems and processes and rebalancing of research and development investments. The restructuring plan included the elimination of 70 positions largely in engineering, manufacturing and administrative functions. Additionally, we closed four facilities relocating all related activities to the Company's Advanced Microelectronics Center ("AMC") in Hudson, New Hampshire. During the fourth quarter of fiscal 2014, we also consolidated facilities at our corporate headquarters. These restructuring expenses associated with our fiscal 2014 integration plan amounted to $5.4 million and affected both the MCE and MDS reportable segments. Future restructuring expenses associated with the integration plan are expected to be approximately $3.1 million, which are anticipated to be completed by the end of the second quarter of fiscal 2015.</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2013</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2013, we announced a restructuring plan ("Q1 2013 Plan") impacting primarily the MCE business segment as a result of a significant decline in bookings and revenue. The plan consisted of the elimination of 142 positions primarily in engineering and support staff areas. Additionally, during the fourth quarter of fiscal 2013, as a result of the first phase of integration activities surrounding our recent acquisitions, we initiated a restructuring plan ("Q4 2013 Plan") that included the sale of our Hudson, New Hampshire facility and the elimination of 17 positions primarily in operations. We incurred restructuring charges of $7.1 million for the fiscal year ended June 30, 2013.</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2013, we acquired Micronetics Inc., a leading designer and manufacturer of microwave and RF subsystems and components for defense and commercial customers. Revenue and net loss from continuing operations of Micronetics included in our consolidated statements of operations for fiscal 2013 were $35.5 million and $(3.8) million,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2012</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December 30, 2011, we acquired KOR Electronics. Based in Cypress, California, KOR Electronics designs and develops DRFM units for a variety of modern EW applications, as well as radar environment simulation and test systems for defense applications. The amount of revenue and net income of KOR Electronics included in our consolidated statements of operations for fiscal 2012 were $11.9 million and $2.3 million, respectively.</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2012, we concluded the financial targets which underlie the $5.0 million earn-out related to the LNX acquisition would not be achieved. During the fourth quarter of fiscal 2012, we did not receive a purchase order for long lead-time materials associated with the JCREW counter IED program. This timing issue, in itself, triggered a reversal of the earn-out (see Note D to the consolidated financial statements). This reversal of the earn-out was recorded as an offset to operating expenses.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2012, we announced a restructuring plan (“2012 Plan”) affecting both the MCE and MDS reportable segments. The 2012 Plan primarily consisted of involuntary separation costs related to the reduction in force which eliminated 41 positions largely in engineering and manufacturing functions; and facility costs related to outsourcing of certain manufacturing activities at our Huntsville, Alabama site.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2014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2013</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statements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4"/>
            <w:vMerge w:val="restart"/>
          </w:tcPr>
          <w:p>
            <w:pPr>
              <w:jc w:val="right"/>
              <w:ind w:right="316"/>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6"/>
              </w:rPr>
              <w:t>Fiscal 2013</w:t>
            </w:r>
          </w:p>
        </w:tc>
        <w:tc>
          <w:tcPr>
            <w:tcW w:w="120" w:type="dxa"/>
            <w:vAlign w:val="bottom"/>
          </w:tcPr>
          <w:p>
            <w:pPr>
              <w:spacing w:after="0"/>
              <w:rPr>
                <w:sz w:val="12"/>
                <w:szCs w:val="12"/>
                <w:color w:val="auto"/>
              </w:rPr>
            </w:pPr>
          </w:p>
        </w:tc>
        <w:tc>
          <w:tcPr>
            <w:tcW w:w="13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208,729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194,231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w w:val="82"/>
              </w:rPr>
              <w:t>113,985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31"/>
              <w:spacing w:after="0"/>
              <w:rPr>
                <w:sz w:val="20"/>
                <w:szCs w:val="20"/>
                <w:color w:val="auto"/>
              </w:rPr>
            </w:pPr>
            <w:r>
              <w:rPr>
                <w:rFonts w:ascii="Arial" w:cs="Arial" w:eastAsia="Arial" w:hAnsi="Arial"/>
                <w:sz w:val="18"/>
                <w:szCs w:val="18"/>
                <w:color w:val="auto"/>
              </w:rPr>
              <w:t>116,073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8"/>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45.4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78,158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8"/>
              </w:rPr>
              <w:t>53,685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25.7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54,764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w w:val="98"/>
              </w:rPr>
              <w:t>35,693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32,604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Acquisition costs and other related expenses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1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36"/>
              <w:spacing w:after="0"/>
              <w:rPr>
                <w:sz w:val="20"/>
                <w:szCs w:val="20"/>
                <w:color w:val="auto"/>
              </w:rPr>
            </w:pPr>
            <w:r>
              <w:rPr>
                <w:rFonts w:ascii="Arial" w:cs="Arial" w:eastAsia="Arial" w:hAnsi="Arial"/>
                <w:sz w:val="18"/>
                <w:szCs w:val="18"/>
                <w:color w:val="auto"/>
              </w:rPr>
              <w:t>102,149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31"/>
              <w:spacing w:after="0"/>
              <w:rPr>
                <w:sz w:val="20"/>
                <w:szCs w:val="20"/>
                <w:color w:val="auto"/>
              </w:rPr>
            </w:pPr>
            <w:r>
              <w:rPr>
                <w:rFonts w:ascii="Arial" w:cs="Arial" w:eastAsia="Arial" w:hAnsi="Arial"/>
                <w:sz w:val="18"/>
                <w:szCs w:val="18"/>
                <w:color w:val="auto"/>
              </w:rPr>
              <w:t>102,968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01"/>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540" w:type="dxa"/>
            <w:vAlign w:val="bottom"/>
            <w:gridSpan w:val="4"/>
          </w:tcPr>
          <w:p>
            <w:pPr>
              <w:ind w:left="40"/>
              <w:spacing w:after="0"/>
              <w:rPr>
                <w:sz w:val="20"/>
                <w:szCs w:val="20"/>
                <w:color w:val="auto"/>
              </w:rPr>
            </w:pPr>
            <w:r>
              <w:rPr>
                <w:rFonts w:ascii="Arial" w:cs="Arial" w:eastAsia="Arial" w:hAnsi="Arial"/>
                <w:sz w:val="18"/>
                <w:szCs w:val="18"/>
                <w:color w:val="auto"/>
                <w:w w:val="99"/>
              </w:rPr>
              <w:t>(Loss) income from discontinued operations, net of taxes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0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175,766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tcBorders>
              <w:bottom w:val="single" w:sz="8" w:color="CCEEFF"/>
            </w:tcBorders>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152,606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79%</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MDS</w:t>
            </w:r>
          </w:p>
        </w:tc>
        <w:tc>
          <w:tcPr>
            <w:tcW w:w="4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34,217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41,491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(7,274)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208,729</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194,231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14,498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$14.5 million, or 7%, to $208.7 million during fiscal 2014 compared to $194.2 million during fiscal 2013. The increase was driven by higher defense revenues of $16.9 million, partially offset by lower commercial sales of $2.4 million. The increase in total revenues is primarily attributed to a recovery in our higher margin digital signal processing products within MCE, specifically increases in the Aegis, Patriot, and UAV related programs, partially offset by decreases in the SEWIP program as well as MDS's DRFM jammer and Gorgon Stare programs. International revenues, which consist of foreign military sales through prime defense contractor customers and direct sales to non-U.S. based customers, decreased by $1.7 million to $51.3 million during fiscal 2014 compared to $53.0 million during fiscal 2013. The decrease was primarily driven by lower international revenues in the Asia Pacific region. International revenues represented 25% and 27% of total revenues during fiscal 2014 and 2013, respectively.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MCE revenues increased $23.2 million, or 15%, during fiscal 2014 compared to fiscal 2013. The increase in net MCE revenues was primarily driven by higher net defense revenues of $24.2 million, partially offset by lower commercial revenues of $2.4 million. The increase in net MCE defense revenues was driven by a recovery in our higher margin digital signal processing products, specifically increases in the Aegis, Patriot and UAV related programs, which were partially offset by decreases in the SEWIP and Navy Multiband Terminal ("NMT") programs. Defense revenue accounted for 90% of net MCE revenues during fiscal 2014 compared to 87% in fiscal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MDS revenues decreased $7.3 million, or 18%, during fiscal 2014 compared to fiscal 2013. This decrease was driven by the decreases in a DRFM jammer program and the Gorgon Stare program.</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margin was 45.4% for fiscal 2014, an increase of 520 basis points from the 40.2% gross margin achieved in fiscal 2013. The higher gross margin in fiscal 2014 was due to a more favorable product mix, primarily driven by a recovery in our higher margin digital signal processing products within MCE and facilities consolidations as part of our integration plan. In addition, fiscal 2013 included a $2.1 million non-recurring charge for a fair value adjustment from purchase accounting resulting from the Micronetics acquisition.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decreased $1.1 million, or 2%, to $53.7 million during fiscal 2014 compared to $54.8 million during fiscal 2013. The overall decrease was primarily due to lower employee compensation expenses as a result of progress achieved on our plan of integrating and consolidating facilities, systems, and processes. Selling, general and administrative expenses decreased as a percentage of revenue to 25.7% during fiscal 2014 from 28.2% during fiscal 2013 due to higher revenues in fiscal 2014 and overall expense reductions, as compared to the comparable period in fiscal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Research and development expenses increased $3.1 million, or 9.5%, to $35.7 million during fiscal 2014 compared to $32.6 million for fiscal 2013. The increase was primarily due to $0.8 million lower customer funded projects, $0.9 million higher prototype expenses, and $2.0 million increased employee compensation expenses, including stock compensation expense. Research and development expenses accounted for 17.1% and 16.8% of our revenues during fiscal 2014 and fiscal 2013, respectively. These increases were partially offset by lower depreciation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Amortization of intangible assets decreased $0.9 million, or 11%, to $7.3 million during fiscal 2014 compared to $8.2 million for fiscal 2013, primarily due to a portion of the Micronetics related intangible assets being fully amortized during the first quarter of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Restructuring and other charges decreased 23%, or $1.6 million, to $5.4 million during fiscal 2014 compared to $7.1 million in fiscal 2013. The fiscal 2014 restructuring activities included the elimination of 70 positions largely in engineering, manufacturing and administrative functions. Additionally, we closed four facilities relocating all related activities to the Company's Advanced Microelectronics Center ("AMC") in Hudson, New Hampshire. We also completed the first phase of our Chelmsford, Massachusetts headquarters consolidation in the fourth quarter of fiscal 2014. Future restructuring expenses associated with the integration plan are expected to be approximately $3.1 million.We expect to realize approximately $16 million in annualized savings from the fiscal 2014 cost reduction activities, which are expected to be completed by the end of the second quarter of fiscal 2015.</w:t>
      </w:r>
    </w:p>
    <w:p>
      <w:pPr>
        <w:spacing w:after="0" w:line="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restructuring plans implemented during fiscal 2013 consisted of $5.5 million of involuntary separation costs related to the reduction in force which eliminated 159 positions, primarily from our engineering, administrative, and manufacturing functions, and $1.4 million in facility charges for our Hudson, New Hampshire, Huntsville, Alabama, and Ewing, New Jersey sites. Our fiscal 2013 restructuring plans were implemented to cope with reduced defense revenues and the near term uncertainties in the defense industry driven by the potential for defense budget sequestration. Additionally, fiscal 2013 activities were implemented as a result of integration efforts of recent acquisitions and the planned consolidation of our manufacturing facilities in Salem, New Hampshire and Hudson, New Hampshire.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income increased $1.0 million to $1.5 million during fiscal 2014 compared to $0.5 million in fiscal 2013. The increase was a result of foreign currency exchange gains during fiscal 2014 compared to losses during fiscal 2013 primarily driven by changes in the Japanese yen versus the U.S. dollar. Other income included $1.2 million in amortization of the gain on the sale leaseback of our corporate headquarters located in Chelmsford, Massachusetts during fiscal 2014 and 2013. Interest income and interest expense for fiscal years 2014 and 2013 were de minimis.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an income tax benefit of $1.8 million in fiscal 2014 compared to an income tax benefit of $10.5 million in fiscal 2013. The effective tax rates for fiscal 2014 and fiscal 2013 were 31.1% and 43.2%, respectively.</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effective tax rate for fiscal 2014 differed from the federal statutory rate primarily due to non-deductible equity compensation, partially offset by benefits related to research and development tax credits, domestic manufacturing deductions and foreign tax credits.</w:t>
      </w:r>
    </w:p>
    <w:p>
      <w:pPr>
        <w:spacing w:after="0" w:line="3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difference in the effective tax rates is mainly driven by fiscal 2014 including only six-months of federal research and development tax credits compared to 18 months in fiscal 2013 due to the timing of the tax credit extension and lower non-deductible stock compensation in fiscal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incurred a loss from discontinued operations of $7.4 million in fiscal 2014 compared to income from discontinued operations of $0.5 million in fiscal 2013. The loss from discontinued operations in fiscal 2014 includes a $6.7 million impairment of goodwill in our MIS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18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7"/>
          <w:szCs w:val="17"/>
          <w:color w:val="auto"/>
        </w:rPr>
        <w:t>Adjusted EBITDA, the non-GAAP profitability measure for our segment reporting, is defined as earnings from continuing operations before interest income and expense, income taxes, depreciation, amortization of acquired intangible assets, restructuring and other charges, impairment of long-lived assets, acquisition costs and other related expenses, fair value adjustments from purchase accounting and stock-based compensation costs. We utilize the adjusted EBITDA financial measure to assist in providing a more complete understanding of our underlying operational measures in order to manage the business, evaluate our performance compared to prior periods and the marketplace, and to establish operational goals.</w:t>
      </w:r>
    </w:p>
    <w:p>
      <w:pPr>
        <w:spacing w:after="0" w:line="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for MCE increased $15.7 million to $18.5 million during fiscal 2014, as compared to $2.8 million during fiscal 2013. The increase in adjusted EBITDA was primarily driven by higher revenues and higher gross margins due to favorable product revenue mix. MCE generated $184.8 million in revenues including intersegment revenues in fiscal 2014 compared to $166.3 million in fiscal 2013. This increase in revenues was coupled with higher margins driven by the recovery of our higher margin digital signal processing products.</w:t>
      </w:r>
    </w:p>
    <w:p>
      <w:pPr>
        <w:spacing w:after="0" w:line="5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Adjusted EBITDA for MDS decreased by $1.4 million during fiscal 2014 to $5.7 million, as compared to $7.1 million in fiscal 2013. The decrease is primarily driven by lower MDS revenues including intersegment revenues in fiscal 2014 of $34.2 million as compared to $41.5 million in fiscal 2013.</w:t>
      </w:r>
    </w:p>
    <w:p>
      <w:pPr>
        <w:spacing w:after="0" w:line="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 Q to our consolidated financial statements for more information regarding our operating segments as well as the Company's reconciliations of loss from continuing operations to its adjusted EBITDA.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2013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4"/>
            <w:vMerge w:val="restart"/>
          </w:tcPr>
          <w:p>
            <w:pPr>
              <w:jc w:val="right"/>
              <w:ind w:right="316"/>
              <w:spacing w:after="0"/>
              <w:rPr>
                <w:sz w:val="20"/>
                <w:szCs w:val="20"/>
                <w:color w:val="auto"/>
              </w:rPr>
            </w:pPr>
            <w:r>
              <w:rPr>
                <w:rFonts w:ascii="Arial" w:cs="Arial" w:eastAsia="Arial" w:hAnsi="Arial"/>
                <w:sz w:val="14"/>
                <w:szCs w:val="14"/>
                <w:b w:val="1"/>
                <w:bCs w:val="1"/>
                <w:color w:val="auto"/>
              </w:rPr>
              <w:t>Fiscal 2013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6"/>
              </w:rPr>
              <w:t>Fiscal 2012</w:t>
            </w:r>
          </w:p>
        </w:tc>
        <w:tc>
          <w:tcPr>
            <w:tcW w:w="120" w:type="dxa"/>
            <w:vAlign w:val="bottom"/>
          </w:tcPr>
          <w:p>
            <w:pPr>
              <w:spacing w:after="0"/>
              <w:rPr>
                <w:sz w:val="12"/>
                <w:szCs w:val="12"/>
                <w:color w:val="auto"/>
              </w:rPr>
            </w:pPr>
          </w:p>
        </w:tc>
        <w:tc>
          <w:tcPr>
            <w:tcW w:w="13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194,231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237,070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w w:val="82"/>
              </w:rPr>
              <w:t>116,073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31"/>
              <w:spacing w:after="0"/>
              <w:rPr>
                <w:sz w:val="20"/>
                <w:szCs w:val="20"/>
                <w:color w:val="auto"/>
              </w:rPr>
            </w:pPr>
            <w:r>
              <w:rPr>
                <w:rFonts w:ascii="Arial" w:cs="Arial" w:eastAsia="Arial" w:hAnsi="Arial"/>
                <w:sz w:val="18"/>
                <w:szCs w:val="18"/>
                <w:color w:val="auto"/>
              </w:rPr>
              <w:t>103,262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8"/>
              </w:rPr>
              <w:t>78,158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40.2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133,808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8"/>
              </w:rPr>
              <w:t>54,764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28.2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55,625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w w:val="98"/>
              </w:rPr>
              <w:t>32,604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45,984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Acquisition costs and other related expenses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720" w:type="dxa"/>
            <w:vAlign w:val="bottom"/>
            <w:gridSpan w:val="5"/>
          </w:tcPr>
          <w:p>
            <w:pPr>
              <w:ind w:left="380"/>
              <w:spacing w:after="0"/>
              <w:rPr>
                <w:sz w:val="20"/>
                <w:szCs w:val="20"/>
                <w:color w:val="auto"/>
              </w:rPr>
            </w:pPr>
            <w:r>
              <w:rPr>
                <w:rFonts w:ascii="Arial" w:cs="Arial" w:eastAsia="Arial" w:hAnsi="Arial"/>
                <w:sz w:val="18"/>
                <w:szCs w:val="18"/>
                <w:color w:val="auto"/>
                <w:w w:val="96"/>
              </w:rPr>
              <w:t>Change in the fair value of the liability related to the LNX</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80"/>
              <w:spacing w:after="0"/>
              <w:rPr>
                <w:sz w:val="20"/>
                <w:szCs w:val="20"/>
                <w:color w:val="auto"/>
              </w:rPr>
            </w:pPr>
            <w:r>
              <w:rPr>
                <w:rFonts w:ascii="Arial" w:cs="Arial" w:eastAsia="Arial" w:hAnsi="Arial"/>
                <w:sz w:val="18"/>
                <w:szCs w:val="18"/>
                <w:color w:val="auto"/>
              </w:rPr>
              <w:t>earn-out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(4,938)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102,968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53.0</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104,153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(24,810)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01"/>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29,655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4720" w:type="dxa"/>
            <w:vAlign w:val="bottom"/>
            <w:gridSpan w:val="5"/>
          </w:tcPr>
          <w:p>
            <w:pPr>
              <w:ind w:left="40"/>
              <w:spacing w:after="0"/>
              <w:rPr>
                <w:sz w:val="20"/>
                <w:szCs w:val="20"/>
                <w:color w:val="auto"/>
              </w:rPr>
            </w:pPr>
            <w:r>
              <w:rPr>
                <w:rFonts w:ascii="Arial" w:cs="Arial" w:eastAsia="Arial" w:hAnsi="Arial"/>
                <w:sz w:val="18"/>
                <w:szCs w:val="18"/>
                <w:color w:val="auto"/>
                <w:w w:val="95"/>
              </w:rPr>
              <w:t>(Loss) income from continuing operations before tax (benefit)</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provision</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(24,283)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3"/>
          </w:tcPr>
          <w:p>
            <w:pPr>
              <w:jc w:val="right"/>
              <w:ind w:right="101"/>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31,314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(10,501)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w w:val="93"/>
              </w:rPr>
              <w:t>(Loss) income from continuing operations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(13,782)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01"/>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22,323</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(13,208)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22,619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3"/>
          </w:tcPr>
          <w:p>
            <w:pPr>
              <w:jc w:val="center"/>
              <w:ind w:right="73"/>
              <w:spacing w:after="0"/>
              <w:rPr>
                <w:sz w:val="20"/>
                <w:szCs w:val="20"/>
                <w:color w:val="auto"/>
              </w:rPr>
            </w:pPr>
            <w:r>
              <w:rPr>
                <w:rFonts w:ascii="Arial" w:cs="Arial" w:eastAsia="Arial" w:hAnsi="Arial"/>
                <w:sz w:val="14"/>
                <w:szCs w:val="14"/>
                <w:b w:val="1"/>
                <w:bCs w:val="1"/>
                <w:color w:val="auto"/>
                <w:w w:val="95"/>
              </w:rPr>
              <w:t>As a %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80" w:type="dxa"/>
            <w:vAlign w:val="bottom"/>
            <w:gridSpan w:val="3"/>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Total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w w:val="89"/>
              </w:rPr>
              <w:t>Revenue</w:t>
            </w: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80" w:type="dxa"/>
            <w:vAlign w:val="bottom"/>
            <w:tcBorders>
              <w:bottom w:val="single" w:sz="8" w:color="CCEEFF"/>
            </w:tcBorders>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203,979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86%</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MDS</w:t>
            </w: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41,491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8,760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194,231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237,070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(42,839)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Total revenues decreased $42.8 million, or 18%, to $194.2 million during fiscal 2013 compared to $237.1 million during fiscal 2012. International revenues, which consist of foreign military sales through prime defense contractor customers and direct sales to non-U.S. based customers, decreased by $2.2 million to $41.5 million during fiscal 2013 compared to $43.7 million during fiscal 2012. International revenues represented 21% of total revenues during fiscal 2013 and 18% of total revenue during fiscal 2012.</w:t>
      </w:r>
    </w:p>
    <w:p>
      <w:pPr>
        <w:spacing w:after="0" w:line="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Net MCE revenues decreased $51.4 million, or 25%, to $152.6 million during fiscal 2013 compared to $204.0 million in fiscal 2012. The decrease in net MCE revenues was primarily driven by lower net defense revenues of $56.2 million driven by a decline in our digital signal processing product revenue. These declines were net of an offset of $35.5 million of revenues contributed by Micronetics. The decreases in net MCE revenues were attributable to decreases in Joint Strike Fighter ("JSF"), Patriot, Aegis and UAV related programs. This decrease was partially offset by higher commercial revenues of $4.8 million. Defense revenue accounted for 87% of net MCE revenues during fiscal 2013 compared to 93% in fiscal 2012.</w:t>
      </w:r>
    </w:p>
    <w:p>
      <w:pPr>
        <w:spacing w:after="0" w:line="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MDS revenues increased $8.8 million, or 27%, to $41.5 million during fiscal 2013 compared to $32.7 million in fiscal 2012. This increase was driven by the inclusion of a full year of revenues contributed as part of the KOR acquisition, as compared to six months of revenues in fiscal 2012. This increase was partially offset by lower revenues from the Gorgon Stare program.</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40.2% for fiscal 2013, a decrease of 1620 basis points, from the 56.4% gross margin achieved in fiscal 2012. The decrease in gross margin was primarily driven by sharp revenue declines in our higher margin MCE digital signal processing product line coupled with inclusion of revenues from Micronetics and MDS which carry comparatively lower margins.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Selling, general and administrative expenses decreased $0.8 million, or 1.5%, to $54.8 million during fiscal 2013 compared to $55.6 million during fiscal 2012. The overall decrease was primarily due to decreases in compensation expenses from cost reduction initiatives as a result of our 2012 and 2013 restructuring plans which occurred in the fourth quarter of fiscal 2012, and the first and fourth quarters of fiscal 2013. These reductions were partially offset by increased employee compensation expenses from the Micronetics and KOR acquisitions. Selling, general and administrative expenses increased as a percentage of revenues to 28.2% during fiscal 2013 from 23.5% during fiscal 2012 due to lower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Research and development expenses decreased $13.4 million, or 29%, to $32.6 million during fiscal 2013 compared to $46.0 million for fiscal 2012. The decrease was primarily due to a $10.2 million decrease in compensation expense from cost reduction initiatives as a result of our 2012 and 2013 restructuring plans which occurred in the fourth quarter of fiscal 2012, the first quarter of fiscal 2013 and the fourth quarter of fiscal 2013, and a $4.2 million decrease in prototype material. These decreases were slightly offset by increased compensation expenses from the Micronetics acquisition. Research and development expenses accounted for 16.8% and 19.4% of our revenues during fiscal 2013 and fiscal 2012,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Amortization of intangible assets increased $4.7 million to $8.2 million during fiscal 2013 compared to $3.5 million for fiscal 2012, primarily due to amortization of intangible assets from the Micronetics acquisition completed in August 2012 and the KOR acquisition completed in December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There was $7.1 million of restructuring expense recorded in fiscal 2013 as compared to $2.7 million in fiscal 2012. The restructuring plans implemented in the first and fourth quarters of fiscal 2013 included of $5.5 million of involuntary separation costs related to the reduction in force which eliminated 159 positions, primarily from our engineering, administrative, and manufacturing functions, and $1.4 million in facility charges for our Hudson, New Hampshire, Huntsville, Alabama, and Ewing, New Jersey sites. Our 2013 Plan was implemented to cope with reduced defense revenues and the near term uncertainties in the defense industry driven by the potential for defense budget sequestration. The plans were also implemented as a result of integration efforts of recent acquisitions and the planned consolidation of our manufacturing facilities in Salem, New Hampshire and Hudson, New Hampshire.</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restructuring plan implemented in fiscal 2012 primarily consisted of involuntary separation costs related to the reduction in force which eliminated 41 positions largely in engineering and manufacturing functions; and facility costs related to outsourcing of certain manufacturing activities at our Huntsville, Alabama 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incurred $0.3 million of acquisition costs and other related expenses during fiscal 2013, in connection with the acquisition of Micronetics, as compared to $1.2 million during fiscal 2012, in connection with the Micronetics and KOR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decreased $1.1 million to $0.5 million during fiscal 2013 compared to $1.7 million in fiscal 2012. Other income in fiscal 2013 primarily consisted of $1.2 million in amortization of the gain on the sale leaseback of our corporate headquarters located in Chelmsford, Massachusetts and was partially offset by $0.9 million of net foreign currency exchange losses.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and interest expense for fiscal years 2013 and 2012 were de minimis.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recorded an income tax benefit of $10.5 million in fiscal 2013 compared to an income tax provision of $9.0 million in fiscal 2012. The effective tax rates for fiscal 2013 and fiscal 2012 were 43.2% and 28.8%, respectively.</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difference in the effective tax rates in fiscal 2013 compared to fiscal 2012 is mainly driven by the change in the fair value of the liability related to the LNX earn-out of $4.9 million offset by $1.2 million of acquisition costs, both of which occurred in fiscal 2012 and were not subject to tax. The fiscal 2012 rate was also impacted by six-months of federal research and development tax credits compared to 18 months in fiscal 2013 due to the timing of the tax credit extension.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10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Income from discontinued operations, net of taxes, was $0.5 million in fiscal 2013 compared to $0.3 million in fiscal 2012. The increase in income from discontinued operations is attributable to the inclusion of a full year's results of our MIS business in fiscal 2013 versus six months in fiscal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Adjusted EBITDA for MCE decreased $37.7 million to $2.8 million during fiscal 2013, as compared to $40.5 million during fiscal 2012. The decrease in adjusted EBITDA was primarily driven by lower revenues and lower gross margins based on unfavorable product revenue mix. MCE generated $166.3 million in revenues including intersegment revenues in fiscal 2013 compared to $216.5 million in fiscal 2012. This decrease in revenues was partially offset by lower operating expenses as a result of our fiscal 2013 cost saving initiatives, including the reductions in force which eliminated 159 positions. Overall, operating expenses increased as a percent of revenue due to the decline in revenues.</w:t>
      </w:r>
    </w:p>
    <w:p>
      <w:pPr>
        <w:spacing w:after="0" w:line="3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Adjusted EBITDA for MDS decreased by $0.2 million during fiscal 2013 to $7.1 million, as compared to $7.3 million in fiscal 2012. The fiscal 2013 decrease in adjusted EBITDA was primarily due to incurring a full year of MDS operating expenses in fiscal 2013 compared to six months of operating expenses in fiscal 2012 based on the timing of the KOR acquisition.</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 Q to our consolidated financial statements for more information regarding our operating segments as well as the Company's reconciliations of earnings (loss) from continuing operations to its adjusted EBITDA.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our primary source of liquidity came from existing cash and cash generated from operations.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9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57"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Upon the expiration of the 2011 shelf registration statement in mid-August 2014, we plan to file a new $500 million shelf registration statement to replace our existing one.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our consolidated EBITDA for the prior trailing four quarters and subject to compliance with the financial covenants discussed below. The Revolver is available for working capital, acquisitions, and general corporate purposes of the Company and its subsidiaries. The Revolver is available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borrowing during a five year period, with interest payable periodically during such period as provided in the Credit Agreement and principal due at the maturity of the Revolver.</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In addition, the Credit Agreement contains certain customary representations and warranties, and events of default.</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2014, there was $75.8 million of borrowing capacity available based on our consolidated EBITDA for the trailing four quarters ended June 30, 2014. There were no borrowings outstanding on the Credit Agreement; however, there were outstanding letters of credit of $4.1 million. We were in compliance with all covenants and conditions under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14"/>
                <w:szCs w:val="14"/>
                <w:color w:val="auto"/>
              </w:rPr>
            </w:pPr>
          </w:p>
        </w:tc>
        <w:tc>
          <w:tcPr>
            <w:tcW w:w="12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As of and for the fiscal year ended</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(71,091)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(46,911)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47,287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115,964</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cash and cash equivalents increased by $8.2 million during fiscal 2014 primarily as a result of $14.2 million in cash generated by operating activities, partially offset by $6.7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fiscal 2014, we generated $14.2 million in cash from operating activities, an increase of $16.1 million when compared to $1.9 million in cash used in operating activities in fiscal 2013. The increase in cash generated by operating activities was primarily a result of $1.8 million of lower comparable net loss, a $14.3 million decrease in cash used for payables and accrued expenses, a $6.7 million increase in non-cash activity from the impairment of goodwill associated with the MIS discontinued operations, $4.6 million generated from the lower deferred income taxes, and $5.4 million in lower inventory purchases. The increase in cash generated from operating activities was partially offset by timing of accounts receivable collections of $17.2 million.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4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fiscal 2013, we used $1.9 million in cash for operating activities, a decrease of $33.8 million when compared to $31.9 million in cash generated from operating activities in fiscal 2012. The decline in cash generated by operating activities was primarily a result of lower comparable net income of $35.8 million and a $12.0 million increase in cash used for payables and accrued expenses. These increases in the use of cash were partially offset by $2.0 million in lower accounts receivable, $7.7 million in lower inventory purchases and $5.6 million generated from higher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used cash of $6.7 million in investing activities compared to $71.1 million used during fiscal 2013. The $64.4 million decrease in cash used in investing activities was primarily driven by $67.7 million used for the Micronetics acquisition in fiscal 2013, partially offset by increased capital expenditures of $2.8 million in fiscal 2014.</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2013, we used cash of $71.1 million in investing activities compared to $80.8 million used during fiscal 2012. The $9.7 million decrease in cash used in investing activities was primarily driven by $3.3 million of less cash spent on acquisitions and $5.5 million of lower purchases of property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generated $0.7 million from financing activities compared to $3.7 million cash used in financing activities during fiscal 2013. The $4.4 million change in cash from financing activities was primarily due to a $6.6 million payment to settle debt acquired as part of the Micronetics acquisition, partially offset by the release of $3.0 million of restricted cash both of which occurred during fiscal 2013.</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2013, $3.7 million of cash was used in financing activities compared to $2.0 million generated from financing activities during fiscal 2012. The $5.7 million change in cash from financing activities was primarily due to a $6.6 million payment to settle debt acquired as part of the Micronetics acquisition during fiscal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Less Than</w:t>
            </w:r>
          </w:p>
        </w:tc>
        <w:tc>
          <w:tcPr>
            <w:tcW w:w="300" w:type="dxa"/>
            <w:vAlign w:val="bottom"/>
          </w:tcPr>
          <w:p>
            <w:pPr>
              <w:spacing w:after="0"/>
              <w:rPr>
                <w:sz w:val="14"/>
                <w:szCs w:val="14"/>
                <w:color w:val="auto"/>
              </w:rPr>
            </w:pPr>
          </w:p>
        </w:tc>
        <w:tc>
          <w:tcPr>
            <w:tcW w:w="1060" w:type="dxa"/>
            <w:vAlign w:val="bottom"/>
          </w:tcPr>
          <w:p>
            <w:pPr>
              <w:jc w:val="right"/>
              <w:ind w:right="51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4,649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8,809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3,833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25,964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51,495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30,869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June 30, 2014 of $3.2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commitments covered by these agreements are for less than one year and aggregated $26.0 million at June 30, 2014.</w:t>
      </w:r>
    </w:p>
    <w:p>
      <w:pPr>
        <w:spacing w:after="0" w:line="1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2014 and 2013, we did not engage in any related party transactions.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acquired intangible assets, restructuring and other charges,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our (loss) income from continuing operations, the most directly comparable GAAP financial measure, to our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Fair value adjustments related to purchase accounting items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cost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47,994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31,869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EVENUE</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ECOGNITION</w:t>
      </w:r>
    </w:p>
    <w:p>
      <w:pPr>
        <w:spacing w:after="0" w:line="10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recognize revenue using three different types of accounting methods: ship and bill, multiple-deliverable arrangements and contract accounting which encompass the percentage of completion, completed contract and time and materials methods. Ship and bill revenues, multiple-deliverable arrangements and contract accounting revenues totaled 35%, 37%, and 28% of total Company revenues in fiscal 2014, respectively. Revenue from system sales is recognized upon shipment utilizing the ship and bill method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For multiple-deliverable revenue arrangements that may include a combination of hardware components, related integration or other services, we allocate revenue to each deliverable based on its relative selling price. We generally determine relative selling price using best estimate of the selling price (“BESP”). Each deliverable within our multiple-deliverable revenue arrangement is accounted for as a separate unit of accounting if the delivered item or items have value to the customer on a standalone basis. We consider a deliverable to have standalone value if the item is sold separately by us or another vendor or if the item could be resold by the customer. Of our multiple-deliverable revenue arrangements, approximately 50% typically ship complete within the same quarter.</w:t>
      </w:r>
    </w:p>
    <w:p>
      <w:pPr>
        <w:spacing w:after="0" w:line="4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also have long term production type contracts that are fixed-price for which we apply the percentage-of-completion method for revenue recognition. Application of the percentage-of-completion method requires significant judgment relative to estimating total contract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Our estimates are based upon the professional knowledge and experience of our engineers, program managers and other personnel, who review each long-term contract monthly to assess the contract's schedule, performance, technical matters and estimated cost at completion. A cancellation, schedule delay, or modification of a fixed-price contract which is accounted for using the percentage-of-completion method may adversely affect our gross margins for the period in which the contract is modified or canceled. Changes in estimates are applied retrospectively and when adjustments in estimated contract costs are identified, such revisions may result in current period adjustments to earnings applicable to performance in prior periods. For time and materials contracts, revenue reflects the number of direct labor hours expended in the performance of a contract multiplied by the contract billing rate, as well as reimbursement of other billable direct costs.</w:t>
      </w:r>
    </w:p>
    <w:p>
      <w:pPr>
        <w:spacing w:after="0" w:line="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all types of contracts, we recognize anticipated contract losses as soon as they become known and estimable. In fiscal 2014, we recognized approximately $0.4 million on these contracts when the losses became known and estimable. We do not provide our customers with rights of product return, other than those related to warranty provisions that permit repair or replacement of defective goods. We accrue for anticipated warranty costs upon product shipment. Our payment terms generally range from 30 to 90 days from invoice date based on the nature of the contracts, customers' geographic locations and customer type.</w:t>
      </w:r>
    </w:p>
    <w:p>
      <w:pPr>
        <w:spacing w:after="0" w:line="5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do not exceed 10 percent of total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NVENTORY</w:t>
      </w:r>
      <w:r>
        <w:rPr>
          <w:rFonts w:ascii="Arial" w:cs="Arial" w:eastAsia="Arial" w:hAnsi="Arial"/>
          <w:sz w:val="18"/>
          <w:szCs w:val="18"/>
          <w:i w:val="1"/>
          <w:iCs w:val="1"/>
          <w:color w:val="auto"/>
        </w:rPr>
        <w:t xml:space="preserve"> V</w:t>
      </w:r>
      <w:r>
        <w:rPr>
          <w:rFonts w:ascii="Arial" w:cs="Arial" w:eastAsia="Arial" w:hAnsi="Arial"/>
          <w:sz w:val="14"/>
          <w:szCs w:val="14"/>
          <w:i w:val="1"/>
          <w:iCs w:val="1"/>
          <w:color w:val="auto"/>
        </w:rPr>
        <w:t>ALUATION</w:t>
      </w:r>
    </w:p>
    <w:p>
      <w:pPr>
        <w:spacing w:after="0" w:line="1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value our inventory at the lower of cost (first-in, first-out) or its current estimated market value. We write down inventory for excess and obsolescence based upon assumptions about future demand, product mix and possible alternative uses. Actual demand, product mix and alternative usage may be lower than those that we project and this difference could have a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effect on our gross margin if inventory write-downs beyond those initially recorded become necessary. Alternatively, if actual demand, product mix and alternative usage are more favorable than those we estimated at the time of such a write-down, our gross margin could be favorably impacted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OODWILL</w:t>
      </w:r>
      <w:r>
        <w:rPr>
          <w:rFonts w:ascii="Arial" w:cs="Arial" w:eastAsia="Arial" w:hAnsi="Arial"/>
          <w:sz w:val="18"/>
          <w:szCs w:val="18"/>
          <w:i w:val="1"/>
          <w:iCs w:val="1"/>
          <w:color w:val="auto"/>
        </w:rPr>
        <w:t>, I</w:t>
      </w:r>
      <w:r>
        <w:rPr>
          <w:rFonts w:ascii="Arial" w:cs="Arial" w:eastAsia="Arial" w:hAnsi="Arial"/>
          <w:sz w:val="14"/>
          <w:szCs w:val="14"/>
          <w:i w:val="1"/>
          <w:iCs w:val="1"/>
          <w:color w:val="auto"/>
        </w:rPr>
        <w:t>NTANGIBLE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 AND</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ONG</w:t>
      </w:r>
      <w:r>
        <w:rPr>
          <w:rFonts w:ascii="Arial" w:cs="Arial" w:eastAsia="Arial" w:hAnsi="Arial"/>
          <w:sz w:val="18"/>
          <w:szCs w:val="18"/>
          <w:i w:val="1"/>
          <w:iCs w:val="1"/>
          <w:color w:val="auto"/>
        </w:rPr>
        <w:t>-</w:t>
      </w:r>
      <w:r>
        <w:rPr>
          <w:rFonts w:ascii="Arial" w:cs="Arial" w:eastAsia="Arial" w:hAnsi="Arial"/>
          <w:sz w:val="14"/>
          <w:szCs w:val="14"/>
          <w:i w:val="1"/>
          <w:iCs w:val="1"/>
          <w:color w:val="auto"/>
        </w:rPr>
        <w:t>LIVED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10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evaluate whether goodwill is impaired annually and when events occur or circumstances change. We test goodwill for impairment at the reporting unit level. Goodwill impairment guidance provides entities an option to perform a qualitative assessment (commonly known as “step zero”) to determine whether further impairment testing is necessary before performing the two-step test. The qualitative assessment requires significant judgments by management about macro-economic conditions including the entity's operating environment, its industry and other market considerations, entity-specific events related to financial performance or loss of key personnel, and other events that could impact the reporting unit. If we conclude that further testing is required, the impairment test involves a two-step process. Step one compares the fair value of the reporting unit with its carrying value, including goodwill. If the carrying amount exceeds the fair value of the reporting unit, step two is required to determine if there is an impairment of the goodwill. Step two compares the implied fair value of the reporting unit's goodwill to the carrying amount of the goodwill. The Company estimates the fair value of its reporting units using the income approach based upon a discounted cash flow model. In addition, the Company uses the market approach, which compares the reporting unit to publicly-traded companies and transactions involving similar businesses, to support the conclusions of the income approach. The income approach requires the use of many assumptions and estimates including future revenues, expenses, capital expenditures, and working capital, as well as discount factors and income tax rates.</w:t>
      </w:r>
    </w:p>
    <w:p>
      <w:pPr>
        <w:spacing w:after="0" w:line="4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As part of our annual goodwill impairment testing performed on May 31, 2014, we utilized the income approach to determine the fair value of each reporting unit, including MCE, MDS and MIS. Our expected future cash flows based on our January 1, 2014 mid-year forecasts indicated material changes for our MIS reporting unit. Therefore, we used contemporaneous forecasts in order to evaluate each reporting unit. As part of our annual goodwill impairment testing, we utilized a discount rate for each of our reporting units that we believe represents the risks that our businesses face, considering their sizes, the current economic environment, and other industry data we believe is appropriate. The discount rate for MCE, MDS, and MIS were 11.5%, 13.5%, and 13%, respectively. The annual testing indicated that the fair values of our MCE and MDS significantly exceeding their carrying values, and thus no further testing was required. However, the MIS reporting unit fair value did not exceed its carrying value, indicating an impairment and hence step two procedures were performed. The results of step two determined a goodwill impairment of $6.8 million which is included in discontinued operations for our consolidated financial statements, excluding the statements of shareholders' equity and cash flows (see Note C for discontinued operations).</w:t>
      </w:r>
    </w:p>
    <w:p>
      <w:pPr>
        <w:spacing w:after="0" w:line="3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 During the fourth quarter of fiscal 2014, we incurred a triggering event as a result of the contemporaneous forecast updates for the MIS business unit. As a result, we discontinued operations for the MIS business unit. Testing of the valuation of long-lived assets of the MIS asset group indicated no impairment, as the estimated undiscounted cash flows of the MIS asset group, less estimated costs to sell, significantly exceeded its carrying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NCOME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AXES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w:t>
      </w:r>
    </w:p>
    <w:p>
      <w:pPr>
        <w:spacing w:after="0" w:line="5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evaluating our ability to recover deferred tax assets, we consider all available positive and negative evidence, including our past operating results, and our forecast of future earnings, future taxable income and tax planning strategies. The assumptions utilized in determining future taxable income require significant judgment. We record a valuation allowance against net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spacing w:after="0" w:line="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ultimate settlement. We reevaluate our uncertain tax positions on a quarterly basis and any changes to these positions as a result of tax audits, tax laws or other facts and circumstances could result in additional charges to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OMBINATIONS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utilized the acquisition method of accounting for business combinations and allocate the purchase price of an acquisition to the various assets acquired and liabilities assumed based on their estimated fair values. We primarily establish fair value using the income approach based upon a discounted cash flow model. The income approach requires the use of many assumptions and estimates including future revenues and expenses, as well as discount factors and income tax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July 2013, the FASB issued ASU No. 2013-11, </w:t>
      </w:r>
      <w:r>
        <w:rPr>
          <w:rFonts w:ascii="Arial" w:cs="Arial" w:eastAsia="Arial" w:hAnsi="Arial"/>
          <w:sz w:val="18"/>
          <w:szCs w:val="18"/>
          <w:i w:val="1"/>
          <w:iCs w:val="1"/>
          <w:color w:val="auto"/>
        </w:rPr>
        <w:t>Presentation of an Unrecognized Tax Benefit When a Net Operating Loss Carryforward, a Similar Tax</w:t>
      </w:r>
      <w:r>
        <w:rPr>
          <w:rFonts w:ascii="Arial" w:cs="Arial" w:eastAsia="Arial" w:hAnsi="Arial"/>
          <w:sz w:val="18"/>
          <w:szCs w:val="18"/>
          <w:color w:val="auto"/>
        </w:rPr>
        <w:t xml:space="preserve"> </w:t>
      </w:r>
      <w:r>
        <w:rPr>
          <w:rFonts w:ascii="Arial" w:cs="Arial" w:eastAsia="Arial" w:hAnsi="Arial"/>
          <w:sz w:val="18"/>
          <w:szCs w:val="18"/>
          <w:i w:val="1"/>
          <w:iCs w:val="1"/>
          <w:color w:val="auto"/>
        </w:rPr>
        <w:t>Loss, or a Tax Credit Carryforward Exists</w:t>
      </w:r>
      <w:r>
        <w:rPr>
          <w:rFonts w:ascii="Arial" w:cs="Arial" w:eastAsia="Arial" w:hAnsi="Arial"/>
          <w:sz w:val="18"/>
          <w:szCs w:val="18"/>
          <w:color w:val="auto"/>
        </w:rPr>
        <w:t>, an amendment of the FASB Accounting Standards Codification. The ASU requires an unrecognized tax benefit to</w:t>
      </w:r>
      <w:r>
        <w:rPr>
          <w:rFonts w:ascii="Arial" w:cs="Arial" w:eastAsia="Arial" w:hAnsi="Arial"/>
          <w:sz w:val="18"/>
          <w:szCs w:val="18"/>
          <w:i w:val="1"/>
          <w:iCs w:val="1"/>
          <w:color w:val="auto"/>
        </w:rPr>
        <w:t xml:space="preserve"> </w:t>
      </w:r>
      <w:r>
        <w:rPr>
          <w:rFonts w:ascii="Arial" w:cs="Arial" w:eastAsia="Arial" w:hAnsi="Arial"/>
          <w:sz w:val="18"/>
          <w:szCs w:val="18"/>
          <w:color w:val="auto"/>
        </w:rPr>
        <w:t>be presented as a decrease in a deferred tax asset when net operating loss carryforwards, similar tax losses, or tax credit carryforwards exist and certain criteria are met. The ASU is effective prospectively for annual reporting periods beginning after December 15, 2013. This guidance is not expected to have a material impact to our consolidated financial statements.</w:t>
      </w:r>
    </w:p>
    <w:p>
      <w:pPr>
        <w:spacing w:after="0" w:line="5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April 2014, the FASB ASU No. 2014-08, </w:t>
      </w:r>
      <w:r>
        <w:rPr>
          <w:rFonts w:ascii="Arial" w:cs="Arial" w:eastAsia="Arial" w:hAnsi="Arial"/>
          <w:sz w:val="16"/>
          <w:szCs w:val="16"/>
          <w:i w:val="1"/>
          <w:iCs w:val="1"/>
          <w:color w:val="auto"/>
        </w:rPr>
        <w:t>Presentation of Financial Statements (Topic 205) and Property, Plant, and Equipment (Topic 360)</w:t>
      </w:r>
      <w:r>
        <w:rPr>
          <w:rFonts w:ascii="Arial" w:cs="Arial" w:eastAsia="Arial" w:hAnsi="Arial"/>
          <w:sz w:val="16"/>
          <w:szCs w:val="16"/>
          <w:color w:val="auto"/>
        </w:rPr>
        <w:t>, an amendment of the FASB Accounting Standards Codification. The ASU clarifies the definition of discontinued operations by limiting discontinued operations reporting to disposals of components of an entity that represent strategic shifts that have (or will have) a major effect on an entity's operations and financial results. Additionally, the amendments in this ASU require expanded disclosure for discontinued operations to provide users with more information about the assets, liabilities, revenues, and expenses. The ASU is effective for us on July 1, 2015, including interim periods within that reporting period and we have not elected to early adopt the guidance. This guidance is not expected to have a material impact on our consolidated financial statements.</w:t>
      </w:r>
    </w:p>
    <w:p>
      <w:pPr>
        <w:spacing w:after="0" w:line="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July 1, 2017 and early application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has it determined the effect of the standard on its ongoing financial reporting.</w:t>
      </w:r>
    </w:p>
    <w:p>
      <w:pPr>
        <w:spacing w:after="0" w:line="1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exposure to interest rate risk is related primarily to our investment portfolio and our line of credit. 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 Our line of credit was unused at June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local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13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7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Mercury Systems, Inc. and subsidiaries as of June 30, 2014 and 2013, and the related consolidated statements of operations and comprehensive income (loss), shareholders’ equity, and cash flows for each of the years in the three-year period ended June 30, 2014. In connection with our audits of the consolidated financial statements, we also have audited financial statement Schedule II. We also have audited Mercury Systems, Inc.’s internal control over financial reporting as of June 30, 2014,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(1992) </w:t>
      </w:r>
      <w:r>
        <w:rPr>
          <w:rFonts w:ascii="Arial" w:cs="Arial" w:eastAsia="Arial" w:hAnsi="Arial"/>
          <w:sz w:val="16"/>
          <w:szCs w:val="16"/>
          <w:color w:val="auto"/>
        </w:rPr>
        <w:t>issued by the Committee of Sponsoring Organizations of the Treadway Commission (COSO). Mercury Systems,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consolidated financial statements and financial statement Schedule II,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these consolidated financial statements and financial statement schedule and an opinion on the Company’s internal control over financial reporting based on our audits.</w:t>
      </w:r>
    </w:p>
    <w:p>
      <w:pPr>
        <w:spacing w:after="0" w:line="3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Mercury Systems, Inc. and subsidiaries as of June 30, 2014 and 2013, and the results of their operations and their cash flows for each of the years in the three-year period ended June 30, 2014,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Mercury Systems, Inc. maintained, in all material respects, effective internal control over financial reporting as of June 30,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680" w:type="dxa"/>
            <w:vAlign w:val="bottom"/>
          </w:tcPr>
          <w:p>
            <w:pPr>
              <w:spacing w:after="0"/>
              <w:rPr>
                <w:sz w:val="24"/>
                <w:szCs w:val="24"/>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MERCURY SYSTEMS, INC.</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3"/>
        </w:trPr>
        <w:tc>
          <w:tcPr>
            <w:tcW w:w="680" w:type="dxa"/>
            <w:vAlign w:val="bottom"/>
          </w:tcPr>
          <w:p>
            <w:pPr>
              <w:spacing w:after="0"/>
              <w:rPr>
                <w:sz w:val="24"/>
                <w:szCs w:val="24"/>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7660" w:type="dxa"/>
            <w:vAlign w:val="bottom"/>
          </w:tcPr>
          <w:p>
            <w:pPr>
              <w:jc w:val="center"/>
              <w:ind w:left="2270"/>
              <w:spacing w:after="0"/>
              <w:rPr>
                <w:sz w:val="20"/>
                <w:szCs w:val="20"/>
                <w:color w:val="auto"/>
              </w:rPr>
            </w:pPr>
            <w:r>
              <w:rPr>
                <w:rFonts w:ascii="Arial" w:cs="Arial" w:eastAsia="Arial" w:hAnsi="Arial"/>
                <w:sz w:val="18"/>
                <w:szCs w:val="18"/>
                <w:color w:val="auto"/>
                <w:w w:val="87"/>
              </w:rPr>
              <w:t>(In thousands, except share and per share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2"/>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680" w:type="dxa"/>
            <w:vAlign w:val="bottom"/>
            <w:tcBorders>
              <w:bottom w:val="single" w:sz="8" w:color="CCEEFF"/>
            </w:tcBorders>
          </w:tcPr>
          <w:p>
            <w:pPr>
              <w:spacing w:after="0"/>
              <w:rPr>
                <w:sz w:val="22"/>
                <w:szCs w:val="22"/>
                <w:color w:val="auto"/>
              </w:rPr>
            </w:pPr>
          </w:p>
        </w:tc>
        <w:tc>
          <w:tcPr>
            <w:tcW w:w="7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39,126</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6"/>
              </w:rPr>
              <w:t>Accounts receivable, net of allowance for doubtful accounts of $34 and $33 at June 30, 2014 and 2013,</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29,229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31,655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37,432</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assets of discontinued operations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2,019</w:t>
            </w:r>
          </w:p>
        </w:tc>
      </w:tr>
      <w:tr>
        <w:trPr>
          <w:trHeight w:val="27"/>
        </w:trPr>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146,301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168,146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167,551</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12,105</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373,712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374,431</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7,115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11,488</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5,788</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liabilities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30,818</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gain on sale-leaseback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6,652</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45,930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89"/>
              </w:rPr>
              <w:t>Common stock, $0.01 par value; 85,000,000 shares authorized; 31,284,273 and 30,381,254 shares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outstanding at June 30, 2014 and 2013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241,725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231,711</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84,099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95,524</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327,147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328,501</w:t>
            </w:r>
          </w:p>
        </w:tc>
      </w:tr>
      <w:tr>
        <w:trPr>
          <w:trHeight w:val="27"/>
        </w:trPr>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374,431</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64"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4" w:right="239" w:bottom="1440" w:gutter="0" w:footer="0" w:header="0"/>
          <w:type w:val="continuous"/>
        </w:sectPr>
      </w:pPr>
    </w:p>
    <w:bookmarkStart w:id="45" w:name="page46"/>
    <w:bookmarkEnd w:id="4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113,985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103,262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55,625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 in the fair value of the liability related to the LNX earn-out</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104,153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net (loss) earnings per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income from discontinued operations, net of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discontinued operations, net of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30,085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364" w:right="239" w:bottom="1440" w:gutter="0" w:footer="0" w:header="0"/>
        </w:sectPr>
      </w:pPr>
    </w:p>
    <w:p>
      <w:pPr>
        <w:ind w:left="40"/>
        <w:spacing w:after="0"/>
        <w:rPr>
          <w:sz w:val="20"/>
          <w:szCs w:val="20"/>
          <w:color w:val="auto"/>
        </w:rPr>
      </w:pPr>
      <w:r>
        <w:rPr>
          <w:rFonts w:ascii="Arial" w:cs="Arial" w:eastAsia="Arial" w:hAnsi="Arial"/>
          <w:sz w:val="18"/>
          <w:szCs w:val="18"/>
          <w:color w:val="auto"/>
        </w:rPr>
        <w:t>Comprehensive (loss)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unrealized (loss) gain on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comprehensive (loss) income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22,619</w:t>
            </w:r>
          </w:p>
        </w:tc>
      </w:tr>
      <w:tr>
        <w:trPr>
          <w:trHeight w:val="270"/>
        </w:trPr>
        <w:tc>
          <w:tcPr>
            <w:tcW w:w="4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(13,552)</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22,670</w:t>
            </w:r>
          </w:p>
        </w:tc>
      </w:tr>
      <w:tr>
        <w:trPr>
          <w:trHeight w:val="27"/>
        </w:trPr>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-770890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-427990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364" w:right="239" w:bottom="1440" w:gutter="0" w:footer="0" w:header="0"/>
          <w:type w:val="continuous"/>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4" w:right="239" w:bottom="1440" w:gutter="0" w:footer="0" w:header="0"/>
          <w:type w:val="continuous"/>
        </w:sectPr>
      </w:pPr>
    </w:p>
    <w:bookmarkStart w:id="46" w:name="page47"/>
    <w:bookmarkEnd w:id="46"/>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24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10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2011</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301,436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 from employee stock plan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securities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29,729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333,104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shortfall from employee stock plan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business combination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unrealized gain on investments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30,381</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304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231,711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95,524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328,501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shortfall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unrealized loss on investments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31,284</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312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241,725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84,099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327,147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For the Years Ended June 30,</w:t>
            </w:r>
          </w:p>
        </w:tc>
        <w:tc>
          <w:tcPr>
            <w:tcW w:w="9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(loss)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(11,425)</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(13,208)</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22,619</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(loss) income to net cash provided by (used in)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17,209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11,658</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6,616</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(3,056)</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Impairment of goodwill of discontinued operations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Excess tax benefit from stock-based compensation</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Change in the fair value of the liability related to the LNX earn-out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Loss on sale of building</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non-cash items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 net of effects of businesses acquired:</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 unbilled receivables, and costs in excess of billings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6,755</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5,818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(7,267)</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income taxes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(816)</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(1,092)</w:t>
            </w: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 and customer advances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820</w:t>
            </w:r>
          </w:p>
        </w:tc>
      </w:tr>
      <w:tr>
        <w:trPr>
          <w:trHeight w:val="270"/>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14,241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31,869</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Acquisition of businesses, net of cash acquired</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(67,721)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(71,044)</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(9,427)</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sale of building</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in other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(71,091)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(80,802)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employee stock plans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1,631</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Payments of acquired debt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of deferred financing and offering costs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Decrease in restricted cash</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of capital lease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1,975</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(76,838)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(46,911)</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39,126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115,964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162,875</w:t>
            </w: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47,287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115,964</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(received) during the period for:</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Interest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8,686</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Supplemental disclosures—non-cash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restricted stock awards to employees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8,367</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Share-based business combination consideration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lease financings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r>
    </w:tbl>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64" w:right="239" w:bottom="96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4" w:right="239" w:bottom="96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 w:lineRule="exact"/>
        <w:rPr>
          <w:sz w:val="20"/>
          <w:szCs w:val="20"/>
          <w:color w:val="auto"/>
        </w:rPr>
      </w:pPr>
    </w:p>
    <w:p>
      <w:pPr>
        <w:ind w:left="840" w:hanging="832"/>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Mercury Systems, Inc. (the “Company” or “Mercury”) provides affordable, commercially developed, open sensor processing systems and services for critical commercial, defense and intelligence applications.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and Reaper.</w:t>
      </w:r>
    </w:p>
    <w:p>
      <w:pPr>
        <w:spacing w:after="0" w:line="10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Company's goal is to grow and build on its position as a critical component of the defense industrial base and become the leading provider of open and affordable sensor processing 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deep domain expertise, pre-integrated, open, affordable electronic warfare ("EW"), electronic attack ("EA") and electronic counter measure ("ECM") subsystems and significant capabilities in signals intelligence ("SIGINT") and electro-optical/infrared ("EO/IR") technologies.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During June 2014, the Company initiated a plan to divest the Mercury Intelligence Systems (“MIS”) operating segment, based on the Company's strategic direction and investment priorities focusing on its core business. As a result, the Company's MIS operating segment met the “held for sale” criteria in accordance with Financial Accounting Standard Boards (“FASB”) Accounting Standards Codification (“ASC”) 205,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(“FASB ASC 205”) as of June 30, 2014 (see Note C to Consolidated Financial Statements). The consolidated financial statements, excluding the statements of shareholders' equity and cash flows, and the notes to the consolidated financial statements were restated for all periods presented to reflect the discontinuation of the MIS operating segment, in accordance with FASB ASC 205.</w:t>
      </w:r>
    </w:p>
    <w:p>
      <w:pPr>
        <w:spacing w:after="0" w:line="147" w:lineRule="exact"/>
        <w:rPr>
          <w:sz w:val="20"/>
          <w:szCs w:val="20"/>
          <w:color w:val="auto"/>
        </w:rPr>
      </w:pPr>
    </w:p>
    <w:p>
      <w:pPr>
        <w:ind w:left="860" w:hanging="852"/>
        <w:spacing w:after="0"/>
        <w:tabs>
          <w:tab w:leader="none" w:pos="8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OMBINATIONS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5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w:t>
      </w:r>
    </w:p>
    <w:p>
      <w:pPr>
        <w:spacing w:after="0" w:line="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3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 Assumed recoveries for claims included in contracts in process were not material at June 30, 2013 or 2014.</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by us. Examples of the Company's service revenues include: analyst services and systems engineering support, consulting, maintenance and other support, testing and installation. The Company combines its product and service revenues into a single class as services revenues do not exceed 10 percent of total revenues.</w:t>
      </w:r>
    </w:p>
    <w:p>
      <w:pPr>
        <w:spacing w:after="0" w:line="5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equivalents, consisting of highly liquid money market funds and U.S. government and U.S. government agency issues with original maturities of 90 days or less at the date of purchase, are carried at fair market value which approximates cost. The Company also has restricted cash which is classified as a non-current asset due to the length of the restriction.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had restricted cash balances of $265 and $546 as of June 30, 2014 and 2013, respectively. The balances are classified as restricted cash on the accompanying consolidated balance sheet and are reflected in non-current assets. The balances at June 30, 2014 and 2013 included restrictions related to certain contracts with foreign customers that require a certificate of deposit to be held at a commercial bank until performance of the contracts have been completed.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principally of cash, cash equivalents and accounts receivable. The Company places its cash and cash equivalents with financial institutions that management believes are of high credit quality. At June 30, 2014 and 2013, the Company had $47,287 and $39,126, respectively, of cash and cash equivalents on deposit or invested with its financial and lending institutions.</w:t>
      </w:r>
    </w:p>
    <w:p>
      <w:pPr>
        <w:spacing w:after="0" w:line="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provides credit to customers in the normal course of business. The Company performs ongoing credit evaluations of its customers’ financial condition and limits the amount of credit extended when deemed necessary but generally does not require collateral. At June 30, 2014, five customers accounted for 55% of the Company's receivables, unbilled receivables and costs in excess of billings. At June 30, 2013, five customers accounted for 42% of the Company’s receivables, unbilled receivables and costs in excess of billings.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Inventory is stated at the lower of cost (first-in, first-out) or market value, and consists of materials, labor and overhead. On a quarterly basis, the Company evaluates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Goodwill is assessed for impairment at least annually, on a reporting unit basis, or more frequently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5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Under FASB ASC 350, the Company has the option to assess qualitative factors to determine whether the existence of events or circumstances leads to a determination that it is more likely than not that the fair value of a reporting unit is less than its carrying amount to determine whether further impairment testing is necessary.</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Intangible assets result from the Company’s various business acquisitions (see Note I) and certain licensed technologies, and consist of identifiable intangible assets, including completed technology, licensing agreements, customer relationships,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trademarks, backlog, and non-compete agreements. Intangible assets are reported at cost, net of accumulated amortization and are either amortized on a straight-line basis over their estimated useful lives of up to seven years or over the period the economic benefits of the intangible asset are consumed.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Long-lived assets primarily include property and equipment and acquired intangible assets. The Company regularly evaluates its long-lived assets for events and circumstances that indicate a potential impairment in accordance with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G).</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FASB ASC 350. During fiscal 2014, 2013 and 2012, the Company capitalized $362, $91 and $1,092 of software development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Company accounts for income taxes under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(“FASB 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FASB 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Fiscal</w:t>
            </w: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July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Warranty assumed from Micronetics acquisition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 made during the period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1,360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Stock-based compensation cost is measured at the grant date based on the fair value of the award and is recognized as expense on a straight-line basis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the Company’s stock price, expected term of the option, risk-free interest rate and expected dividends. The fair value of restricted stock awards are based on the market price on the date of grant.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Basic net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 For all periods presented, income (loss) from continuing operations is the control number for determining whether securities are dilutive or not.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weighted average shares outstanding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30,128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608</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31,000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30,128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30,085</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instruments to purchase 3,526, 4,077 and 1,244 shares of common stock were not included in the calculation of diluted net earnings per share for the fiscal years ended June 30, 2014, 2013 and 2012, respectively, because the equity instruments were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CCUMULATED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Accumulated other comprehensive income includes foreign currency translation adjustments and unrealized gains on investments. The components of accumulated other comprehensive income were $1,011 and $962 of accumulated foreign currency translation adjustments at June 30, 2014 and 2013. There were no material accumulated net unrealized gains on investments at June 30, 2014 and 2013.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Local currencies are used as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July 2013, the FASB issued ASU No. 2013-11, </w:t>
      </w:r>
      <w:r>
        <w:rPr>
          <w:rFonts w:ascii="Arial" w:cs="Arial" w:eastAsia="Arial" w:hAnsi="Arial"/>
          <w:sz w:val="18"/>
          <w:szCs w:val="18"/>
          <w:i w:val="1"/>
          <w:iCs w:val="1"/>
          <w:color w:val="auto"/>
        </w:rPr>
        <w:t>Presentation of an Unrecognized Tax Benefit When a Net Operating Loss Carryforward, a Similar Tax</w:t>
      </w:r>
      <w:r>
        <w:rPr>
          <w:rFonts w:ascii="Arial" w:cs="Arial" w:eastAsia="Arial" w:hAnsi="Arial"/>
          <w:sz w:val="18"/>
          <w:szCs w:val="18"/>
          <w:color w:val="auto"/>
        </w:rPr>
        <w:t xml:space="preserve"> </w:t>
      </w:r>
      <w:r>
        <w:rPr>
          <w:rFonts w:ascii="Arial" w:cs="Arial" w:eastAsia="Arial" w:hAnsi="Arial"/>
          <w:sz w:val="18"/>
          <w:szCs w:val="18"/>
          <w:i w:val="1"/>
          <w:iCs w:val="1"/>
          <w:color w:val="auto"/>
        </w:rPr>
        <w:t>Loss, or a Tax Credit Carryforward Exists</w:t>
      </w:r>
      <w:r>
        <w:rPr>
          <w:rFonts w:ascii="Arial" w:cs="Arial" w:eastAsia="Arial" w:hAnsi="Arial"/>
          <w:sz w:val="18"/>
          <w:szCs w:val="18"/>
          <w:color w:val="auto"/>
        </w:rPr>
        <w:t>, an amendment of the FASB Accounting Standards Codification. The ASU requires an unrecognized tax benefit to</w:t>
      </w:r>
      <w:r>
        <w:rPr>
          <w:rFonts w:ascii="Arial" w:cs="Arial" w:eastAsia="Arial" w:hAnsi="Arial"/>
          <w:sz w:val="18"/>
          <w:szCs w:val="18"/>
          <w:i w:val="1"/>
          <w:iCs w:val="1"/>
          <w:color w:val="auto"/>
        </w:rPr>
        <w:t xml:space="preserve"> </w:t>
      </w:r>
      <w:r>
        <w:rPr>
          <w:rFonts w:ascii="Arial" w:cs="Arial" w:eastAsia="Arial" w:hAnsi="Arial"/>
          <w:sz w:val="18"/>
          <w:szCs w:val="18"/>
          <w:color w:val="auto"/>
        </w:rPr>
        <w:t>be presented as a decrease in a deferred tax asset when net operating loss carryforwards, similar tax losses, or tax credit carryforwards exist and certain criteria are met. The ASU is effective prospectively for annual reporting periods beginning after December 15, 2013. This guidance is not expected to have a material impact to the Company's consolidated financial statements.</w:t>
      </w:r>
    </w:p>
    <w:p>
      <w:pPr>
        <w:spacing w:after="0" w:line="5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April 2014, the FASB ASU No. 2014-08, </w:t>
      </w:r>
      <w:r>
        <w:rPr>
          <w:rFonts w:ascii="Arial" w:cs="Arial" w:eastAsia="Arial" w:hAnsi="Arial"/>
          <w:sz w:val="18"/>
          <w:szCs w:val="18"/>
          <w:i w:val="1"/>
          <w:iCs w:val="1"/>
          <w:color w:val="auto"/>
        </w:rPr>
        <w:t>Presentation of Financial Statements (Topic 205) and Property, Plant, and Equipment (Topic 360)</w:t>
      </w:r>
      <w:r>
        <w:rPr>
          <w:rFonts w:ascii="Arial" w:cs="Arial" w:eastAsia="Arial" w:hAnsi="Arial"/>
          <w:sz w:val="18"/>
          <w:szCs w:val="18"/>
          <w:color w:val="auto"/>
        </w:rPr>
        <w:t>, an amendment of the FASB Accounting Standards Codification. The ASU clarifies the definition of discontinued operations by limiting discontinued operations reporting to disposals of components of an entity that represent strategic shifts that have (or will have) a major effect on an entity's operations and financial results. Additionally, the amendments in this ASU require expanded disclosure for discontinued operations to provide users with more information about the assets, liabilities, revenues, and expenses. The ASU is effective for the Company on July 1, 2015, including interim periods within that reporting period and the Company has not elected to early adopt the guidance. This guidance is not expected to have a material impact on the Company's consolidated financial statements.</w:t>
      </w:r>
    </w:p>
    <w:p>
      <w:pPr>
        <w:spacing w:after="0" w:line="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July 1, 2017 and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62" w:lineRule="exact"/>
        <w:rPr>
          <w:sz w:val="20"/>
          <w:szCs w:val="20"/>
          <w:color w:val="auto"/>
        </w:rPr>
      </w:pPr>
    </w:p>
    <w:p>
      <w:pPr>
        <w:ind w:left="840" w:hanging="832"/>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fourth quarter of fiscal 2014, the Company conducted a strategic review of the Mercury Intelligence Systems (“MIS”) business unit which encompassed an assessment of MIS' financial performance and contemporaneous future financial projections. The Company, with Board of Director's approval, concluded that a plan to divest the MIS business unit would be in the best interests of the Company and its shareholders.</w:t>
      </w:r>
    </w:p>
    <w:p>
      <w:pPr>
        <w:spacing w:after="0" w:line="30"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The Company's MIS business unit met the "held for sale" criteria in accordance with FASB ASC 205. As the Company does not anticipate continuing involvement in the operations of MIS after its divestiture, the MIS operating results have been reported as a discontinued operation for all periods presented.</w:t>
      </w:r>
    </w:p>
    <w:p>
      <w:pPr>
        <w:spacing w:after="0" w:line="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classification as "held for sale" is considered a triggering event for impairment testing under FASB ASC 350 and FASB ASC 360. However, since the Company conducts its annual goodwill impairment testing in its fiscal fourth quarter, which coincided with the plan to divest the MIS business unit, the “held for sale” triggering event did not constitute a separate goodwill impairment test under FASB ASC 350 (see Note H). The triggering event, however, did require separate impairment testing of the MIS asset group’s long-lived assets under FASB ASC 360.</w:t>
      </w:r>
    </w:p>
    <w:p>
      <w:pPr>
        <w:spacing w:after="0" w:line="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annual goodwill impairment testing conducted in the fourth quarter of fiscal 2014 determined the MIS reporting unit's carrying value of goodwill exceeded its implied fair value, resulting in a $6,687 impairment charge. The impairment charge is reflected within discontinued operations of the Company's accompanying consolidated financial statements. The failure of the first step of the goodwill impairment test was driven by a decline in forecasted results of the MIS reporting unit. The fair value of the MIS reporting unit from the first step of the goodwill impairment test exceeded the fair value of the assets and liabilities of the MIS reporting unit, as determined by the second step of the goodwill impairment test. Testing of the valuation of long-lived assets of the MIS asset group indicated no impairment, as the estimated undiscounted cash flows of the MIS asset group, less estimated costs to sell, significantly exceeded its carrying value.</w:t>
      </w:r>
    </w:p>
    <w:p>
      <w:pPr>
        <w:spacing w:after="0" w:line="5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MIS is considered its own operating segment and was previously aggregated with MDS into one reportable segment based on similar economic and qualitative factors in accordance with FASB ASC 280. As MIS is a discontinued operation, the results of MIS have been excluded from the MDS reportable segment. Accordingly, the revenues, costs of revenue, operating expenses, assets and liabilities of MIS have been reported separately in the Consolidated Statements of Operations and Comprehensive Income (Loss) and Consolidated Balance Sheets for all periods presented. The discontinued operation's balances in the Consolidated Balance Sheets do not reflect intercompany receivable balances of MIS, and the results of discontinued operations do not reflect interest expense or the allocation of the Company's corporate general and administrative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in (loss) income from discontinued operations, net of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78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of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Costs of discontinued operations: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Tax (benefit) provision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as assets and liabilities of the discontinued operations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Unbilled receivables and costs in excess of billings</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2,283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of discontinued operations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6,233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Accounts payable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60" w:type="dxa"/>
            <w:vAlign w:val="bottom"/>
            <w:vMerge w:val="continue"/>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8"/>
                <w:szCs w:val="18"/>
                <w:color w:val="auto"/>
              </w:rPr>
              <w:t>Liabilities of discontinued operations</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2,436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depreciation, amortization, capital expenditures and significant operating and investing non-cash items of the discontinued operations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6,687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Fiscal 2012 financial information included in the above tables only represents six months of activity for MIS based on the timing of the PDI acquisition.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40" w:hanging="832"/>
        <w:spacing w:after="0"/>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ICRONETICS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8, 2012, the Company and Wildcat Merger Sub Inc., a newly formed, wholly-owned subsidiary of the Company (the “Merger Sub”), entered into an Agreement and Plan of Merger (the “Merger Agreement”) with Micronetics, Inc. (“Micronetics”). On August 8, 2012, the transaction was closed. The Merger Sub merged with and into Micronetics with Micronetics continuing as the surviving company and wholly-owned subsidiary of the Company. For segment reporting, Micronetics is included in the MCE business segment.</w:t>
      </w:r>
    </w:p>
    <w:p>
      <w:pPr>
        <w:spacing w:after="0" w:line="5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acquired Micronetics for a net purchase price of $68,230 paid in cash. 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canceled and the holders of such options were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Mercury. The replacement stock options granted were determined based on a conversion ratio provided in the Merger Agreement. Micronetics existing bank debt was paid in full by Mercury on the closing date. Mercury funded the acquisition with cash on hand.</w:t>
      </w:r>
    </w:p>
    <w:p>
      <w:pPr>
        <w:spacing w:after="0" w:line="13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7"/>
          <w:szCs w:val="17"/>
          <w:i w:val="1"/>
          <w:iCs w:val="1"/>
          <w:color w:val="auto"/>
        </w:rPr>
        <w:t>Fair Value Measurement and Disclosures</w:t>
      </w:r>
      <w:r>
        <w:rPr>
          <w:rFonts w:ascii="Arial" w:cs="Arial" w:eastAsia="Arial" w:hAnsi="Arial"/>
          <w:sz w:val="17"/>
          <w:szCs w:val="17"/>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2014:</w:t>
      </w:r>
    </w:p>
    <w:p>
      <w:pPr>
        <w:spacing w:after="0" w:line="163"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Operating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47,287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47,287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47,552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47,552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U.S. Treasury bills and money market funds, accounts receivable and payable, and accrued liabilities approximate fair value due to the short-term maturities of these assets and liabilities.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2013:</w:t>
      </w:r>
    </w:p>
    <w:p>
      <w:pPr>
        <w:spacing w:after="0" w:line="163"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bills and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27,023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7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4760" w:type="dxa"/>
            <w:vAlign w:val="bottom"/>
            <w:gridSpan w:val="2"/>
          </w:tcPr>
          <w:p>
            <w:pPr>
              <w:ind w:left="520"/>
              <w:spacing w:after="0"/>
              <w:rPr>
                <w:sz w:val="20"/>
                <w:szCs w:val="20"/>
                <w:color w:val="auto"/>
              </w:rPr>
            </w:pPr>
            <w:r>
              <w:rPr>
                <w:rFonts w:ascii="Arial" w:cs="Arial" w:eastAsia="Arial" w:hAnsi="Arial"/>
                <w:sz w:val="18"/>
                <w:szCs w:val="18"/>
                <w:b w:val="1"/>
                <w:bCs w:val="1"/>
                <w:color w:val="auto"/>
              </w:rPr>
              <w:t>Inventory</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Inventory was comprised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13,755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4"/>
          </w:tcPr>
          <w:p>
            <w:pPr>
              <w:jc w:val="right"/>
              <w:ind w:right="19"/>
              <w:spacing w:after="0"/>
              <w:rPr>
                <w:sz w:val="20"/>
                <w:szCs w:val="20"/>
                <w:color w:val="auto"/>
              </w:rPr>
            </w:pPr>
            <w:r>
              <w:rPr>
                <w:rFonts w:ascii="Arial" w:cs="Arial" w:eastAsia="Arial" w:hAnsi="Arial"/>
                <w:sz w:val="18"/>
                <w:szCs w:val="18"/>
                <w:color w:val="auto"/>
              </w:rPr>
              <w:t>12,677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5,223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31,655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37,432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700" w:type="dxa"/>
            <w:vAlign w:val="bottom"/>
            <w:gridSpan w:val="4"/>
            <w:vMerge w:val="restart"/>
          </w:tcPr>
          <w:p>
            <w:pPr>
              <w:ind w:left="160"/>
              <w:spacing w:after="0"/>
              <w:rPr>
                <w:sz w:val="20"/>
                <w:szCs w:val="20"/>
                <w:color w:val="auto"/>
              </w:rPr>
            </w:pPr>
            <w:r>
              <w:rPr>
                <w:rFonts w:ascii="Arial" w:cs="Arial" w:eastAsia="Arial" w:hAnsi="Arial"/>
                <w:sz w:val="18"/>
                <w:szCs w:val="18"/>
                <w:color w:val="auto"/>
                <w:w w:val="92"/>
              </w:rPr>
              <w:t>There are no amounts in inventory relating to contracts having production cycles longer than one year.</w:t>
            </w: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700" w:type="dxa"/>
            <w:vAlign w:val="bottom"/>
            <w:gridSpan w:val="4"/>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770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0"/>
                <w:szCs w:val="20"/>
                <w:color w:val="auto"/>
              </w:rPr>
            </w:pPr>
            <w:r>
              <w:rPr>
                <w:rFonts w:ascii="Arial" w:cs="Arial" w:eastAsia="Arial" w:hAnsi="Arial"/>
                <w:sz w:val="18"/>
                <w:szCs w:val="18"/>
                <w:b w:val="1"/>
                <w:bCs w:val="1"/>
                <w:color w:val="auto"/>
              </w:rPr>
              <w:t>G.</w:t>
            </w:r>
          </w:p>
        </w:tc>
        <w:tc>
          <w:tcPr>
            <w:tcW w:w="4760" w:type="dxa"/>
            <w:vAlign w:val="bottom"/>
            <w:gridSpan w:val="2"/>
          </w:tcPr>
          <w:p>
            <w:pPr>
              <w:ind w:left="380"/>
              <w:spacing w:after="0"/>
              <w:rPr>
                <w:sz w:val="20"/>
                <w:szCs w:val="20"/>
                <w:color w:val="auto"/>
              </w:rPr>
            </w:pPr>
            <w:r>
              <w:rPr>
                <w:rFonts w:ascii="Arial" w:cs="Arial" w:eastAsia="Arial" w:hAnsi="Arial"/>
                <w:sz w:val="18"/>
                <w:szCs w:val="18"/>
                <w:b w:val="1"/>
                <w:bCs w:val="1"/>
                <w:color w:val="auto"/>
              </w:rPr>
              <w:t>Property and Equipment</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 Useful Lives</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9"/>
              </w:rPr>
              <w:t>2013</w:t>
            </w: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53,301</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7,134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lesser of estimated useful life or lease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term</w:t>
            </w: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Machinery and equipment</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11,201</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81,354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74,198</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(59,736)</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14,462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2014 and 2013, the Company retired $715 and $1,199, respectively, of fully depreciated computer equipment and software assets that were no longer in use by the Company.</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fiscal years ended June 30, 2014, 2013 and 2012 was $7,625, $8,445 and $7,837, respectively.</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June 27, 2013, the Company entered into a sales agreement and a separate short-term lease agreement in connection with the Company’s legacy Hudson, New Hampshire, facility. Pursuant to the sale agreement, the Company sold all land, land improvements, buildings and building improvements related to the facility. The loss on the sale of the facility was approximately $1,091 and is recorded in restructuring and other charges in the accompanying consolidated statement of operations. The Company temporarily leased back the facility through February 2014. During fiscal 2014, the Company signed a new lease in Hudson, New Hampshire which extends until 2024.</w:t>
      </w:r>
    </w:p>
    <w:p>
      <w:pPr>
        <w:spacing w:after="0" w:line="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The term of the lease is ten years and includes two five year options to renew. Under the provisions of sale-leaseback accounting, the transaction was considered a normal leaseback; thus the realized gain of $11,569 was deferred and will be amortized to other income on a straight-line basis over the initial lease term.</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unamortized deferred gain consisted of the following of which the current portion is included in accrued expenses and the non-current portion is separately classified in the accompanying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51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4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2,086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unamortized deferred gain</w:t>
            </w:r>
          </w:p>
        </w:tc>
        <w:tc>
          <w:tcPr>
            <w:tcW w:w="51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3,242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57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40" w:hanging="832"/>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following table sets forth the changes in the carrying amount of goodwill for the six months ended December 31, 2012, prior to the internal reorganization in fiscal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ACS</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MFS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1, 2012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arising from the Micronetics acquisition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adjustment for the KOR acquisition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159,279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10,180</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169,459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goodwill adjustment for the KOR acquisition is the result of changes in fair value estimates derived from additional information obtained during the measurement period which ended December 30, 2012.</w:t>
      </w:r>
    </w:p>
    <w:p>
      <w:pPr>
        <w:spacing w:after="0" w:line="3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Following a series of acquisitions that expanded the Company’s capabilities, the Company initiated a reorganization in fiscal 2013 to group its product and service offerings in order to align itself with the way management currently manages its business. The MCE and MDS reporting units were determined based upon whether discrete financial information is available, if management regularly reviews the operating results of the component, the nature of the products offered to customers and the market characteristics of each reporting unit. As defined by FASB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goodwill is tested for impairment on an interim basis at the occurrence of certain triggering events. Events affecting reporting units such as a change in the composition or carrying amount of its net assets constitute a triggering event and require interim testing of goodwill. In fiscal 2013, the Company performed interim testing on the ACS and MFS reporting units prior to the reorganization on January 1, 2013, which indicated that the fair values of both the ACS and MFS reporting units were in excess of their carrying values, and no impairment charge was recorded.</w:t>
      </w:r>
    </w:p>
    <w:p>
      <w:pPr>
        <w:spacing w:after="0" w:line="3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reviewed its analysis of its internally reorganized business in order to determine its reporting units in accordance with FASB ASC 350. A reporting unit is considered to be an operating segment or one level below an operating segment also known as a component. MCE has four components with discrete financial information available which are reviewed by their segment manager; however, those four components are economically similar in nature and thus have been aggregated into a single reporting unit at the operating segment level. MDS is a sole component and the reporting unit is at the operating segment level.</w:t>
      </w:r>
    </w:p>
    <w:p>
      <w:pPr>
        <w:spacing w:after="0" w:line="5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2013 and after its reorganization, the Company allocated the total carrying value of goodwill to each of the new reporting units based on the relative fair value of the reporting units calculated using a discounted cash flow analysis and in accordance with FASB ASC 350. There was no impairment of goodwill indicated subsequent to the allocation.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changes in goodwill after reallocation, for the six months ended June 30, 2013 and fiscal year ended June 30,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MCE</w:t>
            </w: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MDS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Subsequent recognition of deferred tax assets from the Micronetics acquisition</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Subsequent decrease of deferred tax liabilities from the Micronetics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goodwill adjustments from the Micronetics acquisition</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adjustments from the Micronetics acquisition</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168,146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follows FASB ASC 350 in assessing whether the fair value of a reporting unit is less than its carrying amount. As of June 30, 2014, both MCE and MDS had goodwill balances and the annual impairment analysis was performed for each reporting unit in the fourth quarter of fiscal 2014. The results of the Company's step one interim goodwill impairment test indicated that the fair values of the MCE and MDS reporting units were substantially in excess of their carrying values. As such, step two of the goodwill impairment testing was not required. Consistent with prior years, the valuation was based upon a discounted cash flow analysis and corroborated by two market-based analyses: one comparing the trading multiples of public companies in similar lines of business and another based on exchange prices in actual business combinations.</w:t>
      </w:r>
    </w:p>
    <w:p>
      <w:pPr>
        <w:spacing w:after="0" w:line="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Prior to the end of the August 7, 2013 measurement period for the Micronetics acquisition, the Company recorded a $91 adjustment to goodwill resulting from changes in the fair value estimates derived from additional information gathered subsequent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August 7, 2012. Additionally, the Company adjusted approximately $504 of goodwill which was identified subsequent to the measurement period as a correction of an immaterial error that was offset by deferred income taxes. The Company concluded that the impact of the correction was neither quantitatively nor qualitatively material to its June 30, 2014 consolidated balance sheet nor to each of the prior respective quarter ends’ balance sheets during fiscal 2014.</w:t>
      </w:r>
    </w:p>
    <w:p>
      <w:pPr>
        <w:spacing w:after="0" w:line="1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7"/>
              </w:rPr>
              <w:t>Net</w:t>
            </w:r>
          </w:p>
        </w:tc>
        <w:tc>
          <w:tcPr>
            <w:tcW w:w="12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2014</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33,880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42,125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2013</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33,880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 year</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45,426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60" w:type="dxa"/>
            <w:vAlign w:val="bottom"/>
            <w:gridSpan w:val="7"/>
          </w:tcPr>
          <w:p>
            <w:pPr>
              <w:spacing w:after="0"/>
              <w:rPr>
                <w:sz w:val="20"/>
                <w:szCs w:val="20"/>
                <w:color w:val="auto"/>
              </w:rPr>
            </w:pPr>
            <w:r>
              <w:rPr>
                <w:rFonts w:ascii="Arial" w:cs="Arial" w:eastAsia="Arial" w:hAnsi="Arial"/>
                <w:sz w:val="18"/>
                <w:szCs w:val="18"/>
                <w:color w:val="auto"/>
              </w:rPr>
              <w:t>Estimated future amortization expense for intangible assets remaining at June 30, 2014 is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Year Ending</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amortization expense</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Plans</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fiscal 2014, the Company announced a restructuring plan ("2014 Plan") that was implemented as part of the final phase of integration activities relating to the Company’s recent acquisitions. The integration plan includes the consolidation of manufacturing facilities, centralization of administrative functions using common information systems and processes, and realignment of research and development resources. The restructuring plan included the elimination of 70 positions largely in engineering, manufacturing and administrative functions. Additionally, the Company closed four facilities relocating all related activities to the Company's Advanced Microelectronics Center ("AMC") in Hudson, New Hampshire. The Company also completed the first phase of the Chelmsford, Massachusetts headquarters consolidation in the fourth quarter of fiscal 2014. These restructuring expenses associated with the Company's fiscal 2014 restructuring plan amounted to $5,443 and affected both the MCE and MDS reportable segments.</w:t>
      </w:r>
    </w:p>
    <w:p>
      <w:pPr>
        <w:spacing w:after="0" w:line="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fourth quarter of fiscal 2013, the Company initiated a restructuring plan ("Q4 2013 Plan") expanding the first phase of the integration activities surrounding our recent acquisitions primarily affecting Micronetics and the MCE reportable segment. The Company eliminated 17 positions, primarily in operations, and incurred facility costs related to the loss on the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of the Company's legacy Hudson, New Hampshire facility of approximately $1,109. The legacy Hudson, New Hampshire facility was leased back through February 2014. Restructuring expenses of $7,060 were recognized for the year ended June 30, 2013.</w:t>
      </w:r>
    </w:p>
    <w:p>
      <w:pPr>
        <w:spacing w:after="0" w:line="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the first quarter of fiscal 2013, the Company announced a restructuring plan (“Q1 2013 Plan”). The 2013 Plan was implemented to cope with reduced defense revenues and the near term uncertainties in the defense industry driven by the potential for defense budget sequestration. The 2013 Plan primarily consisted of costs related to the reduction in force which eliminated 142 positions largely in engineering, manufacturing and administrative functions, as well as reductions associated with the first phase of the integration of Micronetics. The 2013 Plan's restructuring expenses affect the MCE reportable segment.</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2012, the Company announced a restructuring plan (“2012 Plan”) affecting both the MCE and MDS reportable segments. The 2012 Plan primarily consisted of costs related to the reduction in force which eliminated 41 positions largely in engineering and manufacturing functions and facility costs related to outsourcing of certain manufacturing activities at the Company’s Huntsville, Alabama site. The 2012 Plan, for which expense of $2,712 was recorded in fiscal 2012, was implemented to cope with the near term uncertainties in the defense industry and improve the Company’s overall business scalability.</w:t>
      </w:r>
    </w:p>
    <w:p>
      <w:pPr>
        <w:spacing w:after="0" w:line="53"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expenses by business segment for the Company’s restructuring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Severance &amp; Related</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Facilities &amp; Other</w:t>
            </w:r>
          </w:p>
        </w:tc>
        <w:tc>
          <w:tcPr>
            <w:tcW w:w="440" w:type="dxa"/>
            <w:vAlign w:val="bottom"/>
          </w:tcPr>
          <w:p>
            <w:pPr>
              <w:spacing w:after="0"/>
              <w:rPr>
                <w:sz w:val="16"/>
                <w:szCs w:val="16"/>
                <w:color w:val="auto"/>
              </w:rPr>
            </w:pPr>
          </w:p>
        </w:tc>
        <w:tc>
          <w:tcPr>
            <w:tcW w:w="1360" w:type="dxa"/>
            <w:vAlign w:val="bottom"/>
          </w:tcPr>
          <w:p>
            <w:pPr>
              <w:jc w:val="right"/>
              <w:ind w:right="651"/>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MCE restructuring charges</w:t>
            </w: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7,513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Non-cash</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liability at June 30, 2013</w:t>
            </w: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MCE 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MDS restructuring charges</w:t>
            </w: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Reversals result from the finalization of severance agreements and unused outplacement services.</w:t>
      </w:r>
    </w:p>
    <w:p>
      <w:pPr>
        <w:sectPr>
          <w:pgSz w:w="11900" w:h="16838" w:orient="portrait"/>
          <w:cols w:equalWidth="0" w:num="1">
            <w:col w:w="11420"/>
          </w:cols>
          <w:pgMar w:left="240" w:top="66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40" w:hanging="832"/>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(loss) income from continuing operations before income taxes and income tax (benefit) expense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(6,068)</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30,820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r>
      <w:tr>
        <w:trPr>
          <w:trHeight w:val="237"/>
        </w:trPr>
        <w:tc>
          <w:tcPr>
            <w:tcW w:w="6740" w:type="dxa"/>
            <w:vAlign w:val="bottom"/>
          </w:tcPr>
          <w:p>
            <w:pPr>
              <w:spacing w:after="0"/>
              <w:rPr>
                <w:sz w:val="20"/>
                <w:szCs w:val="20"/>
                <w:color w:val="auto"/>
              </w:rPr>
            </w:pPr>
          </w:p>
        </w:tc>
        <w:tc>
          <w:tcPr>
            <w:tcW w:w="920" w:type="dxa"/>
            <w:vAlign w:val="bottom"/>
            <w:tcBorders>
              <w:top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(5,913)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31,314</w:t>
            </w:r>
          </w:p>
        </w:tc>
      </w:tr>
      <w:tr>
        <w:trPr>
          <w:trHeight w:val="67"/>
        </w:trPr>
        <w:tc>
          <w:tcPr>
            <w:tcW w:w="67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(5,281)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(2,353)</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37"/>
        </w:trPr>
        <w:tc>
          <w:tcPr>
            <w:tcW w:w="6740" w:type="dxa"/>
            <w:vAlign w:val="bottom"/>
          </w:tcPr>
          <w:p>
            <w:pPr>
              <w:spacing w:after="0"/>
              <w:rPr>
                <w:sz w:val="20"/>
                <w:szCs w:val="20"/>
                <w:color w:val="auto"/>
              </w:rPr>
            </w:pPr>
          </w:p>
        </w:tc>
        <w:tc>
          <w:tcPr>
            <w:tcW w:w="920" w:type="dxa"/>
            <w:vAlign w:val="bottom"/>
            <w:tcBorders>
              <w:top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8,991</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is the reconciliation between the statutory federal income tax rate and the Company’s effective income tax (benefit) rate for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 Ended June 30,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 at federal statutory rates</w:t>
            </w:r>
          </w:p>
        </w:tc>
        <w:tc>
          <w:tcPr>
            <w:tcW w:w="2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State income tax, net of federal tax benefit</w:t>
            </w:r>
          </w:p>
        </w:tc>
        <w:tc>
          <w:tcPr>
            <w:tcW w:w="2820" w:type="dxa"/>
            <w:vAlign w:val="bottom"/>
            <w:gridSpan w:val="2"/>
          </w:tcPr>
          <w:p>
            <w:pPr>
              <w:jc w:val="right"/>
              <w:ind w:right="9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28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2820" w:type="dxa"/>
            <w:vAlign w:val="bottom"/>
            <w:gridSpan w:val="2"/>
          </w:tcPr>
          <w:p>
            <w:pPr>
              <w:jc w:val="right"/>
              <w:ind w:right="9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repatriation of foreign earnings</w:t>
            </w:r>
          </w:p>
        </w:tc>
        <w:tc>
          <w:tcPr>
            <w:tcW w:w="28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Foreign tax credits</w:t>
            </w:r>
          </w:p>
        </w:tc>
        <w:tc>
          <w:tcPr>
            <w:tcW w:w="2820" w:type="dxa"/>
            <w:vAlign w:val="bottom"/>
            <w:gridSpan w:val="2"/>
          </w:tcPr>
          <w:p>
            <w:pPr>
              <w:jc w:val="right"/>
              <w:ind w:right="9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w:t>
            </w:r>
          </w:p>
        </w:tc>
        <w:tc>
          <w:tcPr>
            <w:tcW w:w="28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Officers' compensation</w:t>
            </w:r>
          </w:p>
        </w:tc>
        <w:tc>
          <w:tcPr>
            <w:tcW w:w="2820" w:type="dxa"/>
            <w:vAlign w:val="bottom"/>
            <w:gridSpan w:val="2"/>
          </w:tcPr>
          <w:p>
            <w:pPr>
              <w:jc w:val="right"/>
              <w:ind w:right="15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shortfalls</w:t>
            </w:r>
          </w:p>
        </w:tc>
        <w:tc>
          <w:tcPr>
            <w:tcW w:w="28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w w:val="99"/>
              </w:rPr>
              <w:t>Change in the fair value of the liability related to the LNX earn-out</w:t>
            </w:r>
          </w:p>
        </w:tc>
        <w:tc>
          <w:tcPr>
            <w:tcW w:w="126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26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60" w:type="dxa"/>
            <w:vAlign w:val="bottom"/>
            <w:vMerge w:val="restart"/>
          </w:tcPr>
          <w:p>
            <w:pPr>
              <w:jc w:val="right"/>
              <w:ind w:right="610"/>
              <w:spacing w:after="0"/>
              <w:rPr>
                <w:sz w:val="20"/>
                <w:szCs w:val="20"/>
                <w:color w:val="auto"/>
              </w:rPr>
            </w:pPr>
            <w:r>
              <w:rPr>
                <w:rFonts w:ascii="Arial" w:cs="Arial" w:eastAsia="Arial" w:hAnsi="Arial"/>
                <w:sz w:val="18"/>
                <w:szCs w:val="18"/>
                <w:color w:val="auto"/>
              </w:rPr>
              <w:t>61</w:t>
            </w: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Company’s net deferred tax assets (liabilities) for continuing operations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Inventory valuation and receivable allowances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sale-leaseback</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temporary differences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temporary differences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4,963</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 reported: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4,963</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June 30, 2014,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continues to conclude that it is more likely than not that most domestic deferred tax assets would be realizable based on the financial performance in fiscal year 2014, projected future taxable income and the reversal of existing deferred tax liabilities.</w:t>
      </w:r>
    </w:p>
    <w:p>
      <w:pPr>
        <w:spacing w:after="0" w:line="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record a full valuation allowance on certain state research and development (“R&amp;D”) and investment tax credits, and stock basis differences as of June 30, 2014 as management continues to believe that it is not more likely than not that these deferred tax assets would be realized. Any future reversals of the valuation allowance will impact income tax expense.</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had state research and development credit carryforwards of $9,419, which will expire 2015 through 2028. The Company also had state investment tax credits carryforwards of $312.</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would no longer need to indefinitely reinvest the earnings of certain foreign subsidiaries. Therefore, the Company has accrued deferred taxes in association with $520 in undistributed earnings and profits.</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files income tax returns in all jurisdictions in which it operates. The Company has established reserves to provide for additional income taxes that may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Company’s reserves for unrecognized income tax benefits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previously recognized positions</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previously recognized positions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currently recognized positions</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141</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end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$3,142 of unrecognized tax benefits as of June 30, 2014, if released, would reduce income tax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major tax jurisdiction is the U.S. and the open tax years are fiscal 2010 through 2014.</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expects that there will not be any material changes in its reserves for unrecognized tax benefits within the next 12 months. Subsequent to June 30, 2014, the Company received notification that it will be subject to federal income tax audit for the fiscal year 2012.</w:t>
      </w:r>
    </w:p>
    <w:p>
      <w:pPr>
        <w:spacing w:after="0" w:line="139" w:lineRule="exact"/>
        <w:rPr>
          <w:sz w:val="20"/>
          <w:szCs w:val="20"/>
          <w:color w:val="auto"/>
        </w:rPr>
      </w:pPr>
    </w:p>
    <w:p>
      <w:pPr>
        <w:ind w:left="820" w:hanging="812"/>
        <w:spacing w:after="0"/>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10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June 30, 2014, the Company has entered into non-cancelable purchase commitments for certain inventory components and services used in its normal operations. The purchase commitments covered by these agreements are for less than one year and aggregate to $25,964.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2023.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2014, 2013 and 2012 was $4,213, $4,167 and $3,587, respectively. Minimum lease payments under the Company’s non-cancelable operating leases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c>
          <w:tcPr>
            <w:tcW w:w="0" w:type="dxa"/>
            <w:vAlign w:val="bottom"/>
          </w:tcPr>
          <w:p>
            <w:pPr>
              <w:spacing w:after="0"/>
              <w:rPr>
                <w:sz w:val="1"/>
                <w:szCs w:val="1"/>
                <w:color w:val="auto"/>
              </w:rPr>
            </w:pPr>
          </w:p>
        </w:tc>
      </w:tr>
      <w:tr>
        <w:trPr>
          <w:trHeight w:val="192"/>
        </w:trPr>
        <w:tc>
          <w:tcPr>
            <w:tcW w:w="640" w:type="dxa"/>
            <w:vAlign w:val="bottom"/>
            <w:tcBorders>
              <w:bottom w:val="single" w:sz="8" w:color="CCEEFF"/>
            </w:tcBorders>
          </w:tcPr>
          <w:p>
            <w:pPr>
              <w:spacing w:after="0"/>
              <w:rPr>
                <w:sz w:val="16"/>
                <w:szCs w:val="16"/>
                <w:color w:val="auto"/>
              </w:rPr>
            </w:pPr>
          </w:p>
        </w:tc>
        <w:tc>
          <w:tcPr>
            <w:tcW w:w="9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9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2016</w:t>
            </w:r>
          </w:p>
        </w:tc>
        <w:tc>
          <w:tcPr>
            <w:tcW w:w="9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9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2018</w:t>
            </w:r>
          </w:p>
        </w:tc>
        <w:tc>
          <w:tcPr>
            <w:tcW w:w="9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9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9300" w:type="dxa"/>
            <w:vAlign w:val="bottom"/>
          </w:tcPr>
          <w:p>
            <w:pPr>
              <w:ind w:left="8540"/>
              <w:spacing w:after="0"/>
              <w:rPr>
                <w:sz w:val="20"/>
                <w:szCs w:val="20"/>
                <w:color w:val="auto"/>
              </w:rPr>
            </w:pPr>
            <w:r>
              <w:rPr>
                <w:rFonts w:ascii="Arial" w:cs="Arial" w:eastAsia="Arial" w:hAnsi="Arial"/>
                <w:sz w:val="18"/>
                <w:szCs w:val="18"/>
                <w:color w:val="auto"/>
                <w:w w:val="89"/>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M.</w:t>
            </w:r>
          </w:p>
        </w:tc>
        <w:tc>
          <w:tcPr>
            <w:tcW w:w="93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b w:val="1"/>
                <w:bCs w:val="1"/>
                <w:color w:val="auto"/>
              </w:rPr>
              <w:t>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 w:type="dxa"/>
            <w:vAlign w:val="bottom"/>
            <w:vMerge w:val="continue"/>
          </w:tcPr>
          <w:p>
            <w:pPr>
              <w:spacing w:after="0"/>
              <w:rPr>
                <w:sz w:val="24"/>
                <w:szCs w:val="24"/>
                <w:color w:val="auto"/>
              </w:rPr>
            </w:pPr>
          </w:p>
        </w:tc>
        <w:tc>
          <w:tcPr>
            <w:tcW w:w="9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NSECURED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its consolidated EBITDA for the prior trailing four quarters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Acquisitions are permitted under the Credit Agreement without any dollar limitation so long as, among other requirements, no default or event of default exists or would result. As of June 30, 2014, the Company is in compliance with the covenants in the Credit Agreement . In addition, the Credit Agreement contains certain customary representations and warranties, and events of default.</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2014, there was $75,794 of borrowing capacity available based on our consolidated EBITDA for the trailing four quarters ended June 30, 2014. There were no borrowings outstanding on the Credit Agreement; however, there were outstanding letters of credit of $4,070. The Company was in compliance with all covenants and conditions under the Credit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ind w:left="840" w:hanging="832"/>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adopted a Shareholder Rights Plan, the purpose of which is, among other things, to enhance the Board’s ability to protect the shareholder interests and to ensure that shareholders receive fair treatment in the event any coercive takeover attempt of the Company is made in the future. The following summary description of the Shareholder Rights Plan does not purport to be complete and is qualified in its entirety by reference to the Company’s Shareholder Rights Plan, which has been previously filed with the Securities and Exchange Commission as an exhibit to a Registration Statement on Form 8-A.</w:t>
      </w:r>
    </w:p>
    <w:p>
      <w:pPr>
        <w:spacing w:after="0" w:line="5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(a “Right”) for each outstanding share of common stock to shareholders of record as of the close of business on December 23, 2005. The Rights currently are not exercisable and are attached to and trade with the outstanding shares of common stock. Under the Shareholder Rights Plan, the Rights become exercisable if a person becomes an “acquiring person” by acquiring 15% or more of the outstanding shares of common stock or if a person commences a tender offer that would result in that person owning 15% or more of the common stock. If a person becomes an “acquiring person,” each holder of a Right (other than the acquiring person)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36" w:lineRule="exact"/>
        <w:rPr>
          <w:sz w:val="20"/>
          <w:szCs w:val="20"/>
          <w:color w:val="auto"/>
        </w:rPr>
      </w:pPr>
    </w:p>
    <w:p>
      <w:pPr>
        <w:ind w:left="840" w:hanging="832"/>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a qualified 401(k) plan (the “401(k) Plan”) for its U.S. employees. The 401(k) Plan covers U.S. employees who have attained the age of 21. During fiscal 2014, 2013 and 2012, the Company matched employee contributions up to 3% of eligible compensation. The Company may also make optional contributions to the plan for any plan year at its discretion. Expense recognized by the Company for matching contributions related to the 401(k) plan was $1,896, $1,992 and $2,109 during the fiscal years ended June 30, 2014, 2013 and 2012, respectively.</w:t>
      </w:r>
    </w:p>
    <w:p>
      <w:pPr>
        <w:spacing w:after="0" w:line="140"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0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8,018 shares at June 30, 2014. On November 7, 2013, the Company's number of shares authorized for issuance under the 2005 Plan increased by 254 shares as a result of forfeitures, cancellations and/or terminations from the Company's 1997 Stock Option Plan (the "1997 Plan").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1,380 shares available for future grant under the 2005 Plan at June 30, 2014.</w:t>
      </w:r>
    </w:p>
    <w:p>
      <w:pPr>
        <w:spacing w:after="0" w:line="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w:t>
      </w:r>
    </w:p>
    <w:p>
      <w:pPr>
        <w:sectPr>
          <w:pgSz w:w="11900" w:h="16838" w:orient="portrait"/>
          <w:cols w:equalWidth="0" w:num="1">
            <w:col w:w="11420"/>
          </w:cols>
          <w:pgMar w:left="240" w:top="769"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ESPP. The number of shares issued under the ESPP during fiscal years 2014, 2013 and 2012 was 92, 104 and 104, respectively. Shares available for future purchase under the ESPP totaled 164 at June 30,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3"/>
                <w:szCs w:val="13"/>
                <w:color w:val="auto"/>
              </w:rPr>
            </w:pPr>
          </w:p>
        </w:tc>
        <w:tc>
          <w:tcPr>
            <w:tcW w:w="14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Intrinsic Value as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of 6/30/2014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2012</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1,435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2,564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Vested and expected to vest at June 30, 2014</w:t>
            </w:r>
          </w:p>
        </w:tc>
        <w:tc>
          <w:tcPr>
            <w:tcW w:w="1600" w:type="dxa"/>
            <w:vAlign w:val="bottom"/>
          </w:tcPr>
          <w:p>
            <w:pPr>
              <w:jc w:val="right"/>
              <w:ind w:right="33"/>
              <w:spacing w:after="0"/>
              <w:rPr>
                <w:sz w:val="20"/>
                <w:szCs w:val="20"/>
                <w:color w:val="auto"/>
              </w:rPr>
            </w:pPr>
            <w:r>
              <w:rPr>
                <w:rFonts w:ascii="Arial" w:cs="Arial" w:eastAsia="Arial" w:hAnsi="Arial"/>
                <w:sz w:val="18"/>
                <w:szCs w:val="18"/>
                <w:b w:val="1"/>
                <w:bCs w:val="1"/>
                <w:color w:val="auto"/>
              </w:rPr>
              <w:t>1,434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b w:val="1"/>
                <w:bCs w:val="1"/>
                <w:color w:val="auto"/>
              </w:rPr>
              <w:t>2,560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June 30, 2014</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12.01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2,249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intrinsic value of the options exercised during fiscal years 2014, 2013 and 2012 was $578, $233 and $534, respectively. Non-vested stock options are subject to the risk of forfeiture until the fulfillment of specified conditions. As of June 30, 2014, there was $118 of total unrecognized compensation cost related to non-vested options granted under the Company’s stock plans that is expected to be recognized over a weighted-average period of 0.91 years from June 30, 2014. As of June 30, 2013, there was $354 of total unrecognized compensation cost related to non-vested options granted under the Company’s stock plans that was expected to be recognized over a weighted-average period of 1.66 years from June 30, 2013.</w:t>
      </w:r>
    </w:p>
    <w:p>
      <w:pPr>
        <w:spacing w:after="0" w:line="3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August 8, 2012, the Company completed its acquisition of Micronetics. Pursuant to the terms of the Merger Agreement, all outstanding options to acquire shares of Micronetics common stock that were vested at the closing were canceled and the holders of such options received an amount of cash equal to the product of the total number of shares previously subject to such vested options and the excess of the merger consideration over the exercise price per share. All outstanding Micronetics stock options that were unvested at the closing were replaced with stock options in the Company's common stock. The replacement stock options granted were determined based on a conversion ratio provided in the Merger Agreement. The 271 stock options granted in the table above reflect the replacement of the unvested Micronetics stock options as of August 8, 2012.</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2012</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2,091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An aggregate of 70 shares of restricted stock that were granted to employees of Micronetics joining the Company in connection with the acquisition of Micronetics in August 2012 are included in the granted figure in the table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fair value of restricted stock awards vested during fiscal year 2014, 2013 and 2012 was $6,543, $4,488 and $5,848, respectively.</w:t>
      </w:r>
    </w:p>
    <w:p>
      <w:pPr>
        <w:spacing w:after="0" w:line="1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2014, there was $12,768 of total unrecognized compensation cost related to non-vested restricted stock awards granted under the Company’s stock plans that is expected to be recognized over a weighted-average period of 2.4 years from June 30, 2014. As of June 30, 2013, there was $11,588 of total unrecognized compensation cost related to non-vested restricted stock awards granted under the Company’s stock plans that is expected to be recognized over a weighted-average period of 2.6 years from June 30, 2013.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recognized the full expense of its share-based payment plans in the consolidated statements of operations for the fiscal years 2014, 2013 and 2012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5,290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6,572</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4,232</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options granted during fiscal years 2014 or 2012. The only stock options granted during fiscal year 2013 were related to the Micronetics stock option rollover at the acquisition date. The following table sets forth the weighted-average key assumptions and fair value results for stock options granted during fiscal years 2014, 2013 and 2012:</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June 30,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Option life(1)</w:t>
            </w:r>
          </w:p>
        </w:tc>
        <w:tc>
          <w:tcPr>
            <w:tcW w:w="1040" w:type="dxa"/>
            <w:vAlign w:val="bottom"/>
          </w:tcPr>
          <w:p>
            <w:pPr>
              <w:spacing w:after="0"/>
              <w:rPr>
                <w:sz w:val="21"/>
                <w:szCs w:val="21"/>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rate(2)</w:t>
            </w: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Stock volatility(3)</w:t>
            </w:r>
          </w:p>
        </w:tc>
        <w:tc>
          <w:tcPr>
            <w:tcW w:w="1040" w:type="dxa"/>
            <w:vAlign w:val="bottom"/>
          </w:tcPr>
          <w:p>
            <w:pPr>
              <w:spacing w:after="0"/>
              <w:rPr>
                <w:sz w:val="21"/>
                <w:szCs w:val="21"/>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9"/>
              </w:rPr>
              <w:t>—%</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104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r>
      <w:tr>
        <w:trPr>
          <w:trHeight w:val="27"/>
        </w:trPr>
        <w:tc>
          <w:tcPr>
            <w:tcW w:w="65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tabs>
          <w:tab w:leader="none" w:pos="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risk-free interest rate for each grant is equal to the U.S. Treasury yield curve in effect at the time of grant for instruments with a similar expected life.</w:t>
      </w:r>
    </w:p>
    <w:p>
      <w:pPr>
        <w:jc w:val="both"/>
        <w:ind w:left="540" w:hanging="316"/>
        <w:spacing w:after="0" w:line="255" w:lineRule="auto"/>
        <w:tabs>
          <w:tab w:leader="none" w:pos="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59" w:lineRule="exact"/>
        <w:rPr>
          <w:rFonts w:ascii="Arial" w:cs="Arial" w:eastAsia="Arial" w:hAnsi="Arial"/>
          <w:sz w:val="18"/>
          <w:szCs w:val="18"/>
          <w:color w:val="auto"/>
        </w:rPr>
      </w:pPr>
    </w:p>
    <w:p>
      <w:pPr>
        <w:ind w:left="840" w:hanging="832"/>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60" w:hanging="328"/>
        <w:spacing w:after="0" w:line="25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affordable, innovative, commercially developed, specialized processing subsystems for critical commercial, defense and intelligence applications. MCE delivers secure solutions that are based upon open architectures and widely adopted industry standards. MCE delivers rapid time-to-value and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its RF and microwave solutions to market on a more scalable basis.</w:t>
      </w:r>
    </w:p>
    <w:p>
      <w:pPr>
        <w:spacing w:after="0" w:line="57" w:lineRule="exact"/>
        <w:rPr>
          <w:rFonts w:ascii="Arial" w:cs="Arial" w:eastAsia="Arial" w:hAnsi="Arial"/>
          <w:sz w:val="18"/>
          <w:szCs w:val="18"/>
          <w:color w:val="auto"/>
        </w:rPr>
      </w:pPr>
    </w:p>
    <w:p>
      <w:pPr>
        <w:jc w:val="both"/>
        <w:ind w:left="660" w:hanging="355"/>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Mercury Defense Systems (“MDS”): this operating segment provides significant capabilities relating to pre-integrated, open, affordable electronic warfare ("EW"), electronic attack ("EA") and electronic counter measure ("ECM") subsystems, and signals intelligence ("SIGINT") and electro-optical/infrared (EO/IR) technologies. MDS deploys these solutions on behalf of defense prime contractors and the Department of Defense ("DoD"), leveraging commercially available technologies and solutions (or “building blocks”) from the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Prior year results have been restated for the reclassification of the MIS operating segment as discontinued operations. MIS was previously aggregated with MDS into one reportable segment based on similar economic and qualitative factors in accordance with FASB ASC 280 (see Note C).</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acquired intangible assets, restructuring and other charges, impairment of long-lived assets, acquisition costs and other related expenses, fair value adjustments from purchase accounting and stock-based compensation costs.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MCE</w:t>
            </w: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MDS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175,766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208,729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Intersegment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184,798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208,729</w:t>
            </w: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JUNE 30, 2013</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194,231</w:t>
            </w: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Intersegment revenues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13,744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166,350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9,940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203,979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237,070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Intersegment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216,455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237,070</w:t>
            </w: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47,994</w:t>
            </w:r>
          </w:p>
        </w:tc>
      </w:tr>
      <w:tr>
        <w:trPr>
          <w:trHeight w:val="45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reconciles the Company's (loss) income from continuing operations, the most directly comparable GAAP financial measure, to its adjusted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89"/>
              </w:rPr>
              <w:t>Year Ended June 30,</w:t>
            </w:r>
          </w:p>
        </w:tc>
        <w:tc>
          <w:tcPr>
            <w:tcW w:w="1140" w:type="dxa"/>
            <w:vAlign w:val="bottom"/>
          </w:tcPr>
          <w:p>
            <w:pPr>
              <w:spacing w:after="0"/>
              <w:rPr>
                <w:sz w:val="20"/>
                <w:szCs w:val="20"/>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37"/>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22,323</w:t>
            </w: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6940" w:type="dxa"/>
            <w:vAlign w:val="bottom"/>
          </w:tcPr>
          <w:p>
            <w:pPr>
              <w:ind w:left="360"/>
              <w:spacing w:after="0"/>
              <w:rPr>
                <w:sz w:val="20"/>
                <w:szCs w:val="20"/>
                <w:color w:val="auto"/>
              </w:rPr>
            </w:pPr>
            <w:r>
              <w:rPr>
                <w:rFonts w:ascii="Arial" w:cs="Arial" w:eastAsia="Arial" w:hAnsi="Arial"/>
                <w:sz w:val="18"/>
                <w:szCs w:val="18"/>
                <w:color w:val="auto"/>
              </w:rPr>
              <w:t>Tax (benefit) provision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(1,841)</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(10,501)</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8,991</w:t>
            </w: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7,837</w:t>
            </w:r>
          </w:p>
        </w:tc>
      </w:tr>
      <w:tr>
        <w:trPr>
          <w:trHeight w:val="243"/>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7,328</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8,222</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3,551</w:t>
            </w: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2,712</w:t>
            </w:r>
          </w:p>
        </w:tc>
      </w:tr>
      <w:tr>
        <w:trPr>
          <w:trHeight w:val="243"/>
        </w:trPr>
        <w:tc>
          <w:tcPr>
            <w:tcW w:w="6940" w:type="dxa"/>
            <w:vAlign w:val="bottom"/>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1,219</w:t>
            </w: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Fair value adjustments from purchase accounting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r>
      <w:tr>
        <w:trPr>
          <w:trHeight w:val="243"/>
        </w:trPr>
        <w:tc>
          <w:tcPr>
            <w:tcW w:w="69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8,999</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7,854</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6,572</w:t>
            </w:r>
          </w:p>
        </w:tc>
      </w:tr>
      <w:tr>
        <w:trPr>
          <w:trHeight w:val="27"/>
        </w:trPr>
        <w:tc>
          <w:tcPr>
            <w:tcW w:w="6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47,994</w:t>
            </w:r>
          </w:p>
        </w:tc>
      </w:tr>
      <w:tr>
        <w:trPr>
          <w:trHeight w:val="20"/>
        </w:trPr>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7"/>
          </w:tcPr>
          <w:p>
            <w:pPr>
              <w:ind w:left="340"/>
              <w:spacing w:after="0"/>
              <w:rPr>
                <w:sz w:val="20"/>
                <w:szCs w:val="20"/>
                <w:color w:val="auto"/>
              </w:rPr>
            </w:pPr>
            <w:r>
              <w:rPr>
                <w:rFonts w:ascii="Arial" w:cs="Arial" w:eastAsia="Arial" w:hAnsi="Arial"/>
                <w:sz w:val="18"/>
                <w:szCs w:val="18"/>
                <w:color w:val="auto"/>
                <w:w w:val="98"/>
              </w:rPr>
              <w:t>The geographic distribution of the Company's revenues is summarized as follows: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 Pacific</w:t>
            </w: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3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202,845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208,729</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206,324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208,729</w:t>
            </w: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YEAR ENDED JUNE 30, 2013</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194,231</w:t>
            </w: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191,261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194,231</w:t>
            </w: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14,429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14,462</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227,433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237,070</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232,944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237,070</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15,699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15,733</w:t>
            </w:r>
          </w:p>
        </w:tc>
      </w:tr>
      <w:tr>
        <w:trPr>
          <w:trHeight w:val="27"/>
        </w:trPr>
        <w:tc>
          <w:tcPr>
            <w:tcW w:w="3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goodwill and intangible assets.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340" w:type="dxa"/>
            <w:vAlign w:val="bottom"/>
            <w:gridSpan w:val="2"/>
          </w:tcPr>
          <w:p>
            <w:pPr>
              <w:ind w:left="1460"/>
              <w:spacing w:after="0"/>
              <w:rPr>
                <w:sz w:val="20"/>
                <w:szCs w:val="20"/>
                <w:color w:val="auto"/>
              </w:rPr>
            </w:pPr>
            <w:r>
              <w:rPr>
                <w:rFonts w:ascii="Arial" w:cs="Arial" w:eastAsia="Arial" w:hAnsi="Arial"/>
                <w:sz w:val="18"/>
                <w:szCs w:val="18"/>
                <w:b w:val="1"/>
                <w:bCs w:val="1"/>
                <w:color w:val="auto"/>
              </w:rPr>
              <w:t>Year Ended June 30,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47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4740" w:type="dxa"/>
            <w:vAlign w:val="bottom"/>
            <w:tcBorders>
              <w:bottom w:val="single" w:sz="8" w:color="CCEEFF"/>
            </w:tcBorders>
            <w:gridSpan w:val="2"/>
            <w:shd w:val="clear" w:color="auto" w:fill="CCEEFF"/>
          </w:tcPr>
          <w:p>
            <w:pPr>
              <w:ind w:left="4100"/>
              <w:spacing w:after="0"/>
              <w:rPr>
                <w:sz w:val="20"/>
                <w:szCs w:val="20"/>
                <w:color w:val="auto"/>
              </w:rPr>
            </w:pPr>
            <w:r>
              <w:rPr>
                <w:rFonts w:ascii="Arial" w:cs="Arial" w:eastAsia="Arial" w:hAnsi="Arial"/>
                <w:sz w:val="18"/>
                <w:szCs w:val="18"/>
                <w:color w:val="auto"/>
              </w:rPr>
              <w:t>18%</w:t>
            </w:r>
          </w:p>
        </w:tc>
        <w:tc>
          <w:tcPr>
            <w:tcW w:w="1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17%</w:t>
            </w:r>
          </w:p>
        </w:tc>
        <w:tc>
          <w:tcPr>
            <w:tcW w:w="1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4740" w:type="dxa"/>
            <w:vAlign w:val="bottom"/>
            <w:gridSpan w:val="2"/>
          </w:tcPr>
          <w:p>
            <w:pPr>
              <w:ind w:left="4100"/>
              <w:spacing w:after="0"/>
              <w:rPr>
                <w:sz w:val="20"/>
                <w:szCs w:val="20"/>
                <w:color w:val="auto"/>
              </w:rPr>
            </w:pPr>
            <w:r>
              <w:rPr>
                <w:rFonts w:ascii="Arial" w:cs="Arial" w:eastAsia="Arial" w:hAnsi="Arial"/>
                <w:sz w:val="18"/>
                <w:szCs w:val="18"/>
                <w:color w:val="auto"/>
              </w:rPr>
              <w:t>13</w:t>
            </w:r>
          </w:p>
        </w:tc>
        <w:tc>
          <w:tcPr>
            <w:tcW w:w="1520" w:type="dxa"/>
            <w:vAlign w:val="bottom"/>
          </w:tcPr>
          <w:p>
            <w:pPr>
              <w:ind w:left="900"/>
              <w:spacing w:after="0"/>
              <w:rPr>
                <w:sz w:val="20"/>
                <w:szCs w:val="20"/>
                <w:color w:val="auto"/>
              </w:rPr>
            </w:pPr>
            <w:r>
              <w:rPr>
                <w:rFonts w:ascii="Arial" w:cs="Arial" w:eastAsia="Arial" w:hAnsi="Arial"/>
                <w:sz w:val="18"/>
                <w:szCs w:val="18"/>
                <w:color w:val="auto"/>
              </w:rPr>
              <w:t>10</w:t>
            </w:r>
          </w:p>
        </w:tc>
        <w:tc>
          <w:tcPr>
            <w:tcW w:w="1160" w:type="dxa"/>
            <w:vAlign w:val="bottom"/>
          </w:tcPr>
          <w:p>
            <w:pPr>
              <w:ind w:left="8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29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2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43%</w:t>
            </w:r>
          </w:p>
        </w:tc>
        <w:tc>
          <w:tcPr>
            <w:tcW w:w="152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38%</w:t>
            </w:r>
          </w:p>
        </w:tc>
        <w:tc>
          <w:tcPr>
            <w:tcW w:w="116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94"/>
              </w:rPr>
              <w:t>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20" w:type="dxa"/>
            <w:vAlign w:val="bottom"/>
            <w:vMerge w:val="restart"/>
          </w:tcPr>
          <w:p>
            <w:pPr>
              <w:jc w:val="right"/>
              <w:ind w:right="1030"/>
              <w:spacing w:after="0"/>
              <w:rPr>
                <w:sz w:val="20"/>
                <w:szCs w:val="20"/>
                <w:color w:val="auto"/>
              </w:rPr>
            </w:pPr>
            <w:r>
              <w:rPr>
                <w:rFonts w:ascii="Arial" w:cs="Arial" w:eastAsia="Arial" w:hAnsi="Arial"/>
                <w:sz w:val="18"/>
                <w:szCs w:val="18"/>
                <w:color w:val="auto"/>
              </w:rPr>
              <w:t>69</w:t>
            </w:r>
          </w:p>
        </w:tc>
        <w:tc>
          <w:tcPr>
            <w:tcW w:w="1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Although the Company has three customers from which it derives 10% or more of its revenue, the sales to each of these customers are spread across multiple programs and platforms. For the fiscal years ended June 30, 2014, 2013 and 2012, the Aegis program individually comprised 15%, 10% and 12% of the Company's revenues, respectively.</w:t>
      </w:r>
    </w:p>
    <w:p>
      <w:pPr>
        <w:spacing w:after="0" w:line="150" w:lineRule="exact"/>
        <w:rPr>
          <w:sz w:val="20"/>
          <w:szCs w:val="20"/>
          <w:color w:val="auto"/>
        </w:rPr>
      </w:pPr>
    </w:p>
    <w:p>
      <w:pPr>
        <w:ind w:left="840" w:hanging="832"/>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2014 (In thousands, except per share data)</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21,562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24,481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from discontinued operations,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2013 (In thousands, except per share data)</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19,239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16,524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21,045</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(4,002)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from discontinued operations, net of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(loss) earnings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earnings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Due to the effects of rounding, the sum of the four quarters does not equal the annual total.</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conducted an evaluation as of June 30, 2014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2014 and designed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1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2014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published by the Committee of Sponsoring Organizations of the Treadway Commission. As a result of this assessment, management concluded that our internal control over financial reporting was effective as of June 30, 2014. The effectiveness of our internal control over financial reporting as of June 30, 2014 has been audited by KPMG LLP, an independent registered public accounting firm, as stated in its report.</w:t>
      </w:r>
    </w:p>
    <w:p>
      <w:pPr>
        <w:spacing w:after="0" w:line="19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2014 identified in connection with our Chief Executive Officer’s and Chief Financial Officer’s evaluation that have materially affected, or are reasonably likely to materially affect, our internal control over financial reporting.</w:t>
      </w:r>
    </w:p>
    <w:p>
      <w:pPr>
        <w:spacing w:after="0" w:line="15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2014 Annual Meeting of Shareholders (the “Shareholders Meeting”), except that information required by this item concerning our executive officers appears in Part I, Item 4.1 of this Annual Report on Form 10-K.</w:t>
      </w:r>
    </w:p>
    <w:p>
      <w:pPr>
        <w:spacing w:after="0" w:line="15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Shareholders Meeting.</w:t>
      </w:r>
    </w:p>
    <w:p>
      <w:pPr>
        <w:spacing w:after="0" w:line="167"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right="1800" w:firstLine="432"/>
        <w:spacing w:after="0" w:line="451" w:lineRule="auto"/>
        <w:rPr>
          <w:sz w:val="20"/>
          <w:szCs w:val="20"/>
          <w:color w:val="auto"/>
        </w:rPr>
      </w:pPr>
      <w:r>
        <w:rPr>
          <w:rFonts w:ascii="Arial" w:cs="Arial" w:eastAsia="Arial" w:hAnsi="Arial"/>
          <w:sz w:val="18"/>
          <w:szCs w:val="18"/>
          <w:color w:val="auto"/>
        </w:rPr>
        <w:t xml:space="preserve">The information required by this item is incorporated herein by reference to our Proxy Statement for the Shareholders Meeting. </w:t>
      </w:r>
      <w:r>
        <w:rPr>
          <w:rFonts w:ascii="Arial" w:cs="Arial" w:eastAsia="Arial" w:hAnsi="Arial"/>
          <w:sz w:val="18"/>
          <w:szCs w:val="18"/>
          <w:b w:val="1"/>
          <w:bCs w:val="1"/>
          <w:color w:val="auto"/>
        </w:rPr>
        <w:t>PART IV</w:t>
      </w:r>
    </w:p>
    <w:p>
      <w:pPr>
        <w:spacing w:after="0" w:line="1"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16" w:lineRule="exact"/>
        <w:rPr>
          <w:sz w:val="20"/>
          <w:szCs w:val="20"/>
          <w:color w:val="auto"/>
        </w:rPr>
      </w:pPr>
    </w:p>
    <w:p>
      <w:pPr>
        <w:ind w:left="860" w:hanging="852"/>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STATEMENTS, SCHEDULES AND EXHIBITS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financial statements, schedule, and exhibits listed below are included in or incorporated by reference as part of this report:</w:t>
      </w:r>
    </w:p>
    <w:p>
      <w:pPr>
        <w:spacing w:after="0" w:line="2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Consolidated Balance Sheets as of June 30, 2014 and 2013</w:t>
      </w:r>
    </w:p>
    <w:p>
      <w:pPr>
        <w:spacing w:after="0" w:line="9" w:lineRule="exact"/>
        <w:rPr>
          <w:sz w:val="20"/>
          <w:szCs w:val="20"/>
          <w:color w:val="auto"/>
        </w:rPr>
      </w:pPr>
    </w:p>
    <w:p>
      <w:pPr>
        <w:ind w:left="500" w:right="1980"/>
        <w:spacing w:after="0" w:line="265" w:lineRule="auto"/>
        <w:rPr>
          <w:sz w:val="20"/>
          <w:szCs w:val="20"/>
          <w:color w:val="auto"/>
        </w:rPr>
      </w:pPr>
      <w:r>
        <w:rPr>
          <w:rFonts w:ascii="Arial" w:cs="Arial" w:eastAsia="Arial" w:hAnsi="Arial"/>
          <w:sz w:val="17"/>
          <w:szCs w:val="17"/>
          <w:color w:val="auto"/>
        </w:rPr>
        <w:t>Consolidated Statements of Operations and Comprehensive Income for the fiscal years ended June 30, 2014, 2013 and 2012 Consolidated Statements of Shareholders’ Equity for the fiscal years ended June 30, 2014, 2013 and 2012</w:t>
      </w:r>
    </w:p>
    <w:p>
      <w:pPr>
        <w:ind w:left="500" w:right="4420"/>
        <w:spacing w:after="0" w:line="250" w:lineRule="auto"/>
        <w:rPr>
          <w:sz w:val="20"/>
          <w:szCs w:val="20"/>
          <w:color w:val="auto"/>
        </w:rPr>
      </w:pPr>
      <w:r>
        <w:rPr>
          <w:rFonts w:ascii="Arial" w:cs="Arial" w:eastAsia="Arial" w:hAnsi="Arial"/>
          <w:sz w:val="18"/>
          <w:szCs w:val="18"/>
          <w:color w:val="auto"/>
        </w:rPr>
        <w:t>Consolidated Statements of Cash Flows for the years ended June 30, 2014, 2013 and 2012 Notes to Consolidated Financial Statements</w:t>
      </w:r>
    </w:p>
    <w:p>
      <w:pPr>
        <w:spacing w:after="0" w:line="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Valuation and Qualifying Accounts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2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Allowance for Doubtful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WRITE-</w:t>
            </w: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2"/>
                <w:szCs w:val="12"/>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REVERSALS</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OFFS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5"/>
          </w:tcPr>
          <w:p>
            <w:pPr>
              <w:jc w:val="right"/>
              <w:ind w:right="957"/>
              <w:spacing w:after="0"/>
              <w:rPr>
                <w:sz w:val="20"/>
                <w:szCs w:val="20"/>
                <w:color w:val="auto"/>
              </w:rPr>
            </w:pPr>
            <w:r>
              <w:rPr>
                <w:rFonts w:ascii="Arial" w:cs="Arial" w:eastAsia="Arial" w:hAnsi="Arial"/>
                <w:sz w:val="18"/>
                <w:szCs w:val="18"/>
                <w:b w:val="1"/>
                <w:bCs w:val="1"/>
                <w:color w:val="auto"/>
                <w:w w:val="99"/>
              </w:rPr>
              <w:t>Deferred Tax Asset Valuation Allowance</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24"/>
                <w:szCs w:val="24"/>
                <w:color w:val="auto"/>
              </w:rPr>
            </w:pPr>
          </w:p>
        </w:tc>
        <w:tc>
          <w:tcPr>
            <w:tcW w:w="13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CHARGED</w:t>
            </w:r>
          </w:p>
        </w:tc>
        <w:tc>
          <w:tcPr>
            <w:tcW w:w="300" w:type="dxa"/>
            <w:vAlign w:val="bottom"/>
          </w:tcPr>
          <w:p>
            <w:pPr>
              <w:spacing w:after="0"/>
              <w:rPr>
                <w:sz w:val="24"/>
                <w:szCs w:val="24"/>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CHARGED</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TO COSTS &amp;</w:t>
            </w:r>
          </w:p>
        </w:tc>
        <w:tc>
          <w:tcPr>
            <w:tcW w:w="300" w:type="dxa"/>
            <w:vAlign w:val="bottom"/>
          </w:tcPr>
          <w:p>
            <w:pPr>
              <w:spacing w:after="0"/>
              <w:rPr>
                <w:sz w:val="12"/>
                <w:szCs w:val="12"/>
                <w:color w:val="auto"/>
              </w:rPr>
            </w:pPr>
          </w:p>
        </w:tc>
        <w:tc>
          <w:tcPr>
            <w:tcW w:w="12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TO OTHER</w:t>
            </w:r>
          </w:p>
        </w:tc>
        <w:tc>
          <w:tcPr>
            <w:tcW w:w="280" w:type="dxa"/>
            <w:vAlign w:val="bottom"/>
          </w:tcPr>
          <w:p>
            <w:pPr>
              <w:spacing w:after="0"/>
              <w:rPr>
                <w:sz w:val="12"/>
                <w:szCs w:val="12"/>
                <w:color w:val="auto"/>
              </w:rPr>
            </w:pPr>
          </w:p>
        </w:tc>
        <w:tc>
          <w:tcPr>
            <w:tcW w:w="13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EXPENSES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ACCOUNTS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9,032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10,844</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8,682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jc w:val="right"/>
              <w:ind w:right="3050"/>
              <w:spacing w:after="0"/>
              <w:rPr>
                <w:sz w:val="20"/>
                <w:szCs w:val="20"/>
                <w:color w:val="auto"/>
              </w:rPr>
            </w:pPr>
            <w:r>
              <w:rPr>
                <w:rFonts w:ascii="Arial" w:cs="Arial" w:eastAsia="Arial" w:hAnsi="Arial"/>
                <w:sz w:val="18"/>
                <w:szCs w:val="18"/>
                <w:color w:val="auto"/>
                <w:w w:val="94"/>
              </w:rPr>
              <w:t>2012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7,973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required by Item 601 of Regulation S-K are listed in the Exhibit Index on page 76, which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14,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380"/>
        <w:spacing w:after="0"/>
        <w:tabs>
          <w:tab w:leader="none" w:pos="6960" w:val="left"/>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KEVIN M. BISSON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48"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Kevin M. Bisson</w:t>
      </w:r>
    </w:p>
    <w:p>
      <w:pPr>
        <w:jc w:val="center"/>
        <w:ind w:left="4800"/>
        <w:spacing w:after="0" w:line="226" w:lineRule="auto"/>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1"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[PRINCIPAL FINANCIAL OFFICER]</w:t>
      </w:r>
    </w:p>
    <w:p>
      <w:pPr>
        <w:spacing w:after="0" w:line="16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Signature</w:t>
            </w:r>
          </w:p>
        </w:tc>
        <w:tc>
          <w:tcPr>
            <w:tcW w:w="218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Title(s)</w:t>
            </w:r>
          </w:p>
        </w:tc>
        <w:tc>
          <w:tcPr>
            <w:tcW w:w="82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9"/>
        </w:trPr>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 (principal</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4"/>
              </w:rPr>
              <w:t>/s/</w:t>
            </w:r>
          </w:p>
        </w:tc>
        <w:tc>
          <w:tcPr>
            <w:tcW w:w="2780" w:type="dxa"/>
            <w:vAlign w:val="bottom"/>
            <w:gridSpan w:val="3"/>
          </w:tcPr>
          <w:p>
            <w:pPr>
              <w:jc w:val="center"/>
              <w:ind w:right="14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Mark Aslett</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w w:val="98"/>
              </w:rPr>
              <w:t>Senior Vice President, Chief Financial Officer, and Treasurer</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740" w:type="dxa"/>
            <w:vAlign w:val="bottom"/>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tcPr>
          <w:p>
            <w:pPr>
              <w:jc w:val="center"/>
              <w:ind w:right="136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EVIN</w:t>
            </w:r>
            <w:r>
              <w:rPr>
                <w:rFonts w:ascii="Arial" w:cs="Arial" w:eastAsia="Arial" w:hAnsi="Arial"/>
                <w:sz w:val="18"/>
                <w:szCs w:val="18"/>
                <w:color w:val="auto"/>
                <w:w w:val="99"/>
              </w:rPr>
              <w:t xml:space="preserve"> M. B</w:t>
            </w:r>
            <w:r>
              <w:rPr>
                <w:rFonts w:ascii="Arial" w:cs="Arial" w:eastAsia="Arial" w:hAnsi="Arial"/>
                <w:sz w:val="14"/>
                <w:szCs w:val="14"/>
                <w:color w:val="auto"/>
                <w:w w:val="99"/>
              </w:rPr>
              <w:t>ISSON</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Kevin M. Bisson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Vice President, Controller, and Chief Accounting Officer</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48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A. S</w:t>
            </w:r>
            <w:r>
              <w:rPr>
                <w:rFonts w:ascii="Arial" w:cs="Arial" w:eastAsia="Arial" w:hAnsi="Arial"/>
                <w:sz w:val="14"/>
                <w:szCs w:val="14"/>
                <w:color w:val="auto"/>
                <w:w w:val="96"/>
              </w:rPr>
              <w:t>PEICHER</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3"/>
              </w:rPr>
              <w:t>Charles A. Speicher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tcPr>
          <w:p>
            <w:pPr>
              <w:jc w:val="center"/>
              <w:ind w:right="13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K. B</w:t>
            </w:r>
            <w:r>
              <w:rPr>
                <w:rFonts w:ascii="Arial" w:cs="Arial" w:eastAsia="Arial" w:hAnsi="Arial"/>
                <w:sz w:val="14"/>
                <w:szCs w:val="14"/>
                <w:color w:val="auto"/>
                <w:w w:val="96"/>
              </w:rPr>
              <w:t>ASS</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James K. Bass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EORGE</w:t>
            </w:r>
            <w:r>
              <w:rPr>
                <w:rFonts w:ascii="Arial" w:cs="Arial" w:eastAsia="Arial" w:hAnsi="Arial"/>
                <w:sz w:val="18"/>
                <w:szCs w:val="18"/>
                <w:color w:val="auto"/>
                <w:w w:val="99"/>
              </w:rPr>
              <w:t xml:space="preserve"> W. C</w:t>
            </w:r>
            <w:r>
              <w:rPr>
                <w:rFonts w:ascii="Arial" w:cs="Arial" w:eastAsia="Arial" w:hAnsi="Arial"/>
                <w:sz w:val="14"/>
                <w:szCs w:val="14"/>
                <w:color w:val="auto"/>
                <w:w w:val="99"/>
              </w:rPr>
              <w:t>HAMILLARD</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5"/>
              </w:rPr>
              <w:t>George W. Chamillard</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3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40" w:type="dxa"/>
            <w:vAlign w:val="bottom"/>
            <w:gridSpan w:val="4"/>
          </w:tcPr>
          <w:p>
            <w:pPr>
              <w:jc w:val="center"/>
              <w:ind w:right="1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D</w:t>
            </w:r>
            <w:r>
              <w:rPr>
                <w:rFonts w:ascii="Arial" w:cs="Arial" w:eastAsia="Arial" w:hAnsi="Arial"/>
                <w:sz w:val="14"/>
                <w:szCs w:val="14"/>
                <w:color w:val="auto"/>
              </w:rPr>
              <w:t>ANIELS</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4"/>
              </w:rPr>
              <w:t>Michael A. Daniels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EORGE</w:t>
            </w:r>
            <w:r>
              <w:rPr>
                <w:rFonts w:ascii="Arial" w:cs="Arial" w:eastAsia="Arial" w:hAnsi="Arial"/>
                <w:sz w:val="18"/>
                <w:szCs w:val="18"/>
                <w:color w:val="auto"/>
                <w:w w:val="98"/>
              </w:rPr>
              <w:t xml:space="preserve"> K. M</w:t>
            </w:r>
            <w:r>
              <w:rPr>
                <w:rFonts w:ascii="Arial" w:cs="Arial" w:eastAsia="Arial" w:hAnsi="Arial"/>
                <w:sz w:val="14"/>
                <w:szCs w:val="14"/>
                <w:color w:val="auto"/>
                <w:w w:val="98"/>
              </w:rPr>
              <w:t>UELLNER</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6"/>
              </w:rPr>
              <w:t>George K. Muellner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2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40" w:type="dxa"/>
            <w:vAlign w:val="bottom"/>
            <w:gridSpan w:val="4"/>
          </w:tcPr>
          <w:p>
            <w:pPr>
              <w:jc w:val="center"/>
              <w:ind w:right="11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K. O’B</w:t>
            </w:r>
            <w:r>
              <w:rPr>
                <w:rFonts w:ascii="Arial" w:cs="Arial" w:eastAsia="Arial" w:hAnsi="Arial"/>
                <w:sz w:val="14"/>
                <w:szCs w:val="14"/>
                <w:color w:val="auto"/>
              </w:rPr>
              <w:t>RIEN</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rPr>
              <w:t>William K. O’Brien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Chairman of the Board of</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tcPr>
          <w:p>
            <w:pPr>
              <w:jc w:val="center"/>
              <w:ind w:right="13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Directors</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14,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4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5"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Vincent Vitto</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740" w:type="dxa"/>
            <w:vAlign w:val="bottom"/>
          </w:tcPr>
          <w:p>
            <w:pPr>
              <w:ind w:left="138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ITEM NO.</w:t>
            </w:r>
          </w:p>
        </w:tc>
        <w:tc>
          <w:tcPr>
            <w:tcW w:w="10140" w:type="dxa"/>
            <w:vAlign w:val="bottom"/>
            <w:gridSpan w:val="3"/>
          </w:tcPr>
          <w:p>
            <w:pPr>
              <w:ind w:left="52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49"/>
        </w:trPr>
        <w:tc>
          <w:tcPr>
            <w:tcW w:w="660" w:type="dxa"/>
            <w:vAlign w:val="bottom"/>
          </w:tcPr>
          <w:p>
            <w:pPr>
              <w:ind w:left="14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1"/>
                <w:szCs w:val="21"/>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Underwriting Agreement, dated February 10, 2011, among the Company and Jefferies &amp; Company, Inc. and Lazard Capital Markets</w:t>
            </w: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LLC as representatives of the several underwriters named therein (incorporated herein by reference to Exhibit 1.1 of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current report on Form 8-K filed on February 11,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5"/>
              </w:rPr>
              <w:t>Articles of Organization (incorporated herein by reference to Exhibit 3.1.1 of the Company’s annual report on Form 10-K for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5"/>
              </w:rPr>
              <w:t>Articles of Amendment (incorporated herein by reference to Exhibit 3.1.2 of the Company’s annual report on Form 10-K for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fiscal 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2"/>
              </w:rPr>
              <w:t>Articles of Amendment (incorporated herein by reference to Exhibit 1 of the Company’s registration statement on Form 8-A filed on</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December 15, 2005)</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7"/>
              </w:rPr>
              <w:t>Articles of Amendment (incorporated herein by reference to Exhibit 3.1 of the Company's current report on Form 8-K filed on</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November 13, 2012)</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6"/>
              </w:rPr>
              <w:t>Bylaws, amended and restated effective as of May 4, 2011 (incorporated herein by reference to Exhibit 3.2 of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quarterly report on Form 10-Q for the quarter ended March 31,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4"/>
              </w:rPr>
              <w:t>Form of Stock Certificate (incorporated herein by reference to Exhibit 4.1 of the Company’s Registration Statement on Form S-1</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(File No. 333-41139))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2"/>
              </w:rPr>
              <w:t>Shareholder Rights Agreement, dated as of December 14, 2005, between the Company and Computershare Trust Company, N.A.</w:t>
            </w: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3"/>
              </w:rPr>
              <w:t>(formerly known as EquiServe Trust Company, N.A.) (incorporated herein by reference to Exhibit 2 of the Company’s registration</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statement on Form 8-A filed on December 15, 2005)</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0"/>
              </w:rPr>
              <w:t>1997 Stock Option Plan, as amended and restated (incorporated herein by reference to Exhibit 10.1.1 of the Company’s annual report</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on Form 10-K for the fiscal year ended June 30, 2010)</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6"/>
              </w:rPr>
              <w:t>Form of Stock Option Agreement under the 1997 Stock Option Plan (incorporated herein by reference to Exhibit 10.1.2 of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Company’s annual report on Form 10-K for the fiscal year ended June 30, 2010)</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Form of Restricted Stock Award Agreement under the 1997 Stock Option Plan (incorporated herein by reference to Exhibit 10.1.3 of</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the Company’s annual report on Form 10-K for the fiscal 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1997 Employee Stock Purchase Plan, as amended and restated (incorporated herein by reference to Appendix B to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definitive proxy statement filed on September 19,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4"/>
              </w:rPr>
              <w:t>Form of Indemnification Agreement between the Company and each of its current directors (incorporated herein by reference to</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Exhibit 10.4 of the Company’s annual 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Annual Executive Bonus Plan – Corporate Financial Performance (incorporated herein by reference to Appendix A to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definitive proxy statement filed on August 30, 2013)</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2"/>
              </w:rPr>
              <w:t>Annual Executive Bonus Plan – Individual Performance (incorporated herein by reference to Exhibit 10.7 of the Company’s annual</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3"/>
              </w:rPr>
              <w:t>2005 Stock Incentive Plan, as amended and restated (incorporated herein by reference to Appendix A to the Company’s definitive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proxy statement filed on August 31, 2012)</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10.7.1*</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4"/>
              </w:rPr>
              <w:t>Form of Stock Option Agreement under the 2005 Stock Incentive Plan (incorporated herein by reference to Exhibit 10.8.1 of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Company’s annual report on Form 10-K for the fiscal year ended June 30, 2011)</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10.7.2*</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Form of Restricted Stock Award Agreement under the 2005 Stock Incentive Plan (incorporated herein by reference to Exhibit 10.8.2</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of the Company’s annual report on Form 10-K for the fiscal year ended June 30, 2011)</w:t>
            </w:r>
          </w:p>
        </w:tc>
      </w:tr>
      <w:tr>
        <w:trPr>
          <w:trHeight w:val="486"/>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40" w:type="dxa"/>
            <w:vAlign w:val="bottom"/>
            <w:gridSpan w:val="3"/>
          </w:tcPr>
          <w:p>
            <w:pPr>
              <w:ind w:left="438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16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80" w:type="dxa"/>
            <w:vAlign w:val="bottom"/>
          </w:tcPr>
          <w:p>
            <w:pPr>
              <w:spacing w:after="0"/>
              <w:rPr>
                <w:sz w:val="20"/>
                <w:szCs w:val="20"/>
                <w:color w:val="auto"/>
              </w:rPr>
            </w:pPr>
            <w:r>
              <w:rPr>
                <w:rFonts w:ascii="Arial" w:cs="Arial" w:eastAsia="Arial" w:hAnsi="Arial"/>
                <w:sz w:val="18"/>
                <w:szCs w:val="18"/>
                <w:color w:val="auto"/>
              </w:rPr>
              <w:t>10.7.3*</w:t>
            </w: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Form of Deferred Stock Award Agreement under the 2005 Stock Incentive Plan (incorporated herein by reference to Exhibit 10.8.3</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10.7.4*</w:t>
            </w:r>
          </w:p>
        </w:tc>
        <w:tc>
          <w:tcPr>
            <w:tcW w:w="10160" w:type="dxa"/>
            <w:vAlign w:val="bottom"/>
          </w:tcPr>
          <w:p>
            <w:pPr>
              <w:ind w:left="540"/>
              <w:spacing w:after="0"/>
              <w:rPr>
                <w:sz w:val="20"/>
                <w:szCs w:val="20"/>
                <w:color w:val="auto"/>
              </w:rPr>
            </w:pPr>
            <w:r>
              <w:rPr>
                <w:rFonts w:ascii="Arial" w:cs="Arial" w:eastAsia="Arial" w:hAnsi="Arial"/>
                <w:sz w:val="18"/>
                <w:szCs w:val="18"/>
                <w:color w:val="auto"/>
                <w:w w:val="97"/>
              </w:rPr>
              <w:t>Form of Stock Option Agreement for performance stock options under the 2005 Stock Incentive Plan (incorporated herein by</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reference to Exhibit 10.1 of the Company’s current report on Form 8-K filed on September 28, 2007)</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10.7.5*†</w:t>
            </w:r>
          </w:p>
        </w:tc>
        <w:tc>
          <w:tcPr>
            <w:tcW w:w="10160" w:type="dxa"/>
            <w:vAlign w:val="bottom"/>
          </w:tcPr>
          <w:p>
            <w:pPr>
              <w:ind w:left="540"/>
              <w:spacing w:after="0"/>
              <w:rPr>
                <w:sz w:val="20"/>
                <w:szCs w:val="20"/>
                <w:color w:val="auto"/>
              </w:rPr>
            </w:pPr>
            <w:r>
              <w:rPr>
                <w:rFonts w:ascii="Arial" w:cs="Arial" w:eastAsia="Arial" w:hAnsi="Arial"/>
                <w:sz w:val="18"/>
                <w:szCs w:val="18"/>
                <w:color w:val="auto"/>
              </w:rPr>
              <w:t>Form of Performance-Based Restricted Stock Award Agreement under the 2005 Stock Incentive Plan</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10.8.1*</w:t>
            </w:r>
          </w:p>
        </w:tc>
        <w:tc>
          <w:tcPr>
            <w:tcW w:w="10160" w:type="dxa"/>
            <w:vAlign w:val="bottom"/>
          </w:tcPr>
          <w:p>
            <w:pPr>
              <w:ind w:left="540"/>
              <w:spacing w:after="0"/>
              <w:rPr>
                <w:sz w:val="20"/>
                <w:szCs w:val="20"/>
                <w:color w:val="auto"/>
              </w:rPr>
            </w:pPr>
            <w:r>
              <w:rPr>
                <w:rFonts w:ascii="Arial" w:cs="Arial" w:eastAsia="Arial" w:hAnsi="Arial"/>
                <w:sz w:val="18"/>
                <w:szCs w:val="18"/>
                <w:color w:val="auto"/>
                <w:w w:val="95"/>
              </w:rPr>
              <w:t>Form of Change in Control Severance Agreement between the Company and Mark Aslett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10.9.1 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10.8.2*</w:t>
            </w:r>
          </w:p>
        </w:tc>
        <w:tc>
          <w:tcPr>
            <w:tcW w:w="10160" w:type="dxa"/>
            <w:vAlign w:val="bottom"/>
          </w:tcPr>
          <w:p>
            <w:pPr>
              <w:ind w:left="540"/>
              <w:spacing w:after="0"/>
              <w:rPr>
                <w:sz w:val="20"/>
                <w:szCs w:val="20"/>
                <w:color w:val="auto"/>
              </w:rPr>
            </w:pPr>
            <w:r>
              <w:rPr>
                <w:rFonts w:ascii="Arial" w:cs="Arial" w:eastAsia="Arial" w:hAnsi="Arial"/>
                <w:sz w:val="18"/>
                <w:szCs w:val="18"/>
                <w:color w:val="auto"/>
                <w:w w:val="90"/>
              </w:rPr>
              <w:t>Form of Change in Control Severance Agreement between the Company and Non-CEO Executives (incorporated herein by reference</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to Exhibit 10.9.2 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10160" w:type="dxa"/>
            <w:vAlign w:val="bottom"/>
          </w:tcPr>
          <w:p>
            <w:pPr>
              <w:ind w:left="540"/>
              <w:spacing w:after="0"/>
              <w:rPr>
                <w:sz w:val="20"/>
                <w:szCs w:val="20"/>
                <w:color w:val="auto"/>
              </w:rPr>
            </w:pPr>
            <w:r>
              <w:rPr>
                <w:rFonts w:ascii="Arial" w:cs="Arial" w:eastAsia="Arial" w:hAnsi="Arial"/>
                <w:sz w:val="18"/>
                <w:szCs w:val="18"/>
                <w:color w:val="auto"/>
                <w:w w:val="91"/>
              </w:rPr>
              <w:t>Compensation Policy for Non-Employee Directors (incorporated herein by reference to Exhibit 10.10 of the Company's annual report</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on Form 10-K for the fiscal year ended June 30,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10.10.1*</w:t>
            </w: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Employment Agreement, dated as of November 19, 2007, by and between the Company and Mark Aslett (incorporated herein by</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reference to Exhibit 10.1 of the Company’s current report on Form 8-K filed on November 20, 2007)</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10.10.2*</w:t>
            </w:r>
          </w:p>
        </w:tc>
        <w:tc>
          <w:tcPr>
            <w:tcW w:w="10160" w:type="dxa"/>
            <w:vAlign w:val="bottom"/>
          </w:tcPr>
          <w:p>
            <w:pPr>
              <w:ind w:left="540"/>
              <w:spacing w:after="0"/>
              <w:rPr>
                <w:sz w:val="20"/>
                <w:szCs w:val="20"/>
                <w:color w:val="auto"/>
              </w:rPr>
            </w:pPr>
            <w:r>
              <w:rPr>
                <w:rFonts w:ascii="Arial" w:cs="Arial" w:eastAsia="Arial" w:hAnsi="Arial"/>
                <w:sz w:val="18"/>
                <w:szCs w:val="18"/>
                <w:color w:val="auto"/>
                <w:w w:val="96"/>
              </w:rPr>
              <w:t>First Amendment to Employment Agreement, dated as of December 20, 2008, by and between the Company and Mark Aslett</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5"/>
              </w:rPr>
              <w:t>(incorporated by reference to Exhibit 10.2 of the Company’s quarterly report on Form 10-Q for the quarter ended December 31,</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2008)</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10.10.3*</w:t>
            </w: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Second Amendment to Employment Agreement, dated as of September 30, 2009, by and between the Company and Mark Aslett</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4"/>
              </w:rPr>
              <w:t>(incorporated by reference to Exhibit 10.1 of the Company’s quarterly report on Form 10-Q for the quarter ended September 30,</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2009)</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tcPr>
          <w:p>
            <w:pPr>
              <w:ind w:left="540"/>
              <w:spacing w:after="0"/>
              <w:rPr>
                <w:sz w:val="20"/>
                <w:szCs w:val="20"/>
                <w:color w:val="auto"/>
              </w:rPr>
            </w:pPr>
            <w:r>
              <w:rPr>
                <w:rFonts w:ascii="Arial" w:cs="Arial" w:eastAsia="Arial" w:hAnsi="Arial"/>
                <w:sz w:val="18"/>
                <w:szCs w:val="18"/>
                <w:color w:val="auto"/>
                <w:w w:val="96"/>
              </w:rPr>
              <w:t>Agreement, dated March 1, 2010, by and between the Company and Gerald M. Haines II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10.13 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tcPr>
          <w:p>
            <w:pPr>
              <w:ind w:left="540"/>
              <w:spacing w:after="0"/>
              <w:rPr>
                <w:sz w:val="20"/>
                <w:szCs w:val="20"/>
                <w:color w:val="auto"/>
              </w:rPr>
            </w:pPr>
            <w:r>
              <w:rPr>
                <w:rFonts w:ascii="Arial" w:cs="Arial" w:eastAsia="Arial" w:hAnsi="Arial"/>
                <w:sz w:val="18"/>
                <w:szCs w:val="18"/>
                <w:color w:val="auto"/>
                <w:w w:val="94"/>
              </w:rPr>
              <w:t>Agreement, dated November 26, 2011, by and between the Company and Kevin M. Bisson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 of the Company’s current report on Form 8-K filed on January 17,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Purchase and Sale Agreement dated as of April 12, 2007 among 1999 Riverneck, LLC, Riverneck Road, LLC, 191 Riverneck, LLC</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and BTI 199-201 Riverneck, L.P. (incorporated herein by reference to Exhibit 10.10 of the Company's annual report on Form 10-K</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for the fiscal year ended June 30,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tcPr>
          <w:p>
            <w:pPr>
              <w:ind w:left="540"/>
              <w:spacing w:after="0"/>
              <w:rPr>
                <w:sz w:val="20"/>
                <w:szCs w:val="20"/>
                <w:color w:val="auto"/>
              </w:rPr>
            </w:pPr>
            <w:r>
              <w:rPr>
                <w:rFonts w:ascii="Arial" w:cs="Arial" w:eastAsia="Arial" w:hAnsi="Arial"/>
                <w:sz w:val="18"/>
                <w:szCs w:val="18"/>
                <w:color w:val="auto"/>
                <w:w w:val="91"/>
              </w:rPr>
              <w:t>Lease Agreement dated April 20, 2007 between BTI 199-201 Riverneck, L.P. and the Company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10.10 of the Company's annual report on Form 10-K for the fiscal year ended June 30,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Stock Purchase Agreement by and among the Company, LNX Corporation, and the Holders of the Securities of LNX Corporation</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(incorporated herein by reference to Exhibit 10.1 of the Company’s quarterly report on Form 10-Q for the quarter ended March 31,</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10160" w:type="dxa"/>
            <w:vAlign w:val="bottom"/>
          </w:tcPr>
          <w:p>
            <w:pPr>
              <w:ind w:left="540"/>
              <w:spacing w:after="0"/>
              <w:rPr>
                <w:sz w:val="20"/>
                <w:szCs w:val="20"/>
                <w:color w:val="auto"/>
              </w:rPr>
            </w:pPr>
            <w:r>
              <w:rPr>
                <w:rFonts w:ascii="Arial" w:cs="Arial" w:eastAsia="Arial" w:hAnsi="Arial"/>
                <w:sz w:val="18"/>
                <w:szCs w:val="18"/>
                <w:color w:val="auto"/>
                <w:w w:val="90"/>
              </w:rPr>
              <w:t>Agreement and Plan of Merger dated as of December 22, 2011 by and among the Company, King Merger, Inc., KOR Electronics, and</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the Securityholders’ Representative (incorporated by reference to Exhibit 10.1 of the Company’s quarterly report on Form 10-Q for</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the quarter ended December 31, 2011)</w:t>
            </w:r>
          </w:p>
        </w:tc>
      </w:tr>
      <w:tr>
        <w:trPr>
          <w:trHeight w:val="486"/>
        </w:trPr>
        <w:tc>
          <w:tcPr>
            <w:tcW w:w="1180" w:type="dxa"/>
            <w:vAlign w:val="bottom"/>
          </w:tcPr>
          <w:p>
            <w:pPr>
              <w:spacing w:after="0"/>
              <w:rPr>
                <w:sz w:val="24"/>
                <w:szCs w:val="24"/>
                <w:color w:val="auto"/>
              </w:rPr>
            </w:pPr>
          </w:p>
        </w:tc>
        <w:tc>
          <w:tcPr>
            <w:tcW w:w="10160" w:type="dxa"/>
            <w:vAlign w:val="bottom"/>
          </w:tcPr>
          <w:p>
            <w:pPr>
              <w:ind w:left="440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10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80" w:type="dxa"/>
            <w:vAlign w:val="bottom"/>
          </w:tcPr>
          <w:p>
            <w:pPr>
              <w:spacing w:after="0"/>
              <w:rPr>
                <w:sz w:val="20"/>
                <w:szCs w:val="20"/>
                <w:color w:val="auto"/>
              </w:rPr>
            </w:pPr>
            <w:r>
              <w:rPr>
                <w:rFonts w:ascii="Arial" w:cs="Arial" w:eastAsia="Arial" w:hAnsi="Arial"/>
                <w:sz w:val="18"/>
                <w:szCs w:val="18"/>
                <w:color w:val="auto"/>
              </w:rPr>
              <w:t>10.17</w:t>
            </w:r>
          </w:p>
        </w:tc>
        <w:tc>
          <w:tcPr>
            <w:tcW w:w="10100" w:type="dxa"/>
            <w:vAlign w:val="bottom"/>
          </w:tcPr>
          <w:p>
            <w:pPr>
              <w:ind w:left="540"/>
              <w:spacing w:after="0"/>
              <w:rPr>
                <w:sz w:val="20"/>
                <w:szCs w:val="20"/>
                <w:color w:val="auto"/>
              </w:rPr>
            </w:pPr>
            <w:r>
              <w:rPr>
                <w:rFonts w:ascii="Arial" w:cs="Arial" w:eastAsia="Arial" w:hAnsi="Arial"/>
                <w:sz w:val="18"/>
                <w:szCs w:val="18"/>
                <w:color w:val="auto"/>
                <w:w w:val="90"/>
              </w:rPr>
              <w:t>Agreement and Plan of Merger by and among the Company, Wildcat Merger Sub Inc., and Micronetics, Inc. dated as of June 8, 2012</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(incorporated herein by reference to Exhibit 10.1 of the Company’s current report on Form 8-K filed on June 11,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10.18*</w:t>
            </w:r>
          </w:p>
        </w:tc>
        <w:tc>
          <w:tcPr>
            <w:tcW w:w="10100" w:type="dxa"/>
            <w:vAlign w:val="bottom"/>
          </w:tcPr>
          <w:p>
            <w:pPr>
              <w:ind w:left="540"/>
              <w:spacing w:after="0"/>
              <w:rPr>
                <w:sz w:val="20"/>
                <w:szCs w:val="20"/>
                <w:color w:val="auto"/>
              </w:rPr>
            </w:pPr>
            <w:r>
              <w:rPr>
                <w:rFonts w:ascii="Arial" w:cs="Arial" w:eastAsia="Arial" w:hAnsi="Arial"/>
                <w:sz w:val="18"/>
                <w:szCs w:val="18"/>
                <w:color w:val="auto"/>
                <w:w w:val="97"/>
              </w:rPr>
              <w:t>Micronetics, Inc. 2006 Equity Incentive Plan (incorporated herein by reference to Exhibit 99.1 to the Company’s registration</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statement on Form S-8 filed on August 10,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10.19</w:t>
            </w:r>
          </w:p>
        </w:tc>
        <w:tc>
          <w:tcPr>
            <w:tcW w:w="10100" w:type="dxa"/>
            <w:vAlign w:val="bottom"/>
          </w:tcPr>
          <w:p>
            <w:pPr>
              <w:ind w:left="540"/>
              <w:spacing w:after="0"/>
              <w:rPr>
                <w:sz w:val="20"/>
                <w:szCs w:val="20"/>
                <w:color w:val="auto"/>
              </w:rPr>
            </w:pPr>
            <w:r>
              <w:rPr>
                <w:rFonts w:ascii="Arial" w:cs="Arial" w:eastAsia="Arial" w:hAnsi="Arial"/>
                <w:sz w:val="18"/>
                <w:szCs w:val="18"/>
                <w:color w:val="auto"/>
                <w:w w:val="93"/>
              </w:rPr>
              <w:t>Credit Agreement dated as of October 12, 2012 among the Company and the lenders party thereto (incorporated by reference to</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Exhibit 10.1 of the Company's current report on Form 8-K filed on October 17, 2012)</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10100" w:type="dxa"/>
            <w:vAlign w:val="bottom"/>
          </w:tcPr>
          <w:p>
            <w:pPr>
              <w:ind w:left="54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tcPr>
          <w:p>
            <w:pPr>
              <w:ind w:left="540"/>
              <w:spacing w:after="0"/>
              <w:rPr>
                <w:sz w:val="20"/>
                <w:szCs w:val="20"/>
                <w:color w:val="auto"/>
              </w:rPr>
            </w:pPr>
            <w:r>
              <w:rPr>
                <w:rFonts w:ascii="Arial" w:cs="Arial" w:eastAsia="Arial" w:hAnsi="Arial"/>
                <w:sz w:val="18"/>
                <w:szCs w:val="18"/>
                <w:color w:val="auto"/>
              </w:rPr>
              <w:t>Consent of KPMG LLP</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tcPr>
          <w:p>
            <w:pPr>
              <w:ind w:left="54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tcPr>
          <w:p>
            <w:pPr>
              <w:ind w:left="5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tcPr>
          <w:p>
            <w:pPr>
              <w:ind w:left="540"/>
              <w:spacing w:after="0"/>
              <w:rPr>
                <w:sz w:val="20"/>
                <w:szCs w:val="20"/>
                <w:color w:val="auto"/>
              </w:rPr>
            </w:pPr>
            <w:r>
              <w:rPr>
                <w:rFonts w:ascii="Arial" w:cs="Arial" w:eastAsia="Arial" w:hAnsi="Arial"/>
                <w:sz w:val="18"/>
                <w:szCs w:val="18"/>
                <w:color w:val="auto"/>
                <w:w w:val="93"/>
              </w:rPr>
              <w:t>Certification of the Company’s Chief Executive Officer and Chief Financial Officer pursuant to Section 906 of the Sarbanes-Oxley</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Act of 2002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tcPr>
          <w:p>
            <w:pPr>
              <w:ind w:left="540"/>
              <w:spacing w:after="0"/>
              <w:rPr>
                <w:sz w:val="20"/>
                <w:szCs w:val="20"/>
                <w:color w:val="auto"/>
              </w:rPr>
            </w:pPr>
            <w:r>
              <w:rPr>
                <w:rFonts w:ascii="Arial" w:cs="Arial" w:eastAsia="Arial" w:hAnsi="Arial"/>
                <w:sz w:val="18"/>
                <w:szCs w:val="18"/>
                <w:color w:val="auto"/>
                <w:w w:val="93"/>
              </w:rPr>
              <w:t>Interactive data files pursuant to Rule 405 of Regulation S-T: (i) Consolidated Statement of Operations, (ii) Consolidated Balance</w:t>
            </w:r>
          </w:p>
        </w:tc>
      </w:tr>
      <w:tr>
        <w:trPr>
          <w:trHeight w:val="216"/>
        </w:trPr>
        <w:tc>
          <w:tcPr>
            <w:tcW w:w="1180" w:type="dxa"/>
            <w:vAlign w:val="bottom"/>
          </w:tcPr>
          <w:p>
            <w:pPr>
              <w:spacing w:after="0"/>
              <w:rPr>
                <w:sz w:val="18"/>
                <w:szCs w:val="18"/>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w w:val="99"/>
              </w:rPr>
              <w:t>Sheet, (iii) Consolidated Statement of Shareholders’ Equity, (iv) Consolidated Statement of Cash Flows, and (v) Notes to</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Consolidated financial Statements</w:t>
            </w:r>
          </w:p>
        </w:tc>
      </w:tr>
    </w:tbl>
    <w:p>
      <w:pPr>
        <w:spacing w:after="0" w:line="395" w:lineRule="exact"/>
        <w:rPr>
          <w:sz w:val="20"/>
          <w:szCs w:val="20"/>
          <w:color w:val="auto"/>
        </w:rPr>
      </w:pPr>
    </w:p>
    <w:p>
      <w:pPr>
        <w:ind w:left="960" w:hanging="925"/>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Identifies a management contract or compensatory plan or arrangement in which an executive officer or director of the Company participates.</w:t>
      </w:r>
    </w:p>
    <w:p>
      <w:pPr>
        <w:spacing w:after="0" w:line="73" w:lineRule="exact"/>
        <w:rPr>
          <w:sz w:val="20"/>
          <w:szCs w:val="20"/>
          <w:color w:val="auto"/>
        </w:rPr>
      </w:pPr>
    </w:p>
    <w:p>
      <w:pPr>
        <w:ind w:left="960" w:hanging="925"/>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Filed with this Form 10-K.</w:t>
      </w:r>
    </w:p>
    <w:p>
      <w:pPr>
        <w:spacing w:after="0" w:line="73" w:lineRule="exact"/>
        <w:rPr>
          <w:sz w:val="20"/>
          <w:szCs w:val="20"/>
          <w:color w:val="auto"/>
        </w:rPr>
      </w:pPr>
    </w:p>
    <w:p>
      <w:pPr>
        <w:ind w:left="960" w:hanging="925"/>
        <w:spacing w:after="0" w:line="329" w:lineRule="auto"/>
        <w:tabs>
          <w:tab w:leader="none" w:pos="9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125" w:right="319" w:bottom="1440" w:gutter="0" w:footer="0" w:header="0"/>
        </w:sectPr>
      </w:pPr>
    </w:p>
    <w:bookmarkStart w:id="78" w:name="page79"/>
    <w:bookmarkEnd w:id="78"/>
    <w:p>
      <w:pPr>
        <w:spacing w:after="0" w:line="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10.7.5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PERFORMANCE RESTRICTED STOCK AWARD AGREEMENT</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UNDER THE MERCURY SYSTEMS,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2005 STOCK INCENTIVE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 of Shares: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Final Acceptance Date:</w:t>
      </w:r>
    </w:p>
    <w:p>
      <w:pPr>
        <w:spacing w:after="0" w:line="200" w:lineRule="exact"/>
        <w:rPr>
          <w:sz w:val="20"/>
          <w:szCs w:val="20"/>
          <w:color w:val="auto"/>
        </w:rPr>
      </w:pPr>
    </w:p>
    <w:p>
      <w:pPr>
        <w:spacing w:after="0" w:line="218"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Pursuant to the Mercury Systems, Inc. 2005 Stock Incentive Plan (the “Plan”) as amended through the date hereof, Mercury Systems, Inc. (the “Company”) hereby grants a Restricted Stock Award (an “Award”) to the Grantee named above. Upon acceptance of this Award, the Grantee shall receive the number of shares of Common Stock, par value $0.01 per share (the “Stock”), of the Company specified above, subject to the restrictions and conditions set forth herein and in the Plan.</w:t>
      </w:r>
    </w:p>
    <w:p>
      <w:pPr>
        <w:spacing w:after="0" w:line="143" w:lineRule="exact"/>
        <w:rPr>
          <w:sz w:val="20"/>
          <w:szCs w:val="20"/>
          <w:color w:val="auto"/>
        </w:rPr>
      </w:pPr>
    </w:p>
    <w:p>
      <w:pPr>
        <w:ind w:right="60" w:firstLine="656"/>
        <w:spacing w:after="0" w:line="292" w:lineRule="auto"/>
        <w:tabs>
          <w:tab w:leader="none" w:pos="145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Acceptance of Award</w:t>
      </w:r>
      <w:r>
        <w:rPr>
          <w:rFonts w:ascii="Arial" w:cs="Arial" w:eastAsia="Arial" w:hAnsi="Arial"/>
          <w:sz w:val="19"/>
          <w:szCs w:val="19"/>
          <w:color w:val="auto"/>
        </w:rPr>
        <w:t>. The Grantee shall have no rights with respect to this Award unless he or she shall have accepted this Award prior to the close of business on the Final Acceptance Date specified above by (i) signing and delivering to the Company a copy of this Award Agreement and (ii) delivering to the Company a stock power endorsed in blank. Upon acceptance of this Award by the Grantee, the shares of Restricted Stock so accepted shall be issued and held by the Company’s transfer agent in book entry form, and the Grantee’s name shall be entered as the shareholder of record on the books of the Company. Thereupon, the Grantee shall have all the rights of a shareholder with respect to such shares, including voting and dividend rights, subject, however, to the restrictions and conditions specified in Paragraph 2 below.</w:t>
      </w:r>
    </w:p>
    <w:p>
      <w:pPr>
        <w:spacing w:after="0" w:line="151" w:lineRule="exact"/>
        <w:rPr>
          <w:rFonts w:ascii="Arial" w:cs="Arial" w:eastAsia="Arial" w:hAnsi="Arial"/>
          <w:sz w:val="19"/>
          <w:szCs w:val="19"/>
          <w:color w:val="auto"/>
        </w:rPr>
      </w:pPr>
    </w:p>
    <w:p>
      <w:pPr>
        <w:ind w:left="1000" w:hanging="344"/>
        <w:spacing w:after="0"/>
        <w:tabs>
          <w:tab w:leader="none" w:pos="10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305"/>
        <w:spacing w:after="0" w:line="260" w:lineRule="auto"/>
        <w:tabs>
          <w:tab w:leader="none" w:pos="1716"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77" w:lineRule="exact"/>
        <w:rPr>
          <w:rFonts w:ascii="Arial" w:cs="Arial" w:eastAsia="Arial" w:hAnsi="Arial"/>
          <w:sz w:val="22"/>
          <w:szCs w:val="22"/>
          <w:color w:val="auto"/>
        </w:rPr>
      </w:pPr>
    </w:p>
    <w:p>
      <w:pPr>
        <w:ind w:right="860" w:firstLine="1305"/>
        <w:spacing w:after="0" w:line="276" w:lineRule="auto"/>
        <w:tabs>
          <w:tab w:leader="none" w:pos="1728" w:val="left"/>
        </w:tabs>
        <w:numPr>
          <w:ilvl w:val="1"/>
          <w:numId w:val="49"/>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60" w:lineRule="exact"/>
        <w:rPr>
          <w:rFonts w:ascii="Arial" w:cs="Arial" w:eastAsia="Arial" w:hAnsi="Arial"/>
          <w:sz w:val="22"/>
          <w:szCs w:val="22"/>
          <w:color w:val="auto"/>
        </w:rPr>
      </w:pPr>
    </w:p>
    <w:p>
      <w:pPr>
        <w:ind w:right="260" w:firstLine="1305"/>
        <w:spacing w:after="0" w:line="266" w:lineRule="auto"/>
        <w:tabs>
          <w:tab w:leader="none" w:pos="1716" w:val="left"/>
        </w:tabs>
        <w:numPr>
          <w:ilvl w:val="1"/>
          <w:numId w:val="49"/>
        </w:numPr>
        <w:rPr>
          <w:rFonts w:ascii="Arial" w:cs="Arial" w:eastAsia="Arial" w:hAnsi="Arial"/>
          <w:sz w:val="22"/>
          <w:szCs w:val="22"/>
          <w:color w:val="auto"/>
        </w:rPr>
      </w:pPr>
      <w:r>
        <w:rPr>
          <w:rFonts w:ascii="Arial" w:cs="Arial" w:eastAsia="Arial" w:hAnsi="Arial"/>
          <w:sz w:val="22"/>
          <w:szCs w:val="22"/>
          <w:color w:val="auto"/>
        </w:rPr>
        <w:t>If Grantee’s employment with the Company and its Subsidiaries is voluntarily or involuntarily terminated for any reason (including death) prior to vesting of shares of Restricted Stock granted herein, all non-vested shares shall be automatically forfeited to the Company.</w:t>
      </w:r>
    </w:p>
    <w:p>
      <w:pPr>
        <w:spacing w:after="0" w:line="171" w:lineRule="exact"/>
        <w:rPr>
          <w:rFonts w:ascii="Arial" w:cs="Arial" w:eastAsia="Arial" w:hAnsi="Arial"/>
          <w:sz w:val="22"/>
          <w:szCs w:val="22"/>
          <w:color w:val="auto"/>
        </w:rPr>
      </w:pPr>
    </w:p>
    <w:p>
      <w:pPr>
        <w:ind w:right="100" w:firstLine="656"/>
        <w:spacing w:after="0" w:line="320" w:lineRule="auto"/>
        <w:tabs>
          <w:tab w:leader="none" w:pos="99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w:t>
      </w:r>
      <w:r>
        <w:rPr>
          <w:rFonts w:ascii="Arial" w:cs="Arial" w:eastAsia="Arial" w:hAnsi="Arial"/>
          <w:sz w:val="19"/>
          <w:szCs w:val="19"/>
          <w:color w:val="auto"/>
        </w:rPr>
        <w:t>. The restrictions and conditions in Paragraph 2 of this Agreement shall lapse on the Vesting Date or Dates specified in the following schedule. If a series of Vesting Dates is specified, then the restrictions and conditions in Paragraph 2 shall lapse only with respect to the number of shares of Restricted Stock specified as vested on such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performance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0" w:hanging="344"/>
        <w:spacing w:after="0"/>
        <w:tabs>
          <w:tab w:leader="none" w:pos="10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33" w:lineRule="exact"/>
        <w:rPr>
          <w:rFonts w:ascii="Arial" w:cs="Arial" w:eastAsia="Arial" w:hAnsi="Arial"/>
          <w:sz w:val="22"/>
          <w:szCs w:val="22"/>
          <w:color w:val="auto"/>
        </w:rPr>
      </w:pPr>
    </w:p>
    <w:p>
      <w:pPr>
        <w:jc w:val="both"/>
        <w:ind w:right="60" w:firstLine="656"/>
        <w:spacing w:after="0" w:line="320" w:lineRule="auto"/>
        <w:tabs>
          <w:tab w:leader="none" w:pos="99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Agreement shall be subject to and governed by all the terms and conditions of the Plan, including the powers of the Administrator set forth in Section 3 of the Plan. Capitalized terms in this Agreement shall have the meaning specified in the Plan, unless a different meaning is specified herein.</w:t>
      </w:r>
    </w:p>
    <w:p>
      <w:pPr>
        <w:spacing w:after="0" w:line="125" w:lineRule="exact"/>
        <w:rPr>
          <w:rFonts w:ascii="Arial" w:cs="Arial" w:eastAsia="Arial" w:hAnsi="Arial"/>
          <w:sz w:val="19"/>
          <w:szCs w:val="19"/>
          <w:color w:val="auto"/>
        </w:rPr>
      </w:pPr>
    </w:p>
    <w:p>
      <w:pPr>
        <w:ind w:right="200" w:firstLine="656"/>
        <w:spacing w:after="0" w:line="276" w:lineRule="auto"/>
        <w:tabs>
          <w:tab w:leader="none" w:pos="99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Grantee, is non-assignable and is not transferable in any manner, by operation of law or otherwise, other than by will or the laws of descent and distribution.</w:t>
      </w:r>
    </w:p>
    <w:p>
      <w:pPr>
        <w:spacing w:after="0" w:line="160" w:lineRule="exact"/>
        <w:rPr>
          <w:rFonts w:ascii="Arial" w:cs="Arial" w:eastAsia="Arial" w:hAnsi="Arial"/>
          <w:sz w:val="22"/>
          <w:szCs w:val="22"/>
          <w:color w:val="auto"/>
        </w:rPr>
      </w:pPr>
    </w:p>
    <w:p>
      <w:pPr>
        <w:ind w:right="80" w:firstLine="656"/>
        <w:spacing w:after="0" w:line="358" w:lineRule="auto"/>
        <w:tabs>
          <w:tab w:leader="none" w:pos="99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Grantee shall, not later than the date as of which the receipt of this Award becomes a taxable event for Federal income tax purposes, pay to the Company or make arrangements satisfactory to the Administrator for payment of</w:t>
      </w:r>
    </w:p>
    <w:p>
      <w:pPr>
        <w:sectPr>
          <w:pgSz w:w="11900" w:h="16933" w:orient="portrait"/>
          <w:cols w:equalWidth="0" w:num="1">
            <w:col w:w="11420"/>
          </w:cols>
          <w:pgMar w:left="240" w:top="631" w:right="239" w:bottom="0" w:gutter="0" w:footer="0" w:header="0"/>
        </w:sectPr>
      </w:pPr>
    </w:p>
    <w:bookmarkStart w:id="79" w:name="page80"/>
    <w:bookmarkEnd w:id="79"/>
    <w:p>
      <w:pPr>
        <w:ind w:right="140"/>
        <w:spacing w:after="0" w:line="249" w:lineRule="auto"/>
        <w:rPr>
          <w:sz w:val="20"/>
          <w:szCs w:val="20"/>
          <w:color w:val="auto"/>
        </w:rPr>
      </w:pPr>
      <w:r>
        <w:rPr>
          <w:rFonts w:ascii="Arial" w:cs="Arial" w:eastAsia="Arial" w:hAnsi="Arial"/>
          <w:sz w:val="22"/>
          <w:szCs w:val="22"/>
          <w:color w:val="auto"/>
        </w:rPr>
        <w:t>any Federal, state, and local taxes required by law to be withheld on account of such taxable event. The Grantee may elect to have the required minimum tax withholding obligation satisfied, in whole or in part, by (i) authorizing the Company to withhold from shares of Stock to be issued, or</w:t>
      </w:r>
    </w:p>
    <w:p>
      <w:pPr>
        <w:ind w:right="1000" w:firstLine="8"/>
        <w:spacing w:after="0" w:line="246" w:lineRule="auto"/>
        <w:tabs>
          <w:tab w:leader="none" w:pos="31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transferring to the Company, a number of shares of Stock with an aggregate Fair Market Value that would satisfy the withholding amount due.</w:t>
      </w:r>
    </w:p>
    <w:p>
      <w:pPr>
        <w:spacing w:after="0" w:line="192" w:lineRule="exact"/>
        <w:rPr>
          <w:rFonts w:ascii="Arial" w:cs="Arial" w:eastAsia="Arial" w:hAnsi="Arial"/>
          <w:sz w:val="22"/>
          <w:szCs w:val="22"/>
          <w:color w:val="auto"/>
        </w:rPr>
      </w:pPr>
    </w:p>
    <w:p>
      <w:pPr>
        <w:ind w:left="1000" w:hanging="344"/>
        <w:spacing w:after="0"/>
        <w:tabs>
          <w:tab w:leader="none" w:pos="100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380" w:firstLine="1305"/>
        <w:spacing w:after="0" w:line="260" w:lineRule="auto"/>
        <w:tabs>
          <w:tab w:leader="none" w:pos="1716" w:val="left"/>
        </w:tabs>
        <w:numPr>
          <w:ilvl w:val="2"/>
          <w:numId w:val="51"/>
        </w:numPr>
        <w:rPr>
          <w:rFonts w:ascii="Arial" w:cs="Arial" w:eastAsia="Arial" w:hAnsi="Arial"/>
          <w:sz w:val="22"/>
          <w:szCs w:val="22"/>
          <w:color w:val="auto"/>
        </w:rPr>
      </w:pPr>
      <w:r>
        <w:rPr>
          <w:rFonts w:ascii="Arial" w:cs="Arial" w:eastAsia="Arial" w:hAnsi="Arial"/>
          <w:sz w:val="22"/>
          <w:szCs w:val="22"/>
          <w:color w:val="auto"/>
        </w:rPr>
        <w:t>Notice hereunder shall be given to the Company at its principal place of business, and shall be given to the Grantee at the address set forth below, or in either case at such other address as one party may subsequently furnish to the other party in writing.</w:t>
      </w:r>
    </w:p>
    <w:p>
      <w:pPr>
        <w:spacing w:after="0" w:line="177" w:lineRule="exact"/>
        <w:rPr>
          <w:rFonts w:ascii="Arial" w:cs="Arial" w:eastAsia="Arial" w:hAnsi="Arial"/>
          <w:sz w:val="22"/>
          <w:szCs w:val="22"/>
          <w:color w:val="auto"/>
        </w:rPr>
      </w:pPr>
    </w:p>
    <w:p>
      <w:pPr>
        <w:ind w:firstLine="1305"/>
        <w:spacing w:after="0" w:line="276" w:lineRule="auto"/>
        <w:tabs>
          <w:tab w:leader="none" w:pos="17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This Agreement does not confer upon the Grantee any rights with respect to continuation of employment by the Company or any Subsidiary.</w:t>
      </w:r>
    </w:p>
    <w:p>
      <w:pPr>
        <w:spacing w:after="0" w:line="161"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MERCURY SYSTEMS,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9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37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Grantee’s name and address: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Restricted Stock Award Agreement - General</w:t>
      </w:r>
    </w:p>
    <w:p>
      <w:pPr>
        <w:sectPr>
          <w:pgSz w:w="11900" w:h="16838" w:orient="portrait"/>
          <w:cols w:equalWidth="0" w:num="1">
            <w:col w:w="11400"/>
          </w:cols>
          <w:pgMar w:left="240" w:top="132" w:right="2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1380"/>
          </w:cols>
          <w:pgMar w:left="28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77470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Mercury Defense Systems,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Mercury Intelligence Systems, Inc.</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Nihon Mercury Computer Systems K.K.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60"/>
        <w:spacing w:after="0"/>
        <w:rPr>
          <w:sz w:val="20"/>
          <w:szCs w:val="20"/>
          <w:color w:val="auto"/>
        </w:rPr>
      </w:pPr>
      <w:r>
        <w:rPr>
          <w:rFonts w:ascii="Arial" w:cs="Arial" w:eastAsia="Arial" w:hAnsi="Arial"/>
          <w:sz w:val="12"/>
          <w:szCs w:val="12"/>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92075</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5240" w:space="720"/>
            <w:col w:w="5420"/>
          </w:cols>
          <w:pgMar w:left="280" w:top="378"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319"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53291, 333-101993, 333-112990, 333-124294, 333-129929, 333-139019, 333-139020, 333-149046, 333-156364, 333-163705, 333-163707, 333-172775, 333-177770, 333-177771, 333-183240, 333-183240, 333-184756, and 333-192161) on Form S-8 and the registration statement (No. 333-175978) on Form S-3 of Mercury Systems, Inc. of our report dated August 14, 2014, with respect to the consolidated balance sheets of Mercury Systems, Inc. and subsidiaries as of June 30, 2014 and 2013, and the related consolidated statements of operations and comprehensive income (loss), shareholders’ equity, and cash flows, for each of the years in the three-year period ended June 30, 2014, and the related financial statement Schedule II, and the effectiveness of internal control over financial reporting as of June 30, 2014, which report appears in the June 30, 2014 annual report on Form 10-K of Mercury Systems, Inc.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2014</w:t>
      </w:r>
    </w:p>
    <w:p>
      <w:pPr>
        <w:sectPr>
          <w:pgSz w:w="11900" w:h="16838" w:orient="portrait"/>
          <w:cols w:equalWidth="0" w:num="1">
            <w:col w:w="11420"/>
          </w:cols>
          <w:pgMar w:left="240" w:top="553"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17" w:lineRule="exact"/>
        <w:rPr>
          <w:sz w:val="20"/>
          <w:szCs w:val="20"/>
          <w:color w:val="auto"/>
        </w:rPr>
      </w:pPr>
    </w:p>
    <w:p>
      <w:pPr>
        <w:ind w:left="460" w:hanging="438"/>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60"/>
        <w:spacing w:after="0"/>
        <w:tabs>
          <w:tab w:leader="none" w:pos="1820" w:val="left"/>
        </w:tabs>
        <w:rPr>
          <w:sz w:val="20"/>
          <w:szCs w:val="20"/>
          <w:color w:val="auto"/>
        </w:rPr>
      </w:pPr>
      <w:r>
        <w:rPr>
          <w:rFonts w:ascii="Arial" w:cs="Arial" w:eastAsia="Arial" w:hAnsi="Arial"/>
          <w:sz w:val="18"/>
          <w:szCs w:val="18"/>
          <w:color w:val="auto"/>
        </w:rPr>
        <w:t>/s/</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85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117" w:lineRule="exact"/>
        <w:rPr>
          <w:sz w:val="20"/>
          <w:szCs w:val="20"/>
          <w:color w:val="auto"/>
        </w:rPr>
      </w:pPr>
    </w:p>
    <w:p>
      <w:pPr>
        <w:ind w:left="460" w:hanging="438"/>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/s/</w:t>
        <w:tab/>
        <w:t>K</w:t>
      </w:r>
      <w:r>
        <w:rPr>
          <w:rFonts w:ascii="Arial" w:cs="Arial" w:eastAsia="Arial" w:hAnsi="Arial"/>
          <w:sz w:val="13"/>
          <w:szCs w:val="13"/>
          <w:color w:val="auto"/>
        </w:rPr>
        <w:t>EVIN</w:t>
      </w:r>
      <w:r>
        <w:rPr>
          <w:rFonts w:ascii="Arial" w:cs="Arial" w:eastAsia="Arial" w:hAnsi="Arial"/>
          <w:sz w:val="18"/>
          <w:szCs w:val="18"/>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8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98" w:lineRule="exact"/>
        <w:rPr>
          <w:sz w:val="20"/>
          <w:szCs w:val="20"/>
          <w:color w:val="auto"/>
        </w:rPr>
      </w:pPr>
    </w:p>
    <w:p>
      <w:pPr>
        <w:jc w:val="both"/>
        <w:ind w:firstLine="446"/>
        <w:spacing w:after="0" w:line="332" w:lineRule="auto"/>
        <w:rPr>
          <w:sz w:val="20"/>
          <w:szCs w:val="20"/>
          <w:color w:val="auto"/>
        </w:rPr>
      </w:pPr>
      <w:r>
        <w:rPr>
          <w:rFonts w:ascii="Arial" w:cs="Arial" w:eastAsia="Arial" w:hAnsi="Arial"/>
          <w:sz w:val="16"/>
          <w:szCs w:val="16"/>
          <w:color w:val="auto"/>
        </w:rPr>
        <w:t>In connection with the Annual Report of Mercury Systems, Inc. (the “Company”) on Form 10-K for the fiscal year ended June 30, 2014 as filed with the Securities and Exchange Commission (the “Report”), we, Mark Aslett, President and Chief Executive Officer of the Company, and Kevin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0" w:lineRule="exact"/>
        <w:rPr>
          <w:sz w:val="20"/>
          <w:szCs w:val="20"/>
          <w:color w:val="auto"/>
        </w:rPr>
      </w:pPr>
    </w:p>
    <w:p>
      <w:pPr>
        <w:ind w:left="1340"/>
        <w:spacing w:after="0"/>
        <w:tabs>
          <w:tab w:leader="none" w:pos="168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K</w:t>
      </w:r>
      <w:r>
        <w:rPr>
          <w:rFonts w:ascii="Arial" w:cs="Arial" w:eastAsia="Arial" w:hAnsi="Arial"/>
          <w:sz w:val="13"/>
          <w:szCs w:val="13"/>
          <w:color w:val="auto"/>
        </w:rPr>
        <w:t>EVIN</w:t>
      </w:r>
      <w:r>
        <w:rPr>
          <w:rFonts w:ascii="Arial" w:cs="Arial" w:eastAsia="Arial" w:hAnsi="Arial"/>
          <w:sz w:val="18"/>
          <w:szCs w:val="18"/>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upperLetter"/>
      <w:start w:val="1"/>
    </w:lvl>
  </w:abstractNum>
  <w:abstractNum w:abstractNumId="21">
    <w:nsid w:val="7724C67E"/>
    <w:multiLevelType w:val="hybridMultilevel"/>
    <w:lvl w:ilvl="0">
      <w:lvlJc w:val="left"/>
      <w:lvlText w:val="%1."/>
      <w:numFmt w:val="upperLetter"/>
      <w:start w:val="2"/>
    </w:lvl>
  </w:abstractNum>
  <w:abstractNum w:abstractNumId="22">
    <w:nsid w:val="5C482A97"/>
    <w:multiLevelType w:val="hybridMultilevel"/>
    <w:lvl w:ilvl="0">
      <w:lvlJc w:val="left"/>
      <w:lvlText w:val="%1."/>
      <w:numFmt w:val="upperLetter"/>
      <w:start w:val="3"/>
    </w:lvl>
  </w:abstractNum>
  <w:abstractNum w:abstractNumId="23">
    <w:nsid w:val="2463B9EA"/>
    <w:multiLevelType w:val="hybridMultilevel"/>
    <w:lvl w:ilvl="0">
      <w:lvlJc w:val="left"/>
      <w:lvlText w:val="%1."/>
      <w:numFmt w:val="upperLetter"/>
      <w:start w:val="4"/>
    </w:lvl>
  </w:abstractNum>
  <w:abstractNum w:abstractNumId="24">
    <w:nsid w:val="5E884ADC"/>
    <w:multiLevelType w:val="hybridMultilevel"/>
    <w:lvl w:ilvl="0">
      <w:lvlJc w:val="left"/>
      <w:lvlText w:val="%1."/>
      <w:numFmt w:val="upperLetter"/>
      <w:start w:val="5"/>
    </w:lvl>
  </w:abstractNum>
  <w:abstractNum w:abstractNumId="25">
    <w:nsid w:val="51EAD36B"/>
    <w:multiLevelType w:val="hybridMultilevel"/>
    <w:lvl w:ilvl="0">
      <w:lvlJc w:val="left"/>
      <w:lvlText w:val="%1."/>
      <w:numFmt w:val="upperLetter"/>
      <w:start w:val="8"/>
    </w:lvl>
  </w:abstractNum>
  <w:abstractNum w:abstractNumId="26">
    <w:nsid w:val="2D517796"/>
    <w:multiLevelType w:val="hybridMultilevel"/>
    <w:lvl w:ilvl="0">
      <w:lvlJc w:val="left"/>
      <w:lvlText w:val="%1."/>
      <w:numFmt w:val="upperLetter"/>
      <w:start w:val="9"/>
    </w:lvl>
  </w:abstractNum>
  <w:abstractNum w:abstractNumId="27">
    <w:nsid w:val="580BD78F"/>
    <w:multiLevelType w:val="hybridMultilevel"/>
    <w:lvl w:ilvl="0">
      <w:lvlJc w:val="left"/>
      <w:lvlText w:val="%1."/>
      <w:numFmt w:val="upperLetter"/>
      <w:start w:val="10"/>
    </w:lvl>
  </w:abstractNum>
  <w:abstractNum w:abstractNumId="28">
    <w:nsid w:val="153EA438"/>
    <w:multiLevelType w:val="hybridMultilevel"/>
    <w:lvl w:ilvl="0">
      <w:lvlJc w:val="left"/>
      <w:lvlText w:val="%1."/>
      <w:numFmt w:val="upperLetter"/>
      <w:start w:val="11"/>
    </w:lvl>
  </w:abstractNum>
  <w:abstractNum w:abstractNumId="29">
    <w:nsid w:val="3855585C"/>
    <w:multiLevelType w:val="hybridMultilevel"/>
    <w:lvl w:ilvl="0">
      <w:lvlJc w:val="left"/>
      <w:lvlText w:val="%1."/>
      <w:numFmt w:val="upperLetter"/>
      <w:start w:val="12"/>
    </w:lvl>
  </w:abstractNum>
  <w:abstractNum w:abstractNumId="30">
    <w:nsid w:val="70A64E2A"/>
    <w:multiLevelType w:val="hybridMultilevel"/>
    <w:lvl w:ilvl="0">
      <w:lvlJc w:val="left"/>
      <w:lvlText w:val="%1."/>
      <w:numFmt w:val="upperLetter"/>
      <w:start w:val="14"/>
    </w:lvl>
  </w:abstractNum>
  <w:abstractNum w:abstractNumId="31">
    <w:nsid w:val="6A2342EC"/>
    <w:multiLevelType w:val="hybridMultilevel"/>
    <w:lvl w:ilvl="0">
      <w:lvlJc w:val="left"/>
      <w:lvlText w:val="%1."/>
      <w:numFmt w:val="upperLetter"/>
      <w:start w:val="15"/>
    </w:lvl>
  </w:abstractNum>
  <w:abstractNum w:abstractNumId="32">
    <w:nsid w:val="2A487CB0"/>
    <w:multiLevelType w:val="hybridMultilevel"/>
    <w:lvl w:ilvl="0">
      <w:lvlJc w:val="left"/>
      <w:lvlText w:val="%1."/>
      <w:numFmt w:val="upperLetter"/>
      <w:start w:val="16"/>
    </w:lvl>
  </w:abstractNum>
  <w:abstractNum w:abstractNumId="33">
    <w:nsid w:val="1D4ED43B"/>
    <w:multiLevelType w:val="hybridMultilevel"/>
    <w:lvl w:ilvl="0">
      <w:lvlJc w:val="left"/>
      <w:lvlText w:val="%1"/>
      <w:numFmt w:val="upperLetter"/>
      <w:start w:val="1"/>
    </w:lvl>
    <w:lvl w:ilvl="1">
      <w:lvlJc w:val="left"/>
      <w:lvlText w:val="(%2)"/>
      <w:numFmt w:val="decimal"/>
      <w:start w:val="1"/>
    </w:lvl>
  </w:abstractNum>
  <w:abstractNum w:abstractNumId="34">
    <w:nsid w:val="725A06FB"/>
    <w:multiLevelType w:val="hybridMultilevel"/>
    <w:lvl w:ilvl="0">
      <w:lvlJc w:val="left"/>
      <w:lvlText w:val="%1."/>
      <w:numFmt w:val="upperLetter"/>
      <w:start w:val="17"/>
    </w:lvl>
    <w:lvl w:ilvl="1">
      <w:lvlJc w:val="left"/>
      <w:lvlText w:val="%2"/>
      <w:numFmt w:val="decimal"/>
      <w:start w:val="1"/>
    </w:lvl>
  </w:abstractNum>
  <w:abstractNum w:abstractNumId="35">
    <w:nsid w:val="2CD89A32"/>
    <w:multiLevelType w:val="hybridMultilevel"/>
    <w:lvl w:ilvl="0">
      <w:lvlJc w:val="left"/>
      <w:lvlText w:val="•"/>
      <w:numFmt w:val="bullet"/>
      <w:start w:val="1"/>
    </w:lvl>
    <w:lvl w:ilvl="1">
      <w:lvlJc w:val="left"/>
      <w:lvlText w:val="•"/>
      <w:numFmt w:val="bullet"/>
      <w:start w:val="1"/>
    </w:lvl>
  </w:abstractNum>
  <w:abstractNum w:abstractNumId="36">
    <w:nsid w:val="57E4CCAF"/>
    <w:multiLevelType w:val="hybridMultilevel"/>
    <w:lvl w:ilvl="0">
      <w:lvlJc w:val="left"/>
      <w:lvlText w:val="%1."/>
      <w:numFmt w:val="upperLetter"/>
      <w:start w:val="18"/>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2"/>
    </w:lvl>
  </w:abstractNum>
  <w:abstractNum w:abstractNumId="39">
    <w:nsid w:val="542289EC"/>
    <w:multiLevelType w:val="hybridMultilevel"/>
    <w:lvl w:ilvl="0">
      <w:lvlJc w:val="left"/>
      <w:lvlText w:val="(%1)"/>
      <w:numFmt w:val="lowerLetter"/>
      <w:start w:val="3"/>
    </w:lvl>
  </w:abstractNum>
  <w:abstractNum w:abstractNumId="40">
    <w:nsid w:val="6DE91B18"/>
    <w:multiLevelType w:val="hybridMultilevel"/>
    <w:lvl w:ilvl="0">
      <w:lvlJc w:val="left"/>
      <w:lvlText w:val="(%1)"/>
      <w:numFmt w:val="lowerLetter"/>
      <w:start w:val="4"/>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2"/>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4"/>
    </w:lvl>
  </w:abstractNum>
  <w:abstractNum w:abstractNumId="50">
    <w:nsid w:val="75C6C33A"/>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2019-12-06T18:26:31Z</dcterms:created>
  <dcterms:modified xsi:type="dcterms:W3CDTF">2019-12-06T18:26:31Z</dcterms:modified>
</cp:coreProperties>
</file>