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5" w:lineRule="exact"/>
        <w:rPr>
          <w:sz w:val="24"/>
          <w:szCs w:val="24"/>
          <w:color w:val="auto"/>
        </w:rPr>
      </w:pPr>
    </w:p>
    <w:p>
      <w:pPr>
        <w:ind w:left="460" w:right="400" w:hanging="452"/>
        <w:spacing w:after="0" w:line="25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rFonts w:ascii="MS PGothic" w:cs="MS PGothic" w:eastAsia="MS PGothic" w:hAnsi="MS PGothic"/>
          <w:sz w:val="22"/>
          <w:szCs w:val="22"/>
          <w:color w:val="auto"/>
          <w:highlight w:val="black"/>
        </w:rPr>
      </w:pPr>
    </w:p>
    <w:p>
      <w:pPr>
        <w:ind w:left="460"/>
        <w:spacing w:after="0"/>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FOR THE QUARTERLY PERIOD ENDED DECEMBER 31, 2009</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1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w:t>
      </w:r>
    </w:p>
    <w:p>
      <w:pPr>
        <w:spacing w:after="0" w:line="14" w:lineRule="exact"/>
        <w:rPr>
          <w:sz w:val="24"/>
          <w:szCs w:val="24"/>
          <w:color w:val="auto"/>
        </w:rPr>
      </w:pPr>
    </w:p>
    <w:p>
      <w:pPr>
        <w:ind w:left="460"/>
        <w:spacing w:after="0"/>
        <w:tabs>
          <w:tab w:leader="none" w:pos="610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2"/>
          <w:szCs w:val="22"/>
          <w:b w:val="1"/>
          <w:bCs w:val="1"/>
          <w:color w:val="auto"/>
        </w:rPr>
        <w:t>TO</w:t>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MERCURY COMPUTER SYSTEMS,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5"/>
              </w:rPr>
              <w:t>MASSACHUSETTS</w:t>
            </w:r>
          </w:p>
        </w:tc>
        <w:tc>
          <w:tcPr>
            <w:tcW w:w="5200" w:type="dxa"/>
            <w:vAlign w:val="bottom"/>
          </w:tcPr>
          <w:p>
            <w:pPr>
              <w:jc w:val="right"/>
              <w:ind w:right="24"/>
              <w:spacing w:after="0"/>
              <w:rPr>
                <w:sz w:val="20"/>
                <w:szCs w:val="20"/>
                <w:color w:val="auto"/>
              </w:rPr>
            </w:pPr>
            <w:r>
              <w:rPr>
                <w:rFonts w:ascii="Arial" w:cs="Arial" w:eastAsia="Arial" w:hAnsi="Arial"/>
                <w:sz w:val="18"/>
                <w:szCs w:val="18"/>
                <w:b w:val="1"/>
                <w:bCs w:val="1"/>
                <w:color w:val="auto"/>
              </w:rPr>
              <w:t>04-2741391</w:t>
            </w:r>
          </w:p>
        </w:tc>
      </w:tr>
      <w:tr>
        <w:trPr>
          <w:trHeight w:val="149"/>
        </w:trPr>
        <w:tc>
          <w:tcPr>
            <w:tcW w:w="23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00" w:type="dxa"/>
            <w:vAlign w:val="bottom"/>
          </w:tcPr>
          <w:p>
            <w:pPr>
              <w:jc w:val="center"/>
              <w:ind w:left="40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incorporation or organization)</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87"/>
              </w:rPr>
              <w:t>Identification No.)</w:t>
            </w:r>
          </w:p>
        </w:tc>
      </w:tr>
      <w:tr>
        <w:trPr>
          <w:trHeight w:val="337"/>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7"/>
              </w:rPr>
              <w:t>201 RIVERNECK ROAD</w:t>
            </w:r>
          </w:p>
        </w:tc>
        <w:tc>
          <w:tcPr>
            <w:tcW w:w="5200" w:type="dxa"/>
            <w:vAlign w:val="bottom"/>
          </w:tcPr>
          <w:p>
            <w:pPr>
              <w:jc w:val="right"/>
              <w:ind w:right="224"/>
              <w:spacing w:after="0"/>
              <w:rPr>
                <w:sz w:val="20"/>
                <w:szCs w:val="20"/>
                <w:color w:val="auto"/>
              </w:rPr>
            </w:pPr>
            <w:r>
              <w:rPr>
                <w:rFonts w:ascii="Arial" w:cs="Arial" w:eastAsia="Arial" w:hAnsi="Arial"/>
                <w:sz w:val="18"/>
                <w:szCs w:val="18"/>
                <w:b w:val="1"/>
                <w:bCs w:val="1"/>
                <w:color w:val="auto"/>
              </w:rPr>
              <w:t>01824</w:t>
            </w:r>
          </w:p>
        </w:tc>
      </w:tr>
      <w:tr>
        <w:trPr>
          <w:trHeight w:val="228"/>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8"/>
              </w:rPr>
              <w:t>CHELMSFORD, MA</w:t>
            </w:r>
          </w:p>
        </w:tc>
        <w:tc>
          <w:tcPr>
            <w:tcW w:w="5200" w:type="dxa"/>
            <w:vAlign w:val="bottom"/>
          </w:tcPr>
          <w:p>
            <w:pPr>
              <w:spacing w:after="0"/>
              <w:rPr>
                <w:sz w:val="19"/>
                <w:szCs w:val="19"/>
                <w:color w:val="auto"/>
              </w:rPr>
            </w:pPr>
          </w:p>
        </w:tc>
      </w:tr>
      <w:tr>
        <w:trPr>
          <w:trHeight w:val="177"/>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2360" w:type="dxa"/>
            <w:vAlign w:val="bottom"/>
          </w:tcPr>
          <w:p>
            <w:pPr>
              <w:spacing w:after="0"/>
              <w:rPr>
                <w:sz w:val="24"/>
                <w:szCs w:val="24"/>
                <w:color w:val="auto"/>
              </w:rPr>
            </w:pPr>
          </w:p>
        </w:tc>
        <w:tc>
          <w:tcPr>
            <w:tcW w:w="5200" w:type="dxa"/>
            <w:vAlign w:val="bottom"/>
          </w:tcPr>
          <w:p>
            <w:pPr>
              <w:jc w:val="right"/>
              <w:ind w:right="2964"/>
              <w:spacing w:after="0"/>
              <w:rPr>
                <w:sz w:val="20"/>
                <w:szCs w:val="20"/>
                <w:color w:val="auto"/>
              </w:rPr>
            </w:pPr>
            <w:r>
              <w:rPr>
                <w:rFonts w:ascii="Arial" w:cs="Arial" w:eastAsia="Arial" w:hAnsi="Arial"/>
                <w:sz w:val="18"/>
                <w:szCs w:val="18"/>
                <w:b w:val="1"/>
                <w:bCs w:val="1"/>
                <w:color w:val="auto"/>
              </w:rPr>
              <w:t>978-256-1300</w:t>
            </w:r>
          </w:p>
        </w:tc>
      </w:tr>
      <w:tr>
        <w:trPr>
          <w:trHeight w:val="174"/>
        </w:trPr>
        <w:tc>
          <w:tcPr>
            <w:tcW w:w="2360" w:type="dxa"/>
            <w:vAlign w:val="bottom"/>
          </w:tcPr>
          <w:p>
            <w:pPr>
              <w:spacing w:after="0"/>
              <w:rPr>
                <w:sz w:val="15"/>
                <w:szCs w:val="15"/>
                <w:color w:val="auto"/>
              </w:rPr>
            </w:pPr>
          </w:p>
        </w:tc>
        <w:tc>
          <w:tcPr>
            <w:tcW w:w="5200" w:type="dxa"/>
            <w:vAlign w:val="bottom"/>
          </w:tcPr>
          <w:p>
            <w:pPr>
              <w:jc w:val="center"/>
              <w:ind w:right="18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right="160" w:firstLine="456"/>
        <w:spacing w:after="0" w:line="33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ind w:left="460"/>
        <w:spacing w:after="0" w:line="207" w:lineRule="exact"/>
        <w:tabs>
          <w:tab w:leader="none" w:pos="2400" w:val="left"/>
          <w:tab w:leader="none" w:pos="3940" w:val="left"/>
          <w:tab w:leader="none" w:pos="58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7" w:lineRule="exact"/>
        <w:rPr>
          <w:sz w:val="24"/>
          <w:szCs w:val="24"/>
          <w:color w:val="auto"/>
        </w:rPr>
      </w:pPr>
    </w:p>
    <w:p>
      <w:pPr>
        <w:ind w:left="460" w:right="1660"/>
        <w:spacing w:after="0" w:line="289"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Shares of Common Stock outstanding as of February 1, 2010: 23,564,488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0820" w:type="dxa"/>
            <w:vAlign w:val="bottom"/>
            <w:gridSpan w:val="16"/>
            <w:vMerge w:val="restart"/>
          </w:tcPr>
          <w:p>
            <w:pPr>
              <w:spacing w:after="0"/>
              <w:rPr>
                <w:sz w:val="20"/>
                <w:szCs w:val="20"/>
                <w:color w:val="auto"/>
              </w:rPr>
            </w:pPr>
            <w:r>
              <w:rPr>
                <w:rFonts w:ascii="Arial" w:cs="Arial" w:eastAsia="Arial" w:hAnsi="Arial"/>
                <w:sz w:val="18"/>
                <w:szCs w:val="18"/>
                <w:color w:val="auto"/>
              </w:rPr>
              <w:t>PART I. FINANCIAL INFORMATION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08"/>
        </w:trPr>
        <w:tc>
          <w:tcPr>
            <w:tcW w:w="10820" w:type="dxa"/>
            <w:vAlign w:val="bottom"/>
            <w:gridSpan w:val="16"/>
            <w:vMerge w:val="continue"/>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560" w:type="dxa"/>
            <w:vAlign w:val="bottom"/>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tcPr>
          <w:p>
            <w:pPr>
              <w:spacing w:after="0"/>
              <w:rPr>
                <w:sz w:val="24"/>
                <w:szCs w:val="24"/>
                <w:color w:val="auto"/>
              </w:rPr>
            </w:pPr>
          </w:p>
        </w:tc>
        <w:tc>
          <w:tcPr>
            <w:tcW w:w="602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as of December 31, 2009 (unaudited) and June 30, 2009</w:t>
              </w:r>
            </w:hyperlink>
          </w:p>
        </w:tc>
        <w:tc>
          <w:tcPr>
            <w:tcW w:w="324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560" w:type="dxa"/>
            <w:vAlign w:val="bottom"/>
          </w:tcPr>
          <w:p>
            <w:pPr>
              <w:spacing w:after="0"/>
              <w:rPr>
                <w:sz w:val="24"/>
                <w:szCs w:val="24"/>
                <w:color w:val="auto"/>
              </w:rPr>
            </w:pPr>
          </w:p>
        </w:tc>
        <w:tc>
          <w:tcPr>
            <w:tcW w:w="82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Operations (unaudited) for the three and six months ended December 31, 2009 and 2008</w:t>
              </w:r>
            </w:hyperlink>
          </w:p>
        </w:tc>
        <w:tc>
          <w:tcPr>
            <w:tcW w:w="10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560" w:type="dxa"/>
            <w:vAlign w:val="bottom"/>
          </w:tcPr>
          <w:p>
            <w:pPr>
              <w:spacing w:after="0"/>
              <w:rPr>
                <w:sz w:val="24"/>
                <w:szCs w:val="24"/>
                <w:color w:val="auto"/>
              </w:rPr>
            </w:pPr>
          </w:p>
        </w:tc>
        <w:tc>
          <w:tcPr>
            <w:tcW w:w="926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(unaudited) for the six months ended December 31, 2009 and 2008</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56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Consolidated Financial Statements</w:t>
              </w:r>
            </w:hyperlink>
          </w:p>
        </w:tc>
        <w:tc>
          <w:tcPr>
            <w:tcW w:w="4460" w:type="dxa"/>
            <w:vAlign w:val="bottom"/>
            <w:tcBorders>
              <w:top w:val="single" w:sz="8" w:color="0000EE"/>
            </w:tcBorders>
            <w:gridSpan w:val="6"/>
          </w:tcPr>
          <w:p>
            <w:pPr>
              <w:spacing w:after="0"/>
              <w:rPr>
                <w:sz w:val="24"/>
                <w:szCs w:val="24"/>
                <w:color w:val="auto"/>
              </w:rPr>
            </w:pPr>
          </w:p>
        </w:tc>
        <w:tc>
          <w:tcPr>
            <w:tcW w:w="172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296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506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820" w:type="dxa"/>
            <w:vAlign w:val="bottom"/>
            <w:gridSpan w:val="16"/>
          </w:tcPr>
          <w:p>
            <w:pPr>
              <w:spacing w:after="0"/>
              <w:rPr>
                <w:sz w:val="20"/>
                <w:szCs w:val="20"/>
                <w:color w:val="auto"/>
              </w:rPr>
            </w:pPr>
            <w:r>
              <w:rPr>
                <w:rFonts w:ascii="Arial" w:cs="Arial" w:eastAsia="Arial" w:hAnsi="Arial"/>
                <w:sz w:val="18"/>
                <w:szCs w:val="18"/>
                <w:color w:val="auto"/>
              </w:rPr>
              <w:t>PART II. OTHER INFORMATION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560" w:type="dxa"/>
            <w:vAlign w:val="bottom"/>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7960" w:type="dxa"/>
            <w:vAlign w:val="bottom"/>
            <w:gridSpan w:val="11"/>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Item 4.</w:t>
            </w:r>
          </w:p>
        </w:tc>
        <w:tc>
          <w:tcPr>
            <w:tcW w:w="36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Submission of Matters to a Vote of Security Holders</w:t>
              </w:r>
            </w:hyperlink>
          </w:p>
        </w:tc>
        <w:tc>
          <w:tcPr>
            <w:tcW w:w="560" w:type="dxa"/>
            <w:vAlign w:val="bottom"/>
            <w:tcBorders>
              <w:top w:val="single" w:sz="8" w:color="0000EE"/>
            </w:tcBorders>
            <w:gridSpan w:val="2"/>
          </w:tcPr>
          <w:p>
            <w:pPr>
              <w:spacing w:after="0"/>
              <w:rPr>
                <w:sz w:val="24"/>
                <w:szCs w:val="24"/>
                <w:color w:val="auto"/>
              </w:rPr>
            </w:pPr>
          </w:p>
        </w:tc>
        <w:tc>
          <w:tcPr>
            <w:tcW w:w="502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560" w:type="dxa"/>
            <w:vAlign w:val="bottom"/>
          </w:tcPr>
          <w:p>
            <w:pPr>
              <w:spacing w:after="0"/>
              <w:rPr>
                <w:sz w:val="20"/>
                <w:szCs w:val="20"/>
                <w:color w:val="auto"/>
              </w:rPr>
            </w:pPr>
            <w:r>
              <w:rPr>
                <w:rFonts w:ascii="Arial" w:cs="Arial" w:eastAsia="Arial" w:hAnsi="Arial"/>
                <w:sz w:val="18"/>
                <w:szCs w:val="18"/>
                <w:color w:val="auto"/>
              </w:rPr>
              <w:t>Item 6.</w:t>
            </w:r>
          </w:p>
        </w:tc>
        <w:tc>
          <w:tcPr>
            <w:tcW w:w="926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2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tcPr>
          <w:p>
            <w:pPr>
              <w:spacing w:after="0"/>
              <w:rPr>
                <w:sz w:val="24"/>
                <w:szCs w:val="24"/>
                <w:color w:val="auto"/>
              </w:rPr>
            </w:pPr>
          </w:p>
        </w:tc>
        <w:tc>
          <w:tcPr>
            <w:tcW w:w="9260" w:type="dxa"/>
            <w:vAlign w:val="bottom"/>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83"/>
        </w:trPr>
        <w:tc>
          <w:tcPr>
            <w:tcW w:w="1560" w:type="dxa"/>
            <w:vAlign w:val="bottom"/>
          </w:tcPr>
          <w:p>
            <w:pPr>
              <w:spacing w:after="0"/>
              <w:rPr>
                <w:sz w:val="24"/>
                <w:szCs w:val="24"/>
                <w:color w:val="auto"/>
              </w:rPr>
            </w:pPr>
          </w:p>
        </w:tc>
        <w:tc>
          <w:tcPr>
            <w:tcW w:w="740" w:type="dxa"/>
            <w:vAlign w:val="bottom"/>
            <w:tcBorders>
              <w:top w:val="single" w:sz="8" w:color="0000EE"/>
            </w:tcBorders>
            <w:gridSpan w:val="2"/>
          </w:tcPr>
          <w:p>
            <w:pPr>
              <w:spacing w:after="0"/>
              <w:rPr>
                <w:sz w:val="24"/>
                <w:szCs w:val="24"/>
                <w:color w:val="auto"/>
              </w:rPr>
            </w:pPr>
          </w:p>
        </w:tc>
        <w:tc>
          <w:tcPr>
            <w:tcW w:w="3460" w:type="dxa"/>
            <w:vAlign w:val="bottom"/>
            <w:gridSpan w:val="7"/>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82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20" w:type="dxa"/>
            <w:vAlign w:val="bottom"/>
          </w:tcPr>
          <w:p>
            <w:pPr>
              <w:jc w:val="center"/>
              <w:ind w:left="1192"/>
              <w:spacing w:after="0"/>
              <w:rPr>
                <w:sz w:val="20"/>
                <w:szCs w:val="20"/>
                <w:color w:val="auto"/>
              </w:rPr>
            </w:pPr>
            <w:r>
              <w:rPr>
                <w:rFonts w:ascii="Arial" w:cs="Arial" w:eastAsia="Arial" w:hAnsi="Arial"/>
                <w:sz w:val="18"/>
                <w:szCs w:val="18"/>
                <w:b w:val="1"/>
                <w:bCs w:val="1"/>
                <w:color w:val="auto"/>
                <w:w w:val="98"/>
              </w:rPr>
              <w:t>MERCURY COMPUTER SYSTEMS, INC.</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20" w:type="dxa"/>
            <w:vAlign w:val="bottom"/>
          </w:tcPr>
          <w:p>
            <w:pPr>
              <w:jc w:val="center"/>
              <w:ind w:left="1212"/>
              <w:spacing w:after="0"/>
              <w:rPr>
                <w:sz w:val="20"/>
                <w:szCs w:val="20"/>
                <w:color w:val="auto"/>
              </w:rPr>
            </w:pPr>
            <w:r>
              <w:rPr>
                <w:rFonts w:ascii="Arial" w:cs="Arial" w:eastAsia="Arial" w:hAnsi="Arial"/>
                <w:sz w:val="18"/>
                <w:szCs w:val="18"/>
                <w:b w:val="1"/>
                <w:bCs w:val="1"/>
                <w:color w:val="auto"/>
                <w:w w:val="96"/>
              </w:rPr>
              <w:t>CONSOLIDATED BALANCE SHEETS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20" w:type="dxa"/>
            <w:vAlign w:val="bottom"/>
          </w:tcPr>
          <w:p>
            <w:pPr>
              <w:jc w:val="center"/>
              <w:ind w:left="1212"/>
              <w:spacing w:after="0"/>
              <w:rPr>
                <w:sz w:val="20"/>
                <w:szCs w:val="20"/>
                <w:color w:val="auto"/>
              </w:rPr>
            </w:pPr>
            <w:r>
              <w:rPr>
                <w:rFonts w:ascii="Arial" w:cs="Arial" w:eastAsia="Arial" w:hAnsi="Arial"/>
                <w:sz w:val="18"/>
                <w:szCs w:val="18"/>
                <w:color w:val="auto"/>
                <w:w w:val="92"/>
              </w:rPr>
              <w:t>(IN THOUSANDS, EXCEPT PER SHARE DATA)</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of $375 and $425 at December 31, 2009 and June 30, 2009, respectively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Option to sell auction rate securities at par</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8,283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Acquired intangible assets,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226,726</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219,372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88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6,498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Borrowings under line of credit and current capital lease obligations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Deferred revenues and customer advances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63,963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65,389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gain on sale-leaseback</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Commitments and contingencies (Note N)</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Preferred stock, $.01 par value; 1,000,000 shares authorized; no shares issued or outstanding</w:t>
            </w: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Common stock, $.01 par value; 85,000,000 shares authorized; 22,590,930 and 22,376,069 shares issued and outstanding at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 and June 30, 2009, respectively</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107,321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153,876</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20" w:type="dxa"/>
            <w:vAlign w:val="bottom"/>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226,726</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219,372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4"/>
              </w:rPr>
              <w:t>Three months ended</w:t>
            </w:r>
          </w:p>
        </w:tc>
        <w:tc>
          <w:tcPr>
            <w:tcW w:w="80" w:type="dxa"/>
            <w:vAlign w:val="bottom"/>
          </w:tcPr>
          <w:p>
            <w:pPr>
              <w:spacing w:after="0"/>
              <w:rPr>
                <w:sz w:val="14"/>
                <w:szCs w:val="14"/>
                <w:color w:val="auto"/>
              </w:rPr>
            </w:pPr>
          </w:p>
        </w:tc>
        <w:tc>
          <w:tcPr>
            <w:tcW w:w="168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45,158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45,094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92,589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89,934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Cost of revenues</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19,293</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19,690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39,422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39,603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25,865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25,404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53,167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13,485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13,929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24,829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9,901</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11,632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23,951</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26,243</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46,198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49,828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income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expense</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1,915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(Loss) income from discontinued operations, net of income taxes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(15,863)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income taxes</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2,071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(17,064)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6,429</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(loss) per share: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Diluted net earnings (loss) per share:</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(0.72)</w:t>
            </w:r>
          </w:p>
        </w:tc>
        <w:tc>
          <w:tcPr>
            <w:tcW w:w="8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Basic</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22,500</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22,121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22,450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22,870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22,121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2009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2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6,429</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(18,368)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3,346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Stock-based compensation</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2,025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860"/>
              <w:spacing w:after="0" w:line="149" w:lineRule="exact"/>
              <w:rPr>
                <w:sz w:val="20"/>
                <w:szCs w:val="20"/>
                <w:color w:val="auto"/>
              </w:rPr>
            </w:pPr>
            <w:r>
              <w:rPr>
                <w:rFonts w:ascii="Arial" w:cs="Arial" w:eastAsia="Arial" w:hAnsi="Arial"/>
                <w:sz w:val="14"/>
                <w:szCs w:val="14"/>
                <w:color w:val="auto"/>
              </w:rPr>
              <w:t>Impairment of goodwill and long-lived assets</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income taxes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(1,810)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860"/>
              <w:spacing w:after="0" w:line="149" w:lineRule="exact"/>
              <w:rPr>
                <w:sz w:val="20"/>
                <w:szCs w:val="20"/>
                <w:color w:val="auto"/>
              </w:rPr>
            </w:pPr>
            <w:r>
              <w:rPr>
                <w:rFonts w:ascii="Arial" w:cs="Arial" w:eastAsia="Arial" w:hAnsi="Arial"/>
                <w:sz w:val="14"/>
                <w:szCs w:val="14"/>
                <w:color w:val="auto"/>
              </w:rPr>
              <w:t>Non-cash interest</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Gross tax windfall from stock-based compensation</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860"/>
              <w:spacing w:after="0" w:line="149" w:lineRule="exact"/>
              <w:rPr>
                <w:sz w:val="20"/>
                <w:szCs w:val="20"/>
                <w:color w:val="auto"/>
              </w:rPr>
            </w:pPr>
            <w:r>
              <w:rPr>
                <w:rFonts w:ascii="Arial" w:cs="Arial" w:eastAsia="Arial" w:hAnsi="Arial"/>
                <w:sz w:val="14"/>
                <w:szCs w:val="14"/>
                <w:color w:val="auto"/>
              </w:rPr>
              <w:t>Gain on sale of discontinued operations</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non-cash expenses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(2,647)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860"/>
              <w:spacing w:after="0" w:line="149" w:lineRule="exact"/>
              <w:rPr>
                <w:sz w:val="20"/>
                <w:szCs w:val="20"/>
                <w:color w:val="auto"/>
              </w:rPr>
            </w:pPr>
            <w:r>
              <w:rPr>
                <w:rFonts w:ascii="Arial" w:cs="Arial" w:eastAsia="Arial" w:hAnsi="Arial"/>
                <w:sz w:val="14"/>
                <w:szCs w:val="14"/>
                <w:color w:val="auto"/>
              </w:rPr>
              <w:t>Inventory</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accrued expenses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860"/>
              <w:spacing w:after="0" w:line="149" w:lineRule="exact"/>
              <w:rPr>
                <w:sz w:val="20"/>
                <w:szCs w:val="20"/>
                <w:color w:val="auto"/>
              </w:rPr>
            </w:pPr>
            <w:r>
              <w:rPr>
                <w:rFonts w:ascii="Arial" w:cs="Arial" w:eastAsia="Arial" w:hAnsi="Arial"/>
                <w:sz w:val="14"/>
                <w:szCs w:val="14"/>
                <w:color w:val="auto"/>
              </w:rPr>
              <w:t>Deferred revenues and customer advances</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Income taxes payable</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860"/>
              <w:spacing w:after="0" w:line="149" w:lineRule="exact"/>
              <w:rPr>
                <w:sz w:val="20"/>
                <w:szCs w:val="20"/>
                <w:color w:val="auto"/>
              </w:rPr>
            </w:pPr>
            <w:r>
              <w:rPr>
                <w:rFonts w:ascii="Arial" w:cs="Arial" w:eastAsia="Arial" w:hAnsi="Arial"/>
                <w:sz w:val="14"/>
                <w:szCs w:val="14"/>
                <w:color w:val="auto"/>
              </w:rPr>
              <w:t>Other non-current liabilities</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7,774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5,370</w:t>
            </w:r>
          </w:p>
        </w:tc>
        <w:tc>
          <w:tcPr>
            <w:tcW w:w="0" w:type="dxa"/>
            <w:vAlign w:val="bottom"/>
          </w:tcPr>
          <w:p>
            <w:pPr>
              <w:spacing w:after="0"/>
              <w:rPr>
                <w:sz w:val="1"/>
                <w:szCs w:val="1"/>
                <w:color w:val="auto"/>
              </w:rPr>
            </w:pPr>
          </w:p>
        </w:tc>
      </w:tr>
      <w:tr>
        <w:trPr>
          <w:trHeight w:val="156"/>
        </w:trPr>
        <w:tc>
          <w:tcPr>
            <w:tcW w:w="754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2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marketable securities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(139,726)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Sales and maturities of marketable securities</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property and equipment</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(2,800)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Payments on sale of discontinued operations</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for acquired intangible assets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life insurance policies redemption</w:t>
            </w:r>
          </w:p>
        </w:tc>
        <w:tc>
          <w:tcPr>
            <w:tcW w:w="2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(2,782)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(59,016)</w:t>
            </w:r>
          </w:p>
        </w:tc>
        <w:tc>
          <w:tcPr>
            <w:tcW w:w="0" w:type="dxa"/>
            <w:vAlign w:val="bottom"/>
          </w:tcPr>
          <w:p>
            <w:pPr>
              <w:spacing w:after="0"/>
              <w:rPr>
                <w:sz w:val="1"/>
                <w:szCs w:val="1"/>
                <w:color w:val="auto"/>
              </w:rPr>
            </w:pPr>
          </w:p>
        </w:tc>
      </w:tr>
      <w:tr>
        <w:trPr>
          <w:trHeight w:val="156"/>
        </w:trPr>
        <w:tc>
          <w:tcPr>
            <w:tcW w:w="754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2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employee stock plans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823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(Payments) borrowings under line of credit</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of deferred financing activities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Gross tax windfall from stock-based compensation</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Repurchases of common stock</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Payments of capital lease obligations</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31,841</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2"/>
            <w:vMerge w:val="continue"/>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5,247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(21,087)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79"/>
              </w:rPr>
              <w:t>46,950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59,045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79"/>
              </w:rPr>
              <w:t>52,197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37,958</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4"/>
                <w:szCs w:val="14"/>
                <w:color w:val="auto"/>
              </w:rPr>
              <w:t>Cash paid (received) during the period for:</w:t>
            </w: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40" w:type="dxa"/>
            <w:vAlign w:val="bottom"/>
            <w:gridSpan w:val="2"/>
            <w:vMerge w:val="continue"/>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2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Income taxes, net</w:t>
            </w: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2,171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disclosures—non-cash activities:</w:t>
            </w: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20" w:type="dxa"/>
            <w:vAlign w:val="bottom"/>
          </w:tcPr>
          <w:p>
            <w:pPr>
              <w:ind w:left="420"/>
              <w:spacing w:after="0"/>
              <w:rPr>
                <w:sz w:val="20"/>
                <w:szCs w:val="20"/>
                <w:color w:val="auto"/>
              </w:rPr>
            </w:pPr>
            <w:r>
              <w:rPr>
                <w:rFonts w:ascii="Arial" w:cs="Arial" w:eastAsia="Arial" w:hAnsi="Arial"/>
                <w:sz w:val="14"/>
                <w:szCs w:val="14"/>
                <w:color w:val="auto"/>
              </w:rPr>
              <w:t>Issuance of restricted stock awards to employees</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5,369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SHARE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Mercury Computer Systems, Inc. (the “Company” or “Mercury”) designs, manufactures and markets high-performance embedded, real-time digital signal and image processing systems and software for embedded and other specialized computing markets. The Company’s solutions are involved in a wide range of applications, transforming sensor data to information for analysis and interpretation. In military reconnaissance and surveillance platforms, the Company’s systems process real-time radar, sonar and signals intelligence data. The Company’s systems are also used in semiconductor imaging applications including photomask generation and wafer inspection. The Company also provides radio frequency products for enhanced communications capabilities in military and commercial applications. Additionally, the Company entered the defense prime contracting market space in fiscal 2008 through the creation of its wholly-owned subsidiary, Mercury Federal Systems, Inc. (“MFS”) to focus on reaching the federal intelligence agencies and homeland security programs. The Company’s primary markets are aerospace and defense, specifically in the Intelligence, Surveillance and Reconnaissance (“ISR”) space, which includes radar, electronic warfare, sonar and electro-optical markets; and commercial markets, which includes homeland security, telecommunications and semiconductor markets.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90"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financial statements and related notes for the fiscal year ended June 30, 2009 which are contained in the Company’s Annual Report on Form 10-K filed with the Securities and Exchange Commission (“SEC”). The results for the three and six months ended December 31, 2009 are not necessarily indicative of the results to be expected for the full fiscal year.</w:t>
      </w:r>
    </w:p>
    <w:p>
      <w:pPr>
        <w:spacing w:after="0" w:line="1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consolidated financial statements include the accounts of the Company and its wholly-owned subsidiaries. All intercompany transactions and balances have been eliminated. The fiscal 2009 consolidated financial statements, excluding the statement of cash flows, were reclassified to reflect the discontinuation and sale of the Biotech business (“Biotech”), the Visage Imaging (“VI”) business and the Visualization Sciences Group (“VSG”) business, in accordance with FASB ASC 360 (“FASB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previously SFAS No. 144 (see Note 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9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ECENTLY</w:t>
      </w:r>
      <w:r>
        <w:rPr>
          <w:rFonts w:ascii="Arial" w:cs="Arial" w:eastAsia="Arial" w:hAnsi="Arial"/>
          <w:sz w:val="18"/>
          <w:szCs w:val="18"/>
          <w:color w:val="auto"/>
        </w:rPr>
        <w:t xml:space="preserve"> A</w:t>
      </w:r>
      <w:r>
        <w:rPr>
          <w:rFonts w:ascii="Arial" w:cs="Arial" w:eastAsia="Arial" w:hAnsi="Arial"/>
          <w:sz w:val="14"/>
          <w:szCs w:val="14"/>
          <w:color w:val="auto"/>
        </w:rPr>
        <w:t>DOPTED</w:t>
      </w:r>
      <w:r>
        <w:rPr>
          <w:rFonts w:ascii="Arial" w:cs="Arial" w:eastAsia="Arial" w:hAnsi="Arial"/>
          <w:sz w:val="18"/>
          <w:szCs w:val="18"/>
          <w:color w:val="auto"/>
        </w:rPr>
        <w:t xml:space="preserve"> A</w:t>
      </w:r>
      <w:r>
        <w:rPr>
          <w:rFonts w:ascii="Arial" w:cs="Arial" w:eastAsia="Arial" w:hAnsi="Arial"/>
          <w:sz w:val="14"/>
          <w:szCs w:val="14"/>
          <w:color w:val="auto"/>
        </w:rPr>
        <w:t>CCOUNTING</w:t>
      </w:r>
      <w:r>
        <w:rPr>
          <w:rFonts w:ascii="Arial" w:cs="Arial" w:eastAsia="Arial" w:hAnsi="Arial"/>
          <w:sz w:val="18"/>
          <w:szCs w:val="18"/>
          <w:color w:val="auto"/>
        </w:rPr>
        <w:t xml:space="preserve"> P</w:t>
      </w:r>
      <w:r>
        <w:rPr>
          <w:rFonts w:ascii="Arial" w:cs="Arial" w:eastAsia="Arial" w:hAnsi="Arial"/>
          <w:sz w:val="14"/>
          <w:szCs w:val="14"/>
          <w:color w:val="auto"/>
        </w:rPr>
        <w:t>RONOUNCEMENTS</w:t>
      </w:r>
    </w:p>
    <w:p>
      <w:pPr>
        <w:spacing w:after="0" w:line="90"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 xml:space="preserve">In June 2009, the Financial Accounting Standards Board (“FASB”) issued Statement of Financial Accounting Standards (“SFAS”) No. 168, </w:t>
      </w:r>
      <w:r>
        <w:rPr>
          <w:rFonts w:ascii="Arial" w:cs="Arial" w:eastAsia="Arial" w:hAnsi="Arial"/>
          <w:sz w:val="16"/>
          <w:szCs w:val="16"/>
          <w:i w:val="1"/>
          <w:iCs w:val="1"/>
          <w:color w:val="auto"/>
        </w:rPr>
        <w:t>The FASB</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Standards Codification</w:t>
      </w:r>
      <w:r>
        <w:rPr>
          <w:rFonts w:ascii="Arial" w:cs="Arial" w:eastAsia="Arial" w:hAnsi="Arial"/>
          <w:sz w:val="10"/>
          <w:szCs w:val="10"/>
          <w:i w:val="1"/>
          <w:iCs w:val="1"/>
          <w:color w:val="auto"/>
        </w:rPr>
        <w:t>TM</w:t>
      </w:r>
      <w:r>
        <w:rPr>
          <w:rFonts w:ascii="Arial" w:cs="Arial" w:eastAsia="Arial" w:hAnsi="Arial"/>
          <w:sz w:val="16"/>
          <w:szCs w:val="16"/>
          <w:i w:val="1"/>
          <w:iCs w:val="1"/>
          <w:color w:val="auto"/>
        </w:rPr>
        <w:t xml:space="preserve"> and the Hierarchy of Generally Accepted Accounting Principles—a replacement of FASB Statement No. 162 </w:t>
      </w:r>
      <w:r>
        <w:rPr>
          <w:rFonts w:ascii="Arial" w:cs="Arial" w:eastAsia="Arial" w:hAnsi="Arial"/>
          <w:sz w:val="16"/>
          <w:szCs w:val="16"/>
          <w:color w:val="auto"/>
        </w:rPr>
        <w:t>(“SFAS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168”). SFAS 168 establishes the </w:t>
      </w:r>
      <w:r>
        <w:rPr>
          <w:rFonts w:ascii="Arial" w:cs="Arial" w:eastAsia="Arial" w:hAnsi="Arial"/>
          <w:sz w:val="16"/>
          <w:szCs w:val="16"/>
          <w:i w:val="1"/>
          <w:iCs w:val="1"/>
          <w:color w:val="auto"/>
        </w:rPr>
        <w:t>FASB Accounting Standards Codification</w:t>
      </w:r>
      <w:r>
        <w:rPr>
          <w:rFonts w:ascii="Arial" w:cs="Arial" w:eastAsia="Arial" w:hAnsi="Arial"/>
          <w:sz w:val="16"/>
          <w:szCs w:val="16"/>
          <w:color w:val="auto"/>
        </w:rPr>
        <w:t xml:space="preserve"> </w:t>
      </w:r>
      <w:r>
        <w:rPr>
          <w:rFonts w:ascii="Arial" w:cs="Arial" w:eastAsia="Arial" w:hAnsi="Arial"/>
          <w:sz w:val="10"/>
          <w:szCs w:val="10"/>
          <w:color w:val="auto"/>
        </w:rPr>
        <w:t>TM</w:t>
      </w:r>
      <w:r>
        <w:rPr>
          <w:rFonts w:ascii="Arial" w:cs="Arial" w:eastAsia="Arial" w:hAnsi="Arial"/>
          <w:sz w:val="16"/>
          <w:szCs w:val="16"/>
          <w:color w:val="auto"/>
        </w:rPr>
        <w:t xml:space="preserve"> (“Codification”) as the source of authoritative U.S. GAAP for nongovernmental entities. The Codification does not change U.S. GAAP. Instead, it takes the thousands of individual pronouncements that currently comprise U.S. GAAP and reorganizes them into approximately 90 accounting Topics, and displays all Topics using a consistent structure. Contents in each Topic are further organized first by Subtopic, then Section and finally Paragraph. The Paragraph level is the only level that contains substantive content. Citing particular content in</w:t>
      </w:r>
    </w:p>
    <w:p>
      <w:pPr>
        <w:spacing w:after="0" w:line="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 xml:space="preserve">the Codification involves specifying the unique numeric path to the content through the Topic, Subtopic, Section and Paragraph structure. FASB suggests that all citations begin with “FASB ASC,” where ASC stands for </w:t>
      </w:r>
      <w:r>
        <w:rPr>
          <w:rFonts w:ascii="Arial" w:cs="Arial" w:eastAsia="Arial" w:hAnsi="Arial"/>
          <w:sz w:val="18"/>
          <w:szCs w:val="18"/>
          <w:i w:val="1"/>
          <w:iCs w:val="1"/>
          <w:color w:val="auto"/>
        </w:rPr>
        <w:t>Accounting Standards Codification</w:t>
      </w:r>
      <w:r>
        <w:rPr>
          <w:rFonts w:ascii="Arial" w:cs="Arial" w:eastAsia="Arial" w:hAnsi="Arial"/>
          <w:sz w:val="18"/>
          <w:szCs w:val="18"/>
          <w:color w:val="auto"/>
        </w:rPr>
        <w:t>. Changes to the ASC subsequent to June 30, 2009 are referred to as Accounting Standards Updates (“ASU”).</w:t>
      </w:r>
    </w:p>
    <w:p>
      <w:pPr>
        <w:spacing w:after="0" w:line="1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In conjunction with the issuance of SFAS 168, the FASB also issued ASU No. 2009-1, </w:t>
      </w:r>
      <w:r>
        <w:rPr>
          <w:rFonts w:ascii="Arial" w:cs="Arial" w:eastAsia="Arial" w:hAnsi="Arial"/>
          <w:sz w:val="16"/>
          <w:szCs w:val="16"/>
          <w:i w:val="1"/>
          <w:iCs w:val="1"/>
          <w:color w:val="auto"/>
        </w:rPr>
        <w:t>Topic 105—Generally Accepted Accounting Principles</w:t>
      </w:r>
      <w:r>
        <w:rPr>
          <w:rFonts w:ascii="Arial" w:cs="Arial" w:eastAsia="Arial" w:hAnsi="Arial"/>
          <w:sz w:val="16"/>
          <w:szCs w:val="16"/>
          <w:color w:val="auto"/>
        </w:rPr>
        <w:t xml:space="preserve"> (“ASU 2009-1”), which includes SFAS 168 in its entirety as a transition to the ASC. ASU 2009-1 is effective for interim and annual periods ending after September 15, 2009 and will not have an impact on the Company’s financial position or results of operations but will change the referencing system for accounting standards.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of the following pronouncements were issued prior to the issuance of the ASC and adoption of the ASUs. For such pronouncements, citations to the applicable Codification by Topic, Subtopic and Section are provided where applicable in addition to the original standard type and number.</w:t>
      </w:r>
    </w:p>
    <w:p>
      <w:pPr>
        <w:spacing w:after="0" w:line="85"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 xml:space="preserve">Effective July 1, 2009, the Company adopted ASU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(“ASU 2009-13”), which amends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ASU 2009-13 amends the FASB ASC to eliminate the residual method of allocation for multiple-deliverable revenue arrangements, and requires that arrangement consideration be allocated at the inception of an arrangement to all deliverables using the relative selling price method. The ASU also establishes a selling price hierarchy for determining the selling price of a deliverable, which includes: (1) vendor-specific objective evidence if available; (2) third-party evidence if vendor-specific objective evidence is not available; and (3) estimated selling price if neither vendor-specific nor third-party evidence is available. Additionally, ASU 2009-13 expands the disclosure requirements related to a vendor’s multiple-deliverable revenue arrangements. This guidance is effective for the Company July 1, 2010; however, the Company has elected to early adopt as permitted by the guidance. As such, the Company will prospectively apply the provisions of ASU 2009-13 to all revenue arrangements entered into or materially modified after July 1, 2009. See Note C for disclosures regarding the adoption of ASU 2009-13.</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Effective July 1, 2009, the Company adopted ASU No. 2009-14, </w:t>
      </w:r>
      <w:r>
        <w:rPr>
          <w:rFonts w:ascii="Arial" w:cs="Arial" w:eastAsia="Arial" w:hAnsi="Arial"/>
          <w:sz w:val="16"/>
          <w:szCs w:val="16"/>
          <w:i w:val="1"/>
          <w:iCs w:val="1"/>
          <w:color w:val="auto"/>
        </w:rPr>
        <w:t>Certain Revenue Arrangements That Include Software Elements</w:t>
      </w:r>
      <w:r>
        <w:rPr>
          <w:rFonts w:ascii="Arial" w:cs="Arial" w:eastAsia="Arial" w:hAnsi="Arial"/>
          <w:sz w:val="16"/>
          <w:szCs w:val="16"/>
          <w:color w:val="auto"/>
        </w:rPr>
        <w:t xml:space="preserve"> (“ASU 2009-14”), which amends FASB ASC Topic 985, </w:t>
      </w:r>
      <w:r>
        <w:rPr>
          <w:rFonts w:ascii="Arial" w:cs="Arial" w:eastAsia="Arial" w:hAnsi="Arial"/>
          <w:sz w:val="16"/>
          <w:szCs w:val="16"/>
          <w:i w:val="1"/>
          <w:iCs w:val="1"/>
          <w:color w:val="auto"/>
        </w:rPr>
        <w:t>Software</w:t>
      </w:r>
      <w:r>
        <w:rPr>
          <w:rFonts w:ascii="Arial" w:cs="Arial" w:eastAsia="Arial" w:hAnsi="Arial"/>
          <w:sz w:val="16"/>
          <w:szCs w:val="16"/>
          <w:color w:val="auto"/>
        </w:rPr>
        <w:t>. ASU 2009-14 amends the FASB ASC to change the accounting model for revenue arrangements that include both tangible products and software elements, such that tangible products containing both software and non-software components that function together to deliver the tangible product’s essential functionality are no longer within the scope of software revenue guidance. This guidance is effective for the Company July 1, 2010, however; the Company has elected to early adopt as permitted by the guidance. As such, the Company will prospectively apply the provisions of ASU 2009-14 to all revenue arrangements entered into or materially modified after July 1, 2009. Such adoption did not have a material impact on the Company’s financial position or results of operations.</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Effective July 1, 2009, the Company adopted FASB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(“FASB ASC 805” and formerly referred to as SFAS No. 141(R) and SFAS No. 141(R)-1). FASB ASC 805 requires the acquisition method to be applied to all transactions and other events in which an entity obtains control over one or more other businesses, requires the acquirer to recognize the fair value of all assets and liabilities acquired, even if less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than one hundred percent ownership is acquired, and establishes the acquisition date fair value as measurement date for all assets and liabilities</w:t>
      </w:r>
    </w:p>
    <w:p>
      <w:pPr>
        <w:spacing w:after="0" w:line="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assumed. Additionally, FASB ASC 805-20 provides further guidance on the initial recognition and measurement, subsequent measurement and accounting, and discloses assets and liabilities arising from contingencies in business combinations. The guidance within FASB ASC 805 is effective prospectively for any acquisitions made after July 1, 2009. In the period of adoption, the Company had no acquisitions and as such, the adoption did not have a material impact on the Company’s financial position or results of operations.</w:t>
      </w:r>
    </w:p>
    <w:p>
      <w:pPr>
        <w:spacing w:after="0" w:line="14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Effective July 1, 2009, the Company adopted FASB Staff Position (“FSP”) No.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which was primarily codified into Topic 350—</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(“FASB ASC 350”) in the FASB ASC. This guidance amends the factors that should be considered in developing renewal or extension assumptions used to determine the useful life of a recognized intangible asset and requires enhanced related disclosures. FASB ASC 350 improves the consistency between the useful life of a recognized intangible asset and the period of expected cash flows used to measure the fair value of the asset. This guidance must be applied prospectively to all intangible assets acquired as of and subsequent to fiscal years beginning after December 15, 2008. This guidance became effective for the Company on July 1, 2009. Although future transactions involving intangible assets may be affected by this guidance, it did not impact the Company’s financial position or results of operations as the Company did not acquire any intangible assets during the three and six months ended December 31, 2009.</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Effective July 1, 2009, the Company adopted FSP No. 107-1 and APB Opinion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xml:space="preserve"> which is now part of FASB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(“FASB ASC 825”). FASB ASC 825 requires disclosures about fair value of financial instruments for interim and annual reporting periods and is effective for interim reporting periods ending after June 15, 2009. Such adoption did not have a material impact on the Company’s financial position or results of operations.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Effective June 2009, the Company adopted FASB SFAS No. 165,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(“SFAS 165”). SFAS 165 establishes general standards of accounting for and disclosure of events that occur after the balance sheet date but before financial statements are issued or are available to be issued. SFAS 165 requires the disclosure of the date through which an entity has evaluated subsequent events and the basis for that date, that is, whether the date represents the date the financial statements were issued or were available to be issued. In accordance with SFAS 165, the Company has evaluated subsequent events through February 9, 2010, the date of issuance of consolidated financial statements. See Note T for the Company’s disclosure of subsequent events during the period from January 1, 2010 to February 9, 2010.</w:t>
      </w:r>
    </w:p>
    <w:p>
      <w:pPr>
        <w:spacing w:after="0" w:line="14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Effective August 2009, the Company adopted FASB ASU No. 2009-05, </w:t>
      </w:r>
      <w:r>
        <w:rPr>
          <w:rFonts w:ascii="Arial" w:cs="Arial" w:eastAsia="Arial" w:hAnsi="Arial"/>
          <w:sz w:val="16"/>
          <w:szCs w:val="16"/>
          <w:i w:val="1"/>
          <w:iCs w:val="1"/>
          <w:color w:val="auto"/>
        </w:rPr>
        <w:t>Measuring Liabilities at Fair Value</w:t>
      </w:r>
      <w:r>
        <w:rPr>
          <w:rFonts w:ascii="Arial" w:cs="Arial" w:eastAsia="Arial" w:hAnsi="Arial"/>
          <w:sz w:val="16"/>
          <w:szCs w:val="16"/>
          <w:color w:val="auto"/>
        </w:rPr>
        <w:t xml:space="preserve"> (“ASU 2009-05”), which amends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ASU 2009-05 provides clarification and guidance regarding how to value a liability when a quoted price in an active market is not available for that liability. The changes to the FASB ASC as a result of this update were effective for the Company on October 1, 2009. Such adoption did not have a material impact on the Company’s financial position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Multiple-Deliverable Arrangements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in the three and six months ended December 31, 2009 was approximately 52% and 56% of total revenues, respectively. Revenue recognized under multiple-deliverable arrangements in the three and six months ended December 31, 2008 was approximately 67% and 63% of total revenues, respectively. Typically, 80% to 90% of the Company’s multiple-deliverable revenue arrangements ship complete within the same quarter.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 xml:space="preserve">Effective July 1, 2009, the Company adopted ASU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which amends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ASU 2009-13 eliminates the residual method of allocation for multiple-deliverable revenue arrangements and requires that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be allocated at the inception of an arrangement to all deliverables using the relative selling price method. ASU 2009-13 also establishes a selling price hierarchy for determining the selling price of a deliverable, which includes: (1) vendor-specific objective evidence if available; (2) third-party evidence if vendor-specific objective evidence is not available; and (3) estimated selling price if neither vendor-specific nor third-party evidence is available. Additionally, ASU 2009-13 expands the disclosure requirements related to a vendor’s multiple-deliverable revenue arrangements. This guidance is effective for the Company on July 1, 2010, however, the Company elected to early adopt, as permitted by the guidance. As such, the Company has prospectively applied the provisions of ASU 2009-13 to all revenue arrangements entered into or materially modified after July 1, 2009.</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Per the provisions of ASU 2009-13, the Company allocates arrangement consideration to each deliverable in an arrangement based on its relative selling price. The Company determines selling price using vendor specific objective evidence (“VSOE”), if it exists, otherwise third-party evidence (“TPE”). If neither VSOE nor TPE of selling price exists for a unit of accounting, the Company uses estimated selling price (“ESP”). The Company generally expects that it will not be able to establish TPE due to the nature of the markets in which the Company competes, and, as such, the Company typically will determine selling price using VSOE or ESP.</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VSOE is generally limited to the price charged when the same or similar product is sold separately or, if applicable, the stated substantive renewal rate in the agreement. If a product or service is seldom sold separately, it is unlikely that the Company can determine VSOE for the product or service. The Company defines VSOE as a median price of recent standalone transactions that are priced within a narrow range, as defined by the Company.</w:t>
      </w:r>
    </w:p>
    <w:p>
      <w:pPr>
        <w:spacing w:after="0" w:line="107" w:lineRule="exact"/>
        <w:rPr>
          <w:sz w:val="20"/>
          <w:szCs w:val="20"/>
          <w:color w:val="auto"/>
        </w:rPr>
      </w:pPr>
    </w:p>
    <w:p>
      <w:pPr>
        <w:jc w:val="both"/>
        <w:ind w:right="660" w:firstLine="456"/>
        <w:spacing w:after="0" w:line="370" w:lineRule="auto"/>
        <w:rPr>
          <w:sz w:val="20"/>
          <w:szCs w:val="20"/>
          <w:color w:val="auto"/>
        </w:rPr>
      </w:pPr>
      <w:r>
        <w:rPr>
          <w:rFonts w:ascii="Arial" w:cs="Arial" w:eastAsia="Arial" w:hAnsi="Arial"/>
          <w:sz w:val="15"/>
          <w:szCs w:val="15"/>
          <w:color w:val="auto"/>
        </w:rPr>
        <w:t>TPE is determined based on the prices charged by competitors of the Company for a similar deliverable when sold separately. As noted above, the Company typically is not able to use TPE as the Company is usually not able to obtain sufficient information on competitor pricing to substantiate TPE.</w:t>
      </w:r>
    </w:p>
    <w:p>
      <w:pPr>
        <w:spacing w:after="0" w:line="6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If the Company is unable to establish selling price using VSOE or TPE, and the order was received or materially modified after the Company’s ASU 2009-13 implementation date of July 1, 2009, the Company will use ESP in its allocation of arrangement consideration. The objective of ESP is to determine the price at which the Company would transact if the product or service were sold by the Company on a standalone basis.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Company’s determination of ESP involves a weighting of several factors based on the specific facts and circumstances of the arrangement. Specifically, the Company considers the cost to produce the deliverable, the anticipated margin on that deliverable, the selling price and profit margin for similar parts, the Company’s ongoing pricing strategy and policies (as evident in the price list established and updated by management on a regular basis), the value of any enhancements that have been built into the deliverable and the characteristics of the varying markets in which the deliverable is sold.</w:t>
      </w:r>
    </w:p>
    <w:p>
      <w:pPr>
        <w:spacing w:after="0" w:line="11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Since the adoption of ASU 2009-13 on July 1, 2009, the Company has primarily used its ongoing pricing strategy and policies to determine ESP. The Company has corroborated the ESP determined by ongoing pricing strategy and policies with the cost to produce the deliverable, the anticipated margin on the deliverable, the selling price and profit margin for similar parts and the characteristics of the varying markets in which the deliverables are sold. The Company will determine ESP for deliverables in future agreements based on the specific facts and circumstances of the arrangement.</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plans to analyze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 considers a deliverable to have standalone value if the item is sold separately by the Company or another vendor or if the item could be resold by the customer. Further, the Company’s revenue arrangements generally do not include a general right of return relative to delivered products.</w:t>
      </w:r>
    </w:p>
    <w:p>
      <w:pPr>
        <w:spacing w:after="0" w:line="14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8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 a result of implementing ASU 2009-13, the Company recognized $2,348 and $4,349 in revenue within the ACS business unit in the three months and six months ended December 31, 2009 that would have been deferred under the previous guidance for multiple element arrangements. The Company anticipates that the effect of the adoption of this guidance on subsequent periods will be primarily based on the substance of the arrangements entered into or materially modified after the July 1, 2009 adoption date and the timing of the shipments of the deliverables within these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number of shares authorized for issuance under the Company’s 2005 Stock Incentive Plan, as amended and restated (the “2005 Plan”) is 4,092,264 shares, which will be increased by any future cancellations, forfeitures, expirations or terminations (other than by exercise) under the Company’s 1997 Stock Option Plan (“the 1997 Plan”). On October 21, 2009, the Company’s shareholders approved an increase in the number of shares authorized for issuance under the 2005 plan to 4,092,264, an increase of 1,500,000.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2,426,017 shares available for future grant under the 2005 Plan at December 31, 2009.</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number of shares authorized for issuance under the 1997 Plan was 8,650,000 shares, of which 100,000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of zero to four years and have a maximum term of 10 years. Following shareholder approval of the 2005 Plan on November 14, 2005, the Company’s Board of Directors directed that no further grants of stock options or other awards would be made under the 1997 Plan, and the 1997 Plan subsequently expired in June 2007. The foregoing does not affect any outstanding awards under the 1997 Plan, which remain in full force and effect in accordance with their terms.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During 1997, the Company adopted the 1997 Employee Stock Purchase Plan (“ESPP”) and authorized 500,000 shares for future issuance. In November 2006, the Company’s shareholders approved an increase in the number of authorized shares under the ESPP to 800,000 shares. On October 21, 2009, the Company’s shareholders approved an increase in the number of authorized shares under the ESPP to 1,100,000 shares, an increase of 300,000. Under the ESPP, rights are granted to purchase shares of common stock at 85% of the lesser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of the market value of such shares at either the beginning or the end of each six-month offering period. The ESPP permits employees to purchase common stock through payroll deductions, which may not exceed 10% of an employee’s compensation as defined in the plan. There were 49,511 and 46,220 shares issued under the ESPP during the six months ended December 31, 2009 and 2008, respectively. Shares available for future purchase under the ESPP totaled 298,413 at December 31,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of the Company’s stock option plans since June 30,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2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Remaining</w:t>
            </w: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Number of</w:t>
            </w:r>
          </w:p>
        </w:tc>
        <w:tc>
          <w:tcPr>
            <w:tcW w:w="440" w:type="dxa"/>
            <w:vAlign w:val="bottom"/>
          </w:tcPr>
          <w:p>
            <w:pPr>
              <w:spacing w:after="0"/>
              <w:rPr>
                <w:sz w:val="12"/>
                <w:szCs w:val="12"/>
                <w:color w:val="auto"/>
              </w:rPr>
            </w:pPr>
          </w:p>
        </w:tc>
        <w:tc>
          <w:tcPr>
            <w:tcW w:w="1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 Average</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Contractual Term</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5"/>
              </w:rPr>
              <w:t>Exercise Price</w:t>
            </w:r>
          </w:p>
        </w:tc>
        <w:tc>
          <w:tcPr>
            <w:tcW w:w="920" w:type="dxa"/>
            <w:vAlign w:val="bottom"/>
          </w:tcPr>
          <w:p>
            <w:pPr>
              <w:spacing w:after="0"/>
              <w:rPr>
                <w:sz w:val="14"/>
                <w:szCs w:val="14"/>
                <w:color w:val="auto"/>
              </w:rPr>
            </w:pPr>
          </w:p>
        </w:tc>
        <w:tc>
          <w:tcPr>
            <w:tcW w:w="10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3,732,671</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16.88</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Grants</w:t>
            </w:r>
          </w:p>
        </w:tc>
        <w:tc>
          <w:tcPr>
            <w:tcW w:w="780" w:type="dxa"/>
            <w:vAlign w:val="bottom"/>
          </w:tcPr>
          <w:p>
            <w:pPr>
              <w:jc w:val="right"/>
              <w:spacing w:after="0"/>
              <w:rPr>
                <w:sz w:val="20"/>
                <w:szCs w:val="20"/>
                <w:color w:val="auto"/>
              </w:rPr>
            </w:pPr>
            <w:r>
              <w:rPr>
                <w:rFonts w:ascii="Arial" w:cs="Arial" w:eastAsia="Arial" w:hAnsi="Arial"/>
                <w:sz w:val="18"/>
                <w:szCs w:val="18"/>
                <w:color w:val="auto"/>
              </w:rPr>
              <w:t>558,864</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Exercises</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(21,790)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Cancellations(1)</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(1,290,074)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19.57</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2,979,671</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13.87</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Grants</w:t>
            </w:r>
          </w:p>
        </w:tc>
        <w:tc>
          <w:tcPr>
            <w:tcW w:w="780" w:type="dxa"/>
            <w:vAlign w:val="bottom"/>
          </w:tcPr>
          <w:p>
            <w:pPr>
              <w:jc w:val="right"/>
              <w:spacing w:after="0"/>
              <w:rPr>
                <w:sz w:val="20"/>
                <w:szCs w:val="20"/>
                <w:color w:val="auto"/>
              </w:rPr>
            </w:pPr>
            <w:r>
              <w:rPr>
                <w:rFonts w:ascii="Arial" w:cs="Arial" w:eastAsia="Arial" w:hAnsi="Arial"/>
                <w:sz w:val="18"/>
                <w:szCs w:val="18"/>
                <w:color w:val="auto"/>
              </w:rPr>
              <w:t>56,000</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10.41</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Exercises</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(49,342)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Cancellations</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(221,994)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12.07</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2009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2,764,335</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14.03</w:t>
            </w: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2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3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Options cancelled as part of the Company’s shareholder-approved option exchange program, totaling 394,270 options, are included in the cancellation figure.</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summarizes the status of the Company’s nonvested restricted stock awards since June 30,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900" w:type="dxa"/>
            <w:vAlign w:val="bottom"/>
            <w:gridSpan w:val="6"/>
          </w:tcPr>
          <w:p>
            <w:pPr>
              <w:ind w:left="420"/>
              <w:spacing w:after="0"/>
              <w:rPr>
                <w:sz w:val="20"/>
                <w:szCs w:val="20"/>
                <w:color w:val="auto"/>
              </w:rPr>
            </w:pPr>
            <w:r>
              <w:rPr>
                <w:rFonts w:ascii="Arial" w:cs="Arial" w:eastAsia="Arial" w:hAnsi="Arial"/>
                <w:sz w:val="14"/>
                <w:szCs w:val="14"/>
                <w:b w:val="1"/>
                <w:bCs w:val="1"/>
                <w:color w:val="auto"/>
              </w:rPr>
              <w:t>Nonvested Restricted Stock Awards</w:t>
            </w: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2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1"/>
              </w:rPr>
              <w:t>Number of</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Fair Value</w:t>
            </w:r>
          </w:p>
        </w:tc>
        <w:tc>
          <w:tcPr>
            <w:tcW w:w="2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866,123</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13.18</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Granted(1)</w:t>
            </w:r>
          </w:p>
        </w:tc>
        <w:tc>
          <w:tcPr>
            <w:tcW w:w="700" w:type="dxa"/>
            <w:vAlign w:val="bottom"/>
          </w:tcPr>
          <w:p>
            <w:pPr>
              <w:jc w:val="right"/>
              <w:spacing w:after="0"/>
              <w:rPr>
                <w:sz w:val="20"/>
                <w:szCs w:val="20"/>
                <w:color w:val="auto"/>
              </w:rPr>
            </w:pPr>
            <w:r>
              <w:rPr>
                <w:rFonts w:ascii="Arial" w:cs="Arial" w:eastAsia="Arial" w:hAnsi="Arial"/>
                <w:sz w:val="18"/>
                <w:szCs w:val="18"/>
                <w:color w:val="auto"/>
              </w:rPr>
              <w:t>384,445</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(375,209)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(209,106)</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12.70</w:t>
            </w: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666,253</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541,931</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(152,417)</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(78,350)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7.65</w:t>
            </w: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2009</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977,417</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9.10</w:t>
            </w:r>
          </w:p>
        </w:tc>
        <w:tc>
          <w:tcPr>
            <w:tcW w:w="2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Awards issued as a result of the Company’s shareholder-approved option exchange program, totaling 153,545 awards, at a weighted-average fair value of $8.71, are included in the granted figure.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A</w:t>
      </w:r>
      <w:r>
        <w:rPr>
          <w:rFonts w:ascii="Arial" w:cs="Arial" w:eastAsia="Arial" w:hAnsi="Arial"/>
          <w:sz w:val="14"/>
          <w:szCs w:val="14"/>
          <w:color w:val="auto"/>
        </w:rPr>
        <w:t>SSUMPTIONS AND</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 xml:space="preserve">The Company recognized the full impact of its share-based payment plans in the consolidated statements of operations for the three and six months ended December 31, 2009 and 2008 in accordance with FASB ASC 718 (“FASB ASC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previously SFAS No. 123R,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share-based compensation expenses included in the Company’s consolidated statement of operations: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3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1"/>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2009</w:t>
            </w: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76"/>
              </w:rPr>
              <w:t>2008</w:t>
            </w:r>
          </w:p>
        </w:tc>
        <w:tc>
          <w:tcPr>
            <w:tcW w:w="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1,318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1,785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Share-based compensation expense before tax</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1,536</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2,339</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2,025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3,449</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Net compensation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1,536</w:t>
            </w:r>
          </w:p>
        </w:tc>
        <w:tc>
          <w:tcPr>
            <w:tcW w:w="5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2,339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2,025</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3,449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the weighted-average key assumptions and fair value results for stock options granted during the three and six month periods ended December 31, 2009 and 2008:</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7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88"/>
              </w:rPr>
              <w:t>Three Months Ended</w:t>
            </w:r>
          </w:p>
        </w:tc>
        <w:tc>
          <w:tcPr>
            <w:tcW w:w="360" w:type="dxa"/>
            <w:vAlign w:val="bottom"/>
          </w:tcPr>
          <w:p>
            <w:pPr>
              <w:spacing w:after="0"/>
              <w:rPr>
                <w:sz w:val="14"/>
                <w:szCs w:val="14"/>
                <w:color w:val="auto"/>
              </w:rPr>
            </w:pPr>
          </w:p>
        </w:tc>
        <w:tc>
          <w:tcPr>
            <w:tcW w:w="2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50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6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6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2009</w:t>
            </w:r>
          </w:p>
        </w:tc>
        <w:tc>
          <w:tcPr>
            <w:tcW w:w="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7.17</w:t>
            </w:r>
          </w:p>
        </w:tc>
        <w:tc>
          <w:tcPr>
            <w:tcW w:w="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2.97</w:t>
            </w:r>
          </w:p>
        </w:tc>
        <w:tc>
          <w:tcPr>
            <w:tcW w:w="1820" w:type="dxa"/>
            <w:vAlign w:val="bottom"/>
            <w:gridSpan w:val="3"/>
            <w:shd w:val="clear" w:color="auto" w:fill="CCEEFF"/>
          </w:tcPr>
          <w:p>
            <w:pPr>
              <w:jc w:val="right"/>
              <w:ind w:right="792"/>
              <w:spacing w:after="0"/>
              <w:rPr>
                <w:sz w:val="20"/>
                <w:szCs w:val="20"/>
                <w:color w:val="auto"/>
              </w:rPr>
            </w:pPr>
            <w:r>
              <w:rPr>
                <w:rFonts w:ascii="Arial" w:cs="Arial" w:eastAsia="Arial" w:hAnsi="Arial"/>
                <w:sz w:val="18"/>
                <w:szCs w:val="18"/>
                <w:color w:val="auto"/>
              </w:rPr>
              <w:t>$   7.17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Option life(1)</w:t>
            </w:r>
          </w:p>
        </w:tc>
        <w:tc>
          <w:tcPr>
            <w:tcW w:w="1100" w:type="dxa"/>
            <w:vAlign w:val="bottom"/>
            <w:gridSpan w:val="2"/>
          </w:tcPr>
          <w:p>
            <w:pPr>
              <w:jc w:val="right"/>
              <w:ind w:right="432"/>
              <w:spacing w:after="0"/>
              <w:rPr>
                <w:sz w:val="20"/>
                <w:szCs w:val="20"/>
                <w:color w:val="auto"/>
              </w:rPr>
            </w:pPr>
            <w:r>
              <w:rPr>
                <w:rFonts w:ascii="Arial" w:cs="Arial" w:eastAsia="Arial" w:hAnsi="Arial"/>
                <w:sz w:val="18"/>
                <w:szCs w:val="18"/>
                <w:color w:val="auto"/>
                <w:w w:val="98"/>
              </w:rPr>
              <w:t>5 years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83"/>
              </w:rPr>
              <w:t>5.5 years</w:t>
            </w:r>
          </w:p>
        </w:tc>
        <w:tc>
          <w:tcPr>
            <w:tcW w:w="360" w:type="dxa"/>
            <w:vAlign w:val="bottom"/>
          </w:tcPr>
          <w:p>
            <w:pPr>
              <w:spacing w:after="0"/>
              <w:rPr>
                <w:sz w:val="18"/>
                <w:szCs w:val="18"/>
                <w:color w:val="auto"/>
              </w:rPr>
            </w:pPr>
          </w:p>
        </w:tc>
        <w:tc>
          <w:tcPr>
            <w:tcW w:w="1460" w:type="dxa"/>
            <w:vAlign w:val="bottom"/>
            <w:gridSpan w:val="2"/>
          </w:tcPr>
          <w:p>
            <w:pPr>
              <w:jc w:val="right"/>
              <w:ind w:right="792"/>
              <w:spacing w:after="0"/>
              <w:rPr>
                <w:sz w:val="20"/>
                <w:szCs w:val="20"/>
                <w:color w:val="auto"/>
              </w:rPr>
            </w:pPr>
            <w:r>
              <w:rPr>
                <w:rFonts w:ascii="Arial" w:cs="Arial" w:eastAsia="Arial" w:hAnsi="Arial"/>
                <w:sz w:val="18"/>
                <w:szCs w:val="18"/>
                <w:color w:val="auto"/>
                <w:w w:val="98"/>
              </w:rPr>
              <w:t>5 years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5.5 years</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11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182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Stock volatility(3)</w:t>
            </w:r>
          </w:p>
        </w:tc>
        <w:tc>
          <w:tcPr>
            <w:tcW w:w="1100" w:type="dxa"/>
            <w:vAlign w:val="bottom"/>
            <w:gridSpan w:val="2"/>
          </w:tcPr>
          <w:p>
            <w:pPr>
              <w:jc w:val="right"/>
              <w:ind w:right="292"/>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57%</w:t>
            </w:r>
          </w:p>
        </w:tc>
        <w:tc>
          <w:tcPr>
            <w:tcW w:w="1820" w:type="dxa"/>
            <w:vAlign w:val="bottom"/>
            <w:gridSpan w:val="3"/>
          </w:tcPr>
          <w:p>
            <w:pPr>
              <w:jc w:val="right"/>
              <w:ind w:right="6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1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82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option life was determined based upon historical option activity.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risk-free interest rate for each grant is equal to the U.S. Treasury yield curve in effect at the time of grant for instruments with a similar expected life.</w:t>
      </w:r>
    </w:p>
    <w:p>
      <w:pPr>
        <w:spacing w:after="0" w:line="32" w:lineRule="exact"/>
        <w:rPr>
          <w:rFonts w:ascii="Arial" w:cs="Arial" w:eastAsia="Arial" w:hAnsi="Arial"/>
          <w:sz w:val="16"/>
          <w:szCs w:val="16"/>
          <w:color w:val="auto"/>
        </w:rPr>
      </w:pPr>
    </w:p>
    <w:p>
      <w:pPr>
        <w:ind w:left="460" w:right="4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stock volatility for each grant is measured using the weighted average of historical daily price changes of the Company’s common stock over the most recent period equal to the expected option life of the grant, the historical short-term trend of the option and other factors, such as expected changes in volatility arising from planned changes in the Company’s business operations.</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sets forth the weighted-average key assumptions and fair value results for employees’ stock purchase rights during the three and six month periods ended December 31, 2009 and 2008:</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2009</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01"/>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fair value of stock purchase rights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4"/>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8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9"/>
                <w:szCs w:val="19"/>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Option life</w:t>
            </w:r>
          </w:p>
        </w:tc>
        <w:tc>
          <w:tcPr>
            <w:tcW w:w="80" w:type="dxa"/>
            <w:vAlign w:val="bottom"/>
          </w:tcPr>
          <w:p>
            <w:pPr>
              <w:spacing w:after="0"/>
              <w:rPr>
                <w:sz w:val="18"/>
                <w:szCs w:val="18"/>
                <w:color w:val="auto"/>
              </w:rPr>
            </w:pPr>
          </w:p>
        </w:tc>
        <w:tc>
          <w:tcPr>
            <w:tcW w:w="1540" w:type="dxa"/>
            <w:vAlign w:val="bottom"/>
            <w:gridSpan w:val="2"/>
          </w:tcPr>
          <w:p>
            <w:pPr>
              <w:jc w:val="right"/>
              <w:ind w:right="812"/>
              <w:spacing w:after="0"/>
              <w:rPr>
                <w:sz w:val="20"/>
                <w:szCs w:val="20"/>
                <w:color w:val="auto"/>
              </w:rPr>
            </w:pPr>
            <w:r>
              <w:rPr>
                <w:rFonts w:ascii="Arial" w:cs="Arial" w:eastAsia="Arial" w:hAnsi="Arial"/>
                <w:sz w:val="18"/>
                <w:szCs w:val="18"/>
                <w:color w:val="auto"/>
                <w:w w:val="86"/>
              </w:rPr>
              <w:t>6 months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8"/>
                <w:szCs w:val="18"/>
                <w:color w:val="auto"/>
                <w:w w:val="86"/>
              </w:rPr>
              <w:t>6 months</w:t>
            </w:r>
          </w:p>
        </w:tc>
        <w:tc>
          <w:tcPr>
            <w:tcW w:w="100" w:type="dxa"/>
            <w:vAlign w:val="bottom"/>
          </w:tcPr>
          <w:p>
            <w:pPr>
              <w:spacing w:after="0"/>
              <w:rPr>
                <w:sz w:val="18"/>
                <w:szCs w:val="18"/>
                <w:color w:val="auto"/>
              </w:rPr>
            </w:pPr>
          </w:p>
        </w:tc>
        <w:tc>
          <w:tcPr>
            <w:tcW w:w="1560" w:type="dxa"/>
            <w:vAlign w:val="bottom"/>
            <w:gridSpan w:val="2"/>
          </w:tcPr>
          <w:p>
            <w:pPr>
              <w:jc w:val="right"/>
              <w:ind w:right="832"/>
              <w:spacing w:after="0"/>
              <w:rPr>
                <w:sz w:val="20"/>
                <w:szCs w:val="20"/>
                <w:color w:val="auto"/>
              </w:rPr>
            </w:pPr>
            <w:r>
              <w:rPr>
                <w:rFonts w:ascii="Arial" w:cs="Arial" w:eastAsia="Arial" w:hAnsi="Arial"/>
                <w:sz w:val="18"/>
                <w:szCs w:val="18"/>
                <w:color w:val="auto"/>
                <w:w w:val="86"/>
              </w:rPr>
              <w:t>6 months</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 months</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Stock volatility</w:t>
            </w:r>
          </w:p>
        </w:tc>
        <w:tc>
          <w:tcPr>
            <w:tcW w:w="80" w:type="dxa"/>
            <w:vAlign w:val="bottom"/>
          </w:tcPr>
          <w:p>
            <w:pPr>
              <w:spacing w:after="0"/>
              <w:rPr>
                <w:sz w:val="18"/>
                <w:szCs w:val="18"/>
                <w:color w:val="auto"/>
              </w:rPr>
            </w:pPr>
          </w:p>
        </w:tc>
        <w:tc>
          <w:tcPr>
            <w:tcW w:w="1540" w:type="dxa"/>
            <w:vAlign w:val="bottom"/>
            <w:gridSpan w:val="2"/>
          </w:tcPr>
          <w:p>
            <w:pPr>
              <w:jc w:val="right"/>
              <w:ind w:right="652"/>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560" w:type="dxa"/>
            <w:vAlign w:val="bottom"/>
            <w:gridSpan w:val="2"/>
          </w:tcPr>
          <w:p>
            <w:pPr>
              <w:jc w:val="right"/>
              <w:ind w:right="69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363"/>
        </w:trPr>
        <w:tc>
          <w:tcPr>
            <w:tcW w:w="4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ind w:left="50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Net Earnings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earnings (loss) per share: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(Loss) income from discontinued operations, net of income taxes</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(15,863)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2,071</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(17,064)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6,429</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net earnings (loss) per share—basic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22,500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22,450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Effect of dilutive stock options and restricted stock</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net earnings (loss) per share—diluted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22,870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22,806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22,318</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Net earnings (loss) per share—basic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0.09</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(0.77)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Weighted average equity instruments to purchase 1,701,110 and 2,048,525 shares of common stock were not included in the calculation of diluted net earnings (loss) per share for the three and six months ended December 31, 2009, respectively, because the equity instruments were anti-dilutive. Weighted average equity instruments to purchase 3,976,988 and 4,070,772 shares of common stock were not included in the calculation of diluted net earnings (loss) per share for the three and six months ended December 31, 2008, respectively, because the equity instruments were anti-dilutive. Additionally, the 4,135,000 shares which represented the securities contingently issuable under the Company’s then outstanding Convertible Senior Notes were not included in the diluted net income (loss) per share for the three and six months ended December 31, 2008 because the equity instruments were anti-dilutive. The Convertible Senior Notes were repurchased in full in fiscal 2009.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comprehensive income (loss)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6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(17,064)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(18,368)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adjustments</w:t>
            </w:r>
          </w:p>
        </w:tc>
        <w:tc>
          <w:tcPr>
            <w:tcW w:w="3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w w:val="99"/>
              </w:rPr>
              <w:t>Change in unrealized gain (loss) on marketable securities</w:t>
            </w:r>
          </w:p>
        </w:tc>
        <w:tc>
          <w:tcPr>
            <w:tcW w:w="2680" w:type="dxa"/>
            <w:vAlign w:val="bottom"/>
          </w:tcPr>
          <w:p>
            <w:pPr>
              <w:spacing w:after="0"/>
              <w:rPr>
                <w:sz w:val="18"/>
                <w:szCs w:val="18"/>
                <w:color w:val="auto"/>
              </w:rPr>
            </w:pPr>
          </w:p>
        </w:tc>
        <w:tc>
          <w:tcPr>
            <w:tcW w:w="50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income</w:t>
            </w:r>
          </w:p>
        </w:tc>
        <w:tc>
          <w:tcPr>
            <w:tcW w:w="26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Total comprehensive income (loss)</w:t>
            </w:r>
          </w:p>
        </w:tc>
        <w:tc>
          <w:tcPr>
            <w:tcW w:w="2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vMerge w:val="continue"/>
          </w:tcPr>
          <w:p>
            <w:pPr>
              <w:spacing w:after="0"/>
              <w:rPr>
                <w:sz w:val="19"/>
                <w:szCs w:val="19"/>
                <w:color w:val="auto"/>
              </w:rPr>
            </w:pPr>
          </w:p>
        </w:tc>
        <w:tc>
          <w:tcPr>
            <w:tcW w:w="3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2,029</w:t>
            </w: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(13,389)</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6,359</w:t>
            </w:r>
          </w:p>
        </w:tc>
        <w:tc>
          <w:tcPr>
            <w:tcW w:w="24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(17,682)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80" w:type="dxa"/>
            <w:vAlign w:val="bottom"/>
            <w:vMerge w:val="restart"/>
          </w:tcPr>
          <w:p>
            <w:pPr>
              <w:jc w:val="right"/>
              <w:ind w:right="1832"/>
              <w:spacing w:after="0"/>
              <w:rPr>
                <w:sz w:val="20"/>
                <w:szCs w:val="20"/>
                <w:color w:val="auto"/>
              </w:rPr>
            </w:pPr>
            <w:r>
              <w:rPr>
                <w:rFonts w:ascii="Arial" w:cs="Arial" w:eastAsia="Arial" w:hAnsi="Arial"/>
                <w:sz w:val="18"/>
                <w:szCs w:val="18"/>
                <w:color w:val="auto"/>
              </w:rPr>
              <w:t>13</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Marketable Securities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Company’s investments consist mainly of student loan auction rate securities (“ARS”). The ARS securities are all highly rated investments with AAA/Aaa ratings and are supported by the federal government as part of the Federal Family Education Loan Program and by private insurance companies. The ARS investments have contractual terms from 30 to 40 years, but generally have interest rate reset dates that occur every seven to 30 days. The auction mechanism generally allows existing investors to roll over their holdings and continue to own their securities or liquidate their holdings by selling their securities at par value.</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Beginning in mid-February 2008, auctions held for the Company’s ARS failed. As a result, the Company was not able to access these funds, and therefore, the ARS investments were determined to lack short-term liquidity and were classified as non-current in the consolidated balance sheet. In October 2008, the Company received a rights offering from UBS (the “offering”) in which the Company elected to participate. By electing to participate in the offering, the Company (1) received the right (“put option”) to sell these ARS back to UBS at par plus interest, at the Company’s sole discretion, during a two-year period beginning on June 30, 2010, and (2) received an option to borrow up to 75% of the fair value of the ARS. Upon borrowing against the ARS, the Company forgoes the interest income on the underlying ARS while the borrowings are outstanding and in return is not charged any interest expense. As the settlement date with UBS is within one year from the December 31, 2009 balance sheet date, and the Company intends to exercise the put option on June 30, 2010, the Company has classified the fair value of the ARS as current marketable securities. Following the fiscal 2010 sale of $850 of securities, the ARS had a par value of approximately $49,200 at December 31, 2009.</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At the time of the rights offering, the Company elected to measure the put option under the fair value option of FASB ASC 825-10 (“FASB ASC 825-10”), </w:t>
      </w:r>
      <w:r>
        <w:rPr>
          <w:rFonts w:ascii="Arial" w:cs="Arial" w:eastAsia="Arial" w:hAnsi="Arial"/>
          <w:sz w:val="16"/>
          <w:szCs w:val="16"/>
          <w:i w:val="1"/>
          <w:iCs w:val="1"/>
          <w:color w:val="auto"/>
        </w:rPr>
        <w:t>Financial Instruments</w:t>
      </w:r>
      <w:r>
        <w:rPr>
          <w:rFonts w:ascii="Arial" w:cs="Arial" w:eastAsia="Arial" w:hAnsi="Arial"/>
          <w:sz w:val="16"/>
          <w:szCs w:val="16"/>
          <w:color w:val="auto"/>
        </w:rPr>
        <w:t>, previously SFAS No. 159, and recorded income of $5,030, pre-tax, in fiscal 2009. The Company also transferred these ARS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available-for-sale to trading investment securities. As a result of this transfer, the Company recognized an impairment loss of $5,073, pre-tax, in fiscal 2009. The recording of the put option and the recognition of the impairment loss resulted in an immaterial impact to the consolidated statement of operations for fiscal 2009. The put option will continue to be measured at fair value utilizing Level 3 inputs, as described in FASB ASC 820, (“FASB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Disclosures, </w:t>
      </w:r>
      <w:r>
        <w:rPr>
          <w:rFonts w:ascii="Arial" w:cs="Arial" w:eastAsia="Arial" w:hAnsi="Arial"/>
          <w:sz w:val="16"/>
          <w:szCs w:val="16"/>
          <w:color w:val="auto"/>
        </w:rPr>
        <w:t>previously SFAS 157, until the earlier of its maturity or exercise (see Note H). Consistent with the ARS, the Company reclassified the put option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a non-current asset to current as of June 30, 2009. In accordance with FASB ASC 820, the Company re-measured the put option at December 31, 2009. The resulting valuation decreased the put option by $120 and $289 during the three and six month periods ended December 31, 2009. The difference between the change in value of the put option and the change in value of the ARS resulted in an immaterial impact to the consolidated statement of operations for the three and six month periods ended December 31, 2009. The following table summarizes the marketable securities of the Company as of December 31, 2009 and June 30, 2009:</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r>
      <w:tr>
        <w:trPr>
          <w:trHeight w:val="149"/>
        </w:trPr>
        <w:tc>
          <w:tcPr>
            <w:tcW w:w="47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5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Recognized</w:t>
            </w:r>
          </w:p>
        </w:tc>
        <w:tc>
          <w:tcPr>
            <w:tcW w:w="5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Recognized</w:t>
            </w: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w:t>
            </w:r>
          </w:p>
        </w:tc>
      </w:tr>
      <w:tr>
        <w:trPr>
          <w:trHeight w:val="161"/>
        </w:trPr>
        <w:tc>
          <w:tcPr>
            <w:tcW w:w="4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78"/>
              </w:rPr>
              <w:t>Losses</w:t>
            </w:r>
          </w:p>
        </w:tc>
        <w:tc>
          <w:tcPr>
            <w:tcW w:w="3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 Securities</w:t>
            </w:r>
          </w:p>
        </w:tc>
        <w:tc>
          <w:tcPr>
            <w:tcW w:w="24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DECEMBER 31, 2009</w:t>
            </w:r>
          </w:p>
        </w:tc>
        <w:tc>
          <w:tcPr>
            <w:tcW w:w="2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2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Auction rate securities</w:t>
            </w:r>
          </w:p>
        </w:tc>
        <w:tc>
          <w:tcPr>
            <w:tcW w:w="3020" w:type="dxa"/>
            <w:vAlign w:val="bottom"/>
            <w:gridSpan w:val="2"/>
          </w:tcPr>
          <w:p>
            <w:pPr>
              <w:jc w:val="center"/>
              <w:ind w:left="2312"/>
              <w:spacing w:after="0"/>
              <w:rPr>
                <w:sz w:val="20"/>
                <w:szCs w:val="20"/>
                <w:color w:val="auto"/>
              </w:rPr>
            </w:pPr>
            <w:r>
              <w:rPr>
                <w:rFonts w:ascii="Arial" w:cs="Arial" w:eastAsia="Arial" w:hAnsi="Arial"/>
                <w:sz w:val="18"/>
                <w:szCs w:val="18"/>
                <w:color w:val="auto"/>
                <w:w w:val="88"/>
              </w:rPr>
              <w:t>$ 49,234</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(4,790)</w:t>
            </w:r>
          </w:p>
        </w:tc>
        <w:tc>
          <w:tcPr>
            <w:tcW w:w="880" w:type="dxa"/>
            <w:vAlign w:val="bottom"/>
            <w:gridSpan w:val="2"/>
          </w:tcPr>
          <w:p>
            <w:pPr>
              <w:jc w:val="center"/>
              <w:ind w:left="2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44,444</w:t>
            </w:r>
          </w:p>
        </w:tc>
      </w:tr>
      <w:tr>
        <w:trPr>
          <w:trHeight w:val="20"/>
        </w:trPr>
        <w:tc>
          <w:tcPr>
            <w:tcW w:w="4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JUNE 30, 2009</w:t>
            </w:r>
          </w:p>
        </w:tc>
        <w:tc>
          <w:tcPr>
            <w:tcW w:w="2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2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Auction rate securities</w:t>
            </w:r>
          </w:p>
        </w:tc>
        <w:tc>
          <w:tcPr>
            <w:tcW w:w="3020" w:type="dxa"/>
            <w:vAlign w:val="bottom"/>
            <w:gridSpan w:val="2"/>
            <w:shd w:val="clear" w:color="auto" w:fill="CCEEFF"/>
          </w:tcPr>
          <w:p>
            <w:pPr>
              <w:jc w:val="center"/>
              <w:ind w:left="2312"/>
              <w:spacing w:after="0"/>
              <w:rPr>
                <w:sz w:val="20"/>
                <w:szCs w:val="20"/>
                <w:color w:val="auto"/>
              </w:rPr>
            </w:pPr>
            <w:r>
              <w:rPr>
                <w:rFonts w:ascii="Arial" w:cs="Arial" w:eastAsia="Arial" w:hAnsi="Arial"/>
                <w:sz w:val="18"/>
                <w:szCs w:val="18"/>
                <w:color w:val="auto"/>
                <w:w w:val="88"/>
              </w:rPr>
              <w:t>$ 50,062</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(5,085)</w:t>
            </w:r>
          </w:p>
        </w:tc>
        <w:tc>
          <w:tcPr>
            <w:tcW w:w="8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44,977</w:t>
            </w:r>
          </w:p>
        </w:tc>
      </w:tr>
      <w:tr>
        <w:trPr>
          <w:trHeight w:val="20"/>
        </w:trPr>
        <w:tc>
          <w:tcPr>
            <w:tcW w:w="4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Company’s investments in marketable securities consisted entirely of auction rate securities with maturities upwards of 40 years; however, as a result of the settlement noted above, the anticipated liquidation of these securities will occur less than one year from December 31, 2009. For the fiscal year ended June 30, 2009, realized gains and losses from the sale of available-for-sale securities were immaterial.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 of Financial Instruments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Company measures at fair value certain financial assets and liabilities, including cash equivalents, restricted cash and auction rate securities. FASB ASC 820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90" w:lineRule="exact"/>
        <w:rPr>
          <w:sz w:val="20"/>
          <w:szCs w:val="20"/>
          <w:color w:val="auto"/>
        </w:rPr>
      </w:pPr>
    </w:p>
    <w:p>
      <w:pPr>
        <w:ind w:left="920" w:right="300"/>
        <w:spacing w:after="0" w:line="332" w:lineRule="auto"/>
        <w:rPr>
          <w:sz w:val="20"/>
          <w:szCs w:val="20"/>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3—Valuations derived from valuation techniques in which one or more significant inputs or significant value drivers are unobservable.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fair value measurements as of December 31, 2009, for the Company’s financial instruments, including its 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Fair Value Measurements</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129"/>
        </w:trPr>
        <w:tc>
          <w:tcPr>
            <w:tcW w:w="77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61"/>
        </w:trPr>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4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3</w:t>
            </w: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43,449</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$43,449</w:t>
            </w:r>
          </w:p>
        </w:tc>
        <w:tc>
          <w:tcPr>
            <w:tcW w:w="640" w:type="dxa"/>
            <w:vAlign w:val="bottom"/>
            <w:gridSpan w:val="2"/>
          </w:tcPr>
          <w:p>
            <w:pPr>
              <w:jc w:val="right"/>
              <w:ind w:right="17"/>
              <w:spacing w:after="0"/>
              <w:rPr>
                <w:sz w:val="20"/>
                <w:szCs w:val="20"/>
                <w:color w:val="auto"/>
              </w:rPr>
            </w:pPr>
            <w:r>
              <w:rPr>
                <w:rFonts w:ascii="Arial" w:cs="Arial" w:eastAsia="Arial" w:hAnsi="Arial"/>
                <w:sz w:val="18"/>
                <w:szCs w:val="18"/>
                <w:color w:val="auto"/>
              </w:rPr>
              <w:t>$ —</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Auction rate securities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44,444</w:t>
            </w:r>
          </w:p>
        </w:tc>
        <w:tc>
          <w:tcPr>
            <w:tcW w:w="4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44,444</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Put option to sell auction rate securities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r>
      <w:tr>
        <w:trPr>
          <w:trHeight w:val="222"/>
        </w:trPr>
        <w:tc>
          <w:tcPr>
            <w:tcW w:w="774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95,634</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46,449</w:t>
            </w:r>
          </w:p>
        </w:tc>
        <w:tc>
          <w:tcPr>
            <w:tcW w:w="640" w:type="dxa"/>
            <w:vAlign w:val="bottom"/>
            <w:gridSpan w:val="2"/>
          </w:tcPr>
          <w:p>
            <w:pPr>
              <w:jc w:val="right"/>
              <w:ind w:right="17"/>
              <w:spacing w:after="0"/>
              <w:rPr>
                <w:sz w:val="20"/>
                <w:szCs w:val="20"/>
                <w:color w:val="auto"/>
              </w:rPr>
            </w:pPr>
            <w:r>
              <w:rPr>
                <w:rFonts w:ascii="Arial" w:cs="Arial" w:eastAsia="Arial" w:hAnsi="Arial"/>
                <w:sz w:val="18"/>
                <w:szCs w:val="18"/>
                <w:color w:val="auto"/>
              </w:rPr>
              <w:t>$ —</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49,185</w:t>
            </w: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fair values of the Company’s cash equivalents and restricted cash are determined through market, observable and corroborated sources. The volume and level of activity for these sources has been determined to be sufficient primarily due to the market being active, the quantity of recent transactions, pricing being current and no significant recent increases to certain risk factors, and as such, no adjustments to these sources were needed. The following table is a rollforward of the fair value of the Company’s auction rate securities and put option, whose fair values are determined by Level 3 inputs: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Fair Value</w:t>
            </w:r>
          </w:p>
        </w:tc>
      </w:tr>
      <w:tr>
        <w:trPr>
          <w:trHeight w:val="210"/>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2008</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$ 47,231</w:t>
            </w: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Recognition of change in put option</w:t>
            </w:r>
          </w:p>
        </w:tc>
        <w:tc>
          <w:tcPr>
            <w:tcW w:w="620" w:type="dxa"/>
            <w:vAlign w:val="bottom"/>
          </w:tcPr>
          <w:p>
            <w:pPr>
              <w:jc w:val="right"/>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Realized losses included in earnings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(5,073)</w:t>
            </w: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Redemption of ARS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temporary valuation adjustment included in comprehensive income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00" w:type="dxa"/>
            <w:vAlign w:val="bottom"/>
            <w:shd w:val="clear" w:color="auto" w:fill="CCEEFF"/>
          </w:tcPr>
          <w:p>
            <w:pPr>
              <w:spacing w:after="0"/>
              <w:rPr>
                <w:sz w:val="18"/>
                <w:szCs w:val="18"/>
                <w:color w:val="auto"/>
              </w:rPr>
            </w:pPr>
          </w:p>
        </w:tc>
      </w:tr>
      <w:tr>
        <w:trPr>
          <w:trHeight w:val="222"/>
        </w:trPr>
        <w:tc>
          <w:tcPr>
            <w:tcW w:w="9780" w:type="dxa"/>
            <w:vAlign w:val="bottom"/>
          </w:tcPr>
          <w:p>
            <w:pPr>
              <w:spacing w:after="0"/>
              <w:rPr>
                <w:sz w:val="20"/>
                <w:szCs w:val="20"/>
                <w:color w:val="auto"/>
              </w:rPr>
            </w:pPr>
            <w:r>
              <w:rPr>
                <w:rFonts w:ascii="Arial" w:cs="Arial" w:eastAsia="Arial" w:hAnsi="Arial"/>
                <w:sz w:val="18"/>
                <w:szCs w:val="18"/>
                <w:color w:val="auto"/>
              </w:rPr>
              <w:t>Balance at June 30, 2009</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$ 50,007</w:t>
            </w:r>
          </w:p>
        </w:tc>
        <w:tc>
          <w:tcPr>
            <w:tcW w:w="100" w:type="dxa"/>
            <w:vAlign w:val="bottom"/>
          </w:tcPr>
          <w:p>
            <w:pPr>
              <w:spacing w:after="0"/>
              <w:rPr>
                <w:sz w:val="19"/>
                <w:szCs w:val="19"/>
                <w:color w:val="auto"/>
              </w:rPr>
            </w:pPr>
          </w:p>
        </w:tc>
      </w:tr>
      <w:tr>
        <w:trPr>
          <w:trHeight w:val="217"/>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Recognition of change in put option</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Realized gains included in earnings</w:t>
            </w:r>
          </w:p>
        </w:tc>
        <w:tc>
          <w:tcPr>
            <w:tcW w:w="6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Redemption of ARS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r>
      <w:tr>
        <w:trPr>
          <w:trHeight w:val="222"/>
        </w:trPr>
        <w:tc>
          <w:tcPr>
            <w:tcW w:w="9780" w:type="dxa"/>
            <w:vAlign w:val="bottom"/>
          </w:tcPr>
          <w:p>
            <w:pPr>
              <w:spacing w:after="0"/>
              <w:rPr>
                <w:sz w:val="20"/>
                <w:szCs w:val="20"/>
                <w:color w:val="auto"/>
              </w:rPr>
            </w:pPr>
            <w:r>
              <w:rPr>
                <w:rFonts w:ascii="Arial" w:cs="Arial" w:eastAsia="Arial" w:hAnsi="Arial"/>
                <w:sz w:val="18"/>
                <w:szCs w:val="18"/>
                <w:color w:val="auto"/>
              </w:rPr>
              <w:t>Balance at December 31, 2009</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$ 49,185</w:t>
            </w:r>
          </w:p>
        </w:tc>
        <w:tc>
          <w:tcPr>
            <w:tcW w:w="100" w:type="dxa"/>
            <w:vAlign w:val="bottom"/>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carrying values of the ARS and related put option reflect changes in the fair value of the underlying securities, which is based on Level 3 unobservable inputs. These unobservable inputs consist of fair values that are provided by the Company’s broker on a monthly basis, which are corroborated by a discounted cash flow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analysis that the Company performs. The significant assumptions used by the Company in its analysis include interest rate spreads, credit quality, liquidity premiums and other inputs that are current as of the measurement date, including during periods of market dislocations, such as the recent illiquidity in the ARS market. When performing this analysis the Company notes and analyzes for reasonableness any changes in assumptions. Factors that could cause assumptions to change include fluctuations in consumer confidence, which can vary the Company’s credit risk discount factor and cause changes to other rates used in the analysis including the 3-month Libor rate. Since the October 2008 election to participate in the rights offering, there have been no material changes in the assumptions used by the Company in its discounted cash flow analysis.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Inventory</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 Inventory was comprised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4"/>
                <w:szCs w:val="14"/>
                <w:b w:val="1"/>
                <w:bCs w:val="1"/>
                <w:color w:val="auto"/>
                <w:w w:val="87"/>
              </w:rPr>
              <w:t>December 31,</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7,595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16,884</w:t>
            </w:r>
          </w:p>
        </w:tc>
        <w:tc>
          <w:tcPr>
            <w:tcW w:w="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16,805</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ind w:left="460"/>
              <w:spacing w:after="0"/>
              <w:rPr>
                <w:sz w:val="20"/>
                <w:szCs w:val="20"/>
                <w:color w:val="auto"/>
              </w:rPr>
            </w:pPr>
            <w:r>
              <w:rPr>
                <w:rFonts w:ascii="Arial" w:cs="Arial" w:eastAsia="Arial" w:hAnsi="Arial"/>
                <w:sz w:val="18"/>
                <w:szCs w:val="18"/>
                <w:color w:val="auto"/>
                <w:w w:val="94"/>
              </w:rPr>
              <w:t>There are no amounts in inventory relating to contracts having production cycles longer than one year.</w:t>
            </w: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1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J. Property and Equipment</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8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consisted of the following:</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56,709</w:t>
            </w: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6"/>
            <w:shd w:val="clear" w:color="auto" w:fill="CCEEFF"/>
          </w:tcPr>
          <w:p>
            <w:pPr>
              <w:jc w:val="right"/>
              <w:ind w:right="32"/>
              <w:spacing w:after="0"/>
              <w:rPr>
                <w:sz w:val="20"/>
                <w:szCs w:val="20"/>
                <w:color w:val="auto"/>
              </w:rPr>
            </w:pPr>
            <w:r>
              <w:rPr>
                <w:rFonts w:ascii="Arial" w:cs="Arial" w:eastAsia="Arial" w:hAnsi="Arial"/>
                <w:sz w:val="18"/>
                <w:szCs w:val="18"/>
                <w:color w:val="auto"/>
              </w:rPr>
              <w:t>$ 64,954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6,790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32"/>
              <w:spacing w:after="0"/>
              <w:rPr>
                <w:sz w:val="20"/>
                <w:szCs w:val="20"/>
                <w:color w:val="auto"/>
              </w:rPr>
            </w:pPr>
            <w:r>
              <w:rPr>
                <w:rFonts w:ascii="Arial" w:cs="Arial" w:eastAsia="Arial" w:hAnsi="Arial"/>
                <w:sz w:val="18"/>
                <w:szCs w:val="18"/>
                <w:color w:val="auto"/>
              </w:rPr>
              <w:t>6,800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597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2,274</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66,385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8"/>
              </w:rPr>
              <w:t>74,435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(58,102)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9"/>
              </w:rPr>
              <w:t>(66,475)</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7,960</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the three months ended December 31, 2009, the Company retired $10,852 of fully depreciated computer equipment and software assets that were no longer in use by the Company. This retirement was part of an on-going effort by the Company to review and identify all assets that are still in use by the Company, and to retire those that are not.</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Depreciation and amortization expense related to property and equipment for the three and six months ended December 31, 2009 was $1,222 and $2,476, respectively. Depreciation and amortization expense related to property and equipment for the three and six months ended December 31, 2008 was $1,440 and $2,940,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Operating Segment, Significant Customers and Geographic Information</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Operating segments are defined as components of an enterprise evaluated regularly by the Company’s senior management in deciding how to allocate resources and assess performance. Following the discontinuation and sale of the ES/PS businesses, the Biotech business, the VI business and the VSG business, the Company is organized in two business units. These reportable segments were determined based upon the nature of the products offered to customers, the market characteristics of each operating segment and the Company’s management structure:</w:t>
      </w:r>
    </w:p>
    <w:p>
      <w:pPr>
        <w:spacing w:after="0" w:line="32" w:lineRule="exact"/>
        <w:rPr>
          <w:sz w:val="20"/>
          <w:szCs w:val="20"/>
          <w:color w:val="auto"/>
        </w:rPr>
      </w:pPr>
    </w:p>
    <w:p>
      <w:pPr>
        <w:ind w:left="900" w:right="460" w:hanging="446"/>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Advanced Computing Solutions (“ACS”). This business unit is focused on specialized, high performance computing solutions with key market segments, including aerospace and defense, semiconductor, telecommunications and medical diagnostic imaging. This segment also provides software and customized design services to meet the specified requirements of military and commercial applications.</w:t>
      </w:r>
    </w:p>
    <w:p>
      <w:pPr>
        <w:spacing w:after="0" w:line="25" w:lineRule="exact"/>
        <w:rPr>
          <w:rFonts w:ascii="Arial" w:cs="Arial" w:eastAsia="Arial" w:hAnsi="Arial"/>
          <w:sz w:val="16"/>
          <w:szCs w:val="16"/>
          <w:color w:val="auto"/>
        </w:rPr>
      </w:pPr>
    </w:p>
    <w:p>
      <w:pPr>
        <w:ind w:left="900" w:right="20" w:hanging="446"/>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Mercury Federal Systems (“MFS”)</w:t>
      </w:r>
      <w:r>
        <w:rPr>
          <w:rFonts w:ascii="Arial" w:cs="Arial" w:eastAsia="Arial" w:hAnsi="Arial"/>
          <w:sz w:val="16"/>
          <w:szCs w:val="16"/>
          <w:i w:val="1"/>
          <w:iCs w:val="1"/>
          <w:color w:val="auto"/>
        </w:rPr>
        <w:t>.</w:t>
      </w:r>
      <w:r>
        <w:rPr>
          <w:rFonts w:ascii="Arial" w:cs="Arial" w:eastAsia="Arial" w:hAnsi="Arial"/>
          <w:sz w:val="16"/>
          <w:szCs w:val="16"/>
          <w:color w:val="auto"/>
        </w:rPr>
        <w:t xml:space="preserve"> Formerly referred to as the “Emerging Business Unit” segment, this business unit has historically been focused on the cultivation of new business opportunities that benefit from the Company’s capabilities across markets. Following the sale of the Biotech business and the shutdown of the Avionics and Unmanned Systems Group (“AUSG”) reporting unit, this business unit now solely consists of the Company’s wholly-owned subsidiary, Mercury Federal Systems, Inc. As such, beginning in the first quarter of fiscal 2010, this segment was renamed “Mercury Federal Systems (MFS)”. Current areas of focus include services and support work with federal intelligence agencies and homeland security programs including designing and engineering new ISR capabilities to address present and emerging threats to U.S. forces.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Prior year results have been reclassified for the discontinuation of the VI and VSG operating segments and for the sale of the Biotech business. These operating segments were reclassified into the discontinued operations line items on the consolidated balance sheets and consolidated statements of operations (see Note P).</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accounting policies of the reportable segments are the same as those described in “Note B: Summary of Significant Accounting Policies.” The profitability measure employed by the Company and its chief operating decision maker for making decisions about allocating resources to segments and assessing segment performance is income (loss) from operations prior to stock compensation expense. As such, stock-based compensation expense has been excluded from each operating segments’ income (loss) from operations below and reported separately to reconcile the reported segment income (loss) from operations to the consolidated operating income (loss) reported in the consolidated statements of operations. Additionally, asset information by reportable segment is not reported because the Company does not produce such information internally. The following is a summary of the performance of the Company’s operations by reportable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ACS</w:t>
            </w:r>
          </w:p>
        </w:tc>
        <w:tc>
          <w:tcPr>
            <w:tcW w:w="280" w:type="dxa"/>
            <w:vAlign w:val="bottom"/>
          </w:tcPr>
          <w:p>
            <w:pPr>
              <w:spacing w:after="0"/>
              <w:rPr>
                <w:sz w:val="14"/>
                <w:szCs w:val="14"/>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MFS</w:t>
            </w:r>
          </w:p>
        </w:tc>
        <w:tc>
          <w:tcPr>
            <w:tcW w:w="14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Expense</w:t>
            </w:r>
          </w:p>
        </w:tc>
        <w:tc>
          <w:tcPr>
            <w:tcW w:w="30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31, 2009</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$42,081</w:t>
            </w: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$3,077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$45,158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1,699</w:t>
            </w:r>
          </w:p>
        </w:tc>
        <w:tc>
          <w:tcPr>
            <w:tcW w:w="14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(1,965)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vMerge w:val="continue"/>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43,780</w:t>
            </w: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3,343</w:t>
            </w:r>
          </w:p>
        </w:tc>
        <w:tc>
          <w:tcPr>
            <w:tcW w:w="14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(1,965)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45,158</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3,088</w:t>
            </w:r>
          </w:p>
        </w:tc>
        <w:tc>
          <w:tcPr>
            <w:tcW w:w="14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7"/>
              </w:rPr>
              <w:t>(1,536)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1,651</w:t>
            </w: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08"/>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31, 2008</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$43,935</w:t>
            </w: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$1,159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$45,094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4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vMerge w:val="continue"/>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43,990</w:t>
            </w: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1,230</w:t>
            </w:r>
          </w:p>
        </w:tc>
        <w:tc>
          <w:tcPr>
            <w:tcW w:w="14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(126)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45,094</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1,751</w:t>
            </w: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7"/>
              </w:rPr>
              <w:t>(2,339)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22"/>
        </w:trPr>
        <w:tc>
          <w:tcPr>
            <w:tcW w:w="554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1,880</w:t>
            </w: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356"/>
        </w:trPr>
        <w:tc>
          <w:tcPr>
            <w:tcW w:w="5540" w:type="dxa"/>
            <w:vAlign w:val="bottom"/>
          </w:tcPr>
          <w:p>
            <w:pPr>
              <w:spacing w:after="0"/>
              <w:rPr>
                <w:sz w:val="24"/>
                <w:szCs w:val="24"/>
                <w:color w:val="auto"/>
              </w:rPr>
            </w:pPr>
          </w:p>
        </w:tc>
        <w:tc>
          <w:tcPr>
            <w:tcW w:w="580" w:type="dxa"/>
            <w:vAlign w:val="bottom"/>
          </w:tcPr>
          <w:p>
            <w:pPr>
              <w:jc w:val="right"/>
              <w:ind w:right="234"/>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ACS</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MFS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Expense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IX</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22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31, 2009</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2080" w:type="dxa"/>
            <w:vAlign w:val="bottom"/>
            <w:gridSpan w:val="3"/>
          </w:tcPr>
          <w:p>
            <w:pPr>
              <w:jc w:val="right"/>
              <w:ind w:right="280"/>
              <w:spacing w:after="0"/>
              <w:rPr>
                <w:sz w:val="20"/>
                <w:szCs w:val="20"/>
                <w:color w:val="auto"/>
              </w:rPr>
            </w:pPr>
            <w:r>
              <w:rPr>
                <w:rFonts w:ascii="Arial" w:cs="Arial" w:eastAsia="Arial" w:hAnsi="Arial"/>
                <w:sz w:val="18"/>
                <w:szCs w:val="18"/>
                <w:color w:val="auto"/>
              </w:rPr>
              <w:t>$86,440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$6,149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$92,589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(2,929)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89,033</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6,485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(2,929)</w:t>
            </w:r>
          </w:p>
        </w:tc>
        <w:tc>
          <w:tcPr>
            <w:tcW w:w="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92,589</w:t>
            </w:r>
          </w:p>
        </w:tc>
        <w:tc>
          <w:tcPr>
            <w:tcW w:w="0" w:type="dxa"/>
            <w:vAlign w:val="bottom"/>
          </w:tcPr>
          <w:p>
            <w:pPr>
              <w:spacing w:after="0"/>
              <w:rPr>
                <w:sz w:val="1"/>
                <w:szCs w:val="1"/>
                <w:color w:val="auto"/>
              </w:rPr>
            </w:pPr>
          </w:p>
        </w:tc>
      </w:tr>
      <w:tr>
        <w:trPr>
          <w:trHeight w:val="218"/>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2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8,694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194"/>
              <w:spacing w:after="0"/>
              <w:rPr>
                <w:sz w:val="20"/>
                <w:szCs w:val="20"/>
                <w:color w:val="auto"/>
              </w:rPr>
            </w:pPr>
            <w:r>
              <w:rPr>
                <w:rFonts w:ascii="Arial" w:cs="Arial" w:eastAsia="Arial" w:hAnsi="Arial"/>
                <w:sz w:val="18"/>
                <w:szCs w:val="18"/>
                <w:color w:val="auto"/>
                <w:w w:val="91"/>
              </w:rPr>
              <w:t>(2,025)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2080" w:type="dxa"/>
            <w:vAlign w:val="bottom"/>
            <w:gridSpan w:val="3"/>
          </w:tcPr>
          <w:p>
            <w:pPr>
              <w:jc w:val="right"/>
              <w:ind w:right="280"/>
              <w:spacing w:after="0"/>
              <w:rPr>
                <w:sz w:val="20"/>
                <w:szCs w:val="20"/>
                <w:color w:val="auto"/>
              </w:rPr>
            </w:pPr>
            <w:r>
              <w:rPr>
                <w:rFonts w:ascii="Arial" w:cs="Arial" w:eastAsia="Arial" w:hAnsi="Arial"/>
                <w:sz w:val="18"/>
                <w:szCs w:val="18"/>
                <w:color w:val="auto"/>
              </w:rPr>
              <w:t>3,332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IX</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31, 2008</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2080" w:type="dxa"/>
            <w:vAlign w:val="bottom"/>
            <w:gridSpan w:val="3"/>
          </w:tcPr>
          <w:p>
            <w:pPr>
              <w:jc w:val="right"/>
              <w:ind w:right="280"/>
              <w:spacing w:after="0"/>
              <w:rPr>
                <w:sz w:val="20"/>
                <w:szCs w:val="20"/>
                <w:color w:val="auto"/>
              </w:rPr>
            </w:pPr>
            <w:r>
              <w:rPr>
                <w:rFonts w:ascii="Arial" w:cs="Arial" w:eastAsia="Arial" w:hAnsi="Arial"/>
                <w:sz w:val="18"/>
                <w:szCs w:val="18"/>
                <w:color w:val="auto"/>
              </w:rPr>
              <w:t>$88,570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$1,364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$89,934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88,625</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1,505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89,934</w:t>
            </w:r>
          </w:p>
        </w:tc>
        <w:tc>
          <w:tcPr>
            <w:tcW w:w="0" w:type="dxa"/>
            <w:vAlign w:val="bottom"/>
          </w:tcPr>
          <w:p>
            <w:pPr>
              <w:spacing w:after="0"/>
              <w:rPr>
                <w:sz w:val="1"/>
                <w:szCs w:val="1"/>
                <w:color w:val="auto"/>
              </w:rPr>
            </w:pPr>
          </w:p>
        </w:tc>
      </w:tr>
      <w:tr>
        <w:trPr>
          <w:trHeight w:val="218"/>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2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4,815</w:t>
            </w:r>
          </w:p>
        </w:tc>
        <w:tc>
          <w:tcPr>
            <w:tcW w:w="10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194"/>
              <w:spacing w:after="0"/>
              <w:rPr>
                <w:sz w:val="20"/>
                <w:szCs w:val="20"/>
                <w:color w:val="auto"/>
              </w:rPr>
            </w:pPr>
            <w:r>
              <w:rPr>
                <w:rFonts w:ascii="Arial" w:cs="Arial" w:eastAsia="Arial" w:hAnsi="Arial"/>
                <w:sz w:val="18"/>
                <w:szCs w:val="18"/>
                <w:color w:val="auto"/>
                <w:w w:val="91"/>
              </w:rPr>
              <w:t>(3,449)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2"/>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2080" w:type="dxa"/>
            <w:vAlign w:val="bottom"/>
            <w:gridSpan w:val="3"/>
          </w:tcPr>
          <w:p>
            <w:pPr>
              <w:jc w:val="right"/>
              <w:ind w:right="280"/>
              <w:spacing w:after="0"/>
              <w:rPr>
                <w:sz w:val="20"/>
                <w:szCs w:val="20"/>
                <w:color w:val="auto"/>
              </w:rPr>
            </w:pPr>
            <w:r>
              <w:rPr>
                <w:rFonts w:ascii="Arial" w:cs="Arial" w:eastAsia="Arial" w:hAnsi="Arial"/>
                <w:sz w:val="18"/>
                <w:szCs w:val="18"/>
                <w:color w:val="auto"/>
              </w:rPr>
              <w:t>4,383</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4,396</w:t>
            </w:r>
          </w:p>
        </w:tc>
        <w:tc>
          <w:tcPr>
            <w:tcW w:w="0" w:type="dxa"/>
            <w:vAlign w:val="bottom"/>
          </w:tcPr>
          <w:p>
            <w:pPr>
              <w:spacing w:after="0"/>
              <w:rPr>
                <w:sz w:val="1"/>
                <w:szCs w:val="1"/>
                <w:color w:val="auto"/>
              </w:rPr>
            </w:pPr>
          </w:p>
        </w:tc>
      </w:tr>
      <w:tr>
        <w:trPr>
          <w:trHeight w:val="370"/>
        </w:trPr>
        <w:tc>
          <w:tcPr>
            <w:tcW w:w="8280" w:type="dxa"/>
            <w:vAlign w:val="bottom"/>
            <w:gridSpan w:val="13"/>
          </w:tcPr>
          <w:p>
            <w:pPr>
              <w:ind w:left="460"/>
              <w:spacing w:after="0"/>
              <w:rPr>
                <w:sz w:val="20"/>
                <w:szCs w:val="20"/>
                <w:color w:val="auto"/>
              </w:rPr>
            </w:pPr>
            <w:r>
              <w:rPr>
                <w:rFonts w:ascii="Arial" w:cs="Arial" w:eastAsia="Arial" w:hAnsi="Arial"/>
                <w:sz w:val="18"/>
                <w:szCs w:val="18"/>
                <w:color w:val="auto"/>
                <w:w w:val="89"/>
              </w:rPr>
              <w:t>The geographic distribution of the Company’s revenues from continuing operations is summarized as follows: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Asia</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4"/>
                <w:szCs w:val="14"/>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Europe</w:t>
            </w:r>
          </w:p>
        </w:tc>
        <w:tc>
          <w:tcPr>
            <w:tcW w:w="380" w:type="dxa"/>
            <w:vAlign w:val="bottom"/>
          </w:tcPr>
          <w:p>
            <w:pPr>
              <w:spacing w:after="0"/>
              <w:rPr>
                <w:sz w:val="14"/>
                <w:szCs w:val="14"/>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Pacific</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31, 2009</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5"/>
          </w:tcPr>
          <w:p>
            <w:pPr>
              <w:jc w:val="right"/>
              <w:ind w:right="220"/>
              <w:spacing w:after="0"/>
              <w:rPr>
                <w:sz w:val="20"/>
                <w:szCs w:val="20"/>
                <w:color w:val="auto"/>
              </w:rPr>
            </w:pPr>
            <w:r>
              <w:rPr>
                <w:rFonts w:ascii="Arial" w:cs="Arial" w:eastAsia="Arial" w:hAnsi="Arial"/>
                <w:sz w:val="18"/>
                <w:szCs w:val="18"/>
                <w:color w:val="auto"/>
              </w:rPr>
              <w:t>$38,450</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$2,598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4,110</w:t>
            </w:r>
          </w:p>
        </w:tc>
        <w:tc>
          <w:tcPr>
            <w:tcW w:w="4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$45,158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(4,316)</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42,642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2,648</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4,184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ind w:left="160"/>
              <w:spacing w:after="0"/>
              <w:rPr>
                <w:sz w:val="20"/>
                <w:szCs w:val="20"/>
                <w:color w:val="auto"/>
              </w:rPr>
            </w:pPr>
            <w:r>
              <w:rPr>
                <w:rFonts w:ascii="Arial" w:cs="Arial" w:eastAsia="Arial" w:hAnsi="Arial"/>
                <w:sz w:val="18"/>
                <w:szCs w:val="18"/>
                <w:color w:val="auto"/>
              </w:rPr>
              <w:t>(4,316)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45,158</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31, 2008</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5"/>
          </w:tcPr>
          <w:p>
            <w:pPr>
              <w:jc w:val="right"/>
              <w:ind w:right="220"/>
              <w:spacing w:after="0"/>
              <w:rPr>
                <w:sz w:val="20"/>
                <w:szCs w:val="20"/>
                <w:color w:val="auto"/>
              </w:rPr>
            </w:pPr>
            <w:r>
              <w:rPr>
                <w:rFonts w:ascii="Arial" w:cs="Arial" w:eastAsia="Arial" w:hAnsi="Arial"/>
                <w:sz w:val="18"/>
                <w:szCs w:val="18"/>
                <w:color w:val="auto"/>
              </w:rPr>
              <w:t>$42,668</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$1,628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798</w:t>
            </w:r>
          </w:p>
        </w:tc>
        <w:tc>
          <w:tcPr>
            <w:tcW w:w="140" w:type="dxa"/>
            <w:vAlign w:val="bottom"/>
          </w:tcPr>
          <w:p>
            <w:pPr>
              <w:spacing w:after="0"/>
              <w:rPr>
                <w:sz w:val="18"/>
                <w:szCs w:val="18"/>
                <w:color w:val="auto"/>
              </w:rPr>
            </w:pPr>
          </w:p>
        </w:tc>
        <w:tc>
          <w:tcPr>
            <w:tcW w:w="4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$45,094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(2,339)</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44,524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1,929</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ind w:left="160"/>
              <w:spacing w:after="0"/>
              <w:rPr>
                <w:sz w:val="20"/>
                <w:szCs w:val="20"/>
                <w:color w:val="auto"/>
              </w:rPr>
            </w:pPr>
            <w:r>
              <w:rPr>
                <w:rFonts w:ascii="Arial" w:cs="Arial" w:eastAsia="Arial" w:hAnsi="Arial"/>
                <w:sz w:val="18"/>
                <w:szCs w:val="18"/>
                <w:color w:val="auto"/>
              </w:rPr>
              <w:t>(2,339)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45,094</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IX</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31, 2009</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5"/>
          </w:tcPr>
          <w:p>
            <w:pPr>
              <w:jc w:val="right"/>
              <w:ind w:right="220"/>
              <w:spacing w:after="0"/>
              <w:rPr>
                <w:sz w:val="20"/>
                <w:szCs w:val="20"/>
                <w:color w:val="auto"/>
              </w:rPr>
            </w:pPr>
            <w:r>
              <w:rPr>
                <w:rFonts w:ascii="Arial" w:cs="Arial" w:eastAsia="Arial" w:hAnsi="Arial"/>
                <w:sz w:val="18"/>
                <w:szCs w:val="18"/>
                <w:color w:val="auto"/>
              </w:rPr>
              <w:t>$82,988</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$4,351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5,250</w:t>
            </w:r>
          </w:p>
        </w:tc>
        <w:tc>
          <w:tcPr>
            <w:tcW w:w="140" w:type="dxa"/>
            <w:vAlign w:val="bottom"/>
          </w:tcPr>
          <w:p>
            <w:pPr>
              <w:spacing w:after="0"/>
              <w:rPr>
                <w:sz w:val="18"/>
                <w:szCs w:val="18"/>
                <w:color w:val="auto"/>
              </w:rPr>
            </w:pPr>
          </w:p>
        </w:tc>
        <w:tc>
          <w:tcPr>
            <w:tcW w:w="4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$92,589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(6,310)</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89,043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4,471</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5,385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ind w:left="160"/>
              <w:spacing w:after="0"/>
              <w:rPr>
                <w:sz w:val="20"/>
                <w:szCs w:val="20"/>
                <w:color w:val="auto"/>
              </w:rPr>
            </w:pPr>
            <w:r>
              <w:rPr>
                <w:rFonts w:ascii="Arial" w:cs="Arial" w:eastAsia="Arial" w:hAnsi="Arial"/>
                <w:sz w:val="18"/>
                <w:szCs w:val="18"/>
                <w:color w:val="auto"/>
              </w:rPr>
              <w:t>(6,310)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92,589</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IX</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31, 2008</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5"/>
          </w:tcPr>
          <w:p>
            <w:pPr>
              <w:jc w:val="right"/>
              <w:ind w:right="220"/>
              <w:spacing w:after="0"/>
              <w:rPr>
                <w:sz w:val="20"/>
                <w:szCs w:val="20"/>
                <w:color w:val="auto"/>
              </w:rPr>
            </w:pPr>
            <w:r>
              <w:rPr>
                <w:rFonts w:ascii="Arial" w:cs="Arial" w:eastAsia="Arial" w:hAnsi="Arial"/>
                <w:sz w:val="18"/>
                <w:szCs w:val="18"/>
                <w:color w:val="auto"/>
              </w:rPr>
              <w:t>$85,198</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$3,635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1,101</w:t>
            </w:r>
          </w:p>
        </w:tc>
        <w:tc>
          <w:tcPr>
            <w:tcW w:w="140" w:type="dxa"/>
            <w:vAlign w:val="bottom"/>
          </w:tcPr>
          <w:p>
            <w:pPr>
              <w:spacing w:after="0"/>
              <w:rPr>
                <w:sz w:val="18"/>
                <w:szCs w:val="18"/>
                <w:color w:val="auto"/>
              </w:rPr>
            </w:pPr>
          </w:p>
        </w:tc>
        <w:tc>
          <w:tcPr>
            <w:tcW w:w="4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$89,934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(3,997)</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88,576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4,070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1,285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ind w:left="160"/>
              <w:spacing w:after="0"/>
              <w:rPr>
                <w:sz w:val="20"/>
                <w:szCs w:val="20"/>
                <w:color w:val="auto"/>
              </w:rPr>
            </w:pPr>
            <w:r>
              <w:rPr>
                <w:rFonts w:ascii="Arial" w:cs="Arial" w:eastAsia="Arial" w:hAnsi="Arial"/>
                <w:sz w:val="18"/>
                <w:szCs w:val="18"/>
                <w:color w:val="auto"/>
              </w:rPr>
              <w:t>(3,997)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89,934</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long-lived assets from continuing operations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42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Europe</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3"/>
              </w:rPr>
              <w:t>Asia Pacific</w:t>
            </w:r>
          </w:p>
        </w:tc>
        <w:tc>
          <w:tcPr>
            <w:tcW w:w="44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86"/>
              </w:rPr>
              <w:t>Eliminations</w:t>
            </w:r>
          </w:p>
        </w:tc>
        <w:tc>
          <w:tcPr>
            <w:tcW w:w="440" w:type="dxa"/>
            <w:vAlign w:val="bottom"/>
          </w:tcPr>
          <w:p>
            <w:pPr>
              <w:spacing w:after="0"/>
              <w:rPr>
                <w:sz w:val="14"/>
                <w:szCs w:val="14"/>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33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11,320</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7"/>
              </w:rPr>
              <w:t>12,006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June 30, 2009</w:t>
            </w:r>
          </w:p>
        </w:tc>
        <w:tc>
          <w:tcPr>
            <w:tcW w:w="3860" w:type="dxa"/>
            <w:vAlign w:val="bottom"/>
            <w:gridSpan w:val="2"/>
          </w:tcPr>
          <w:p>
            <w:pPr>
              <w:jc w:val="center"/>
              <w:ind w:left="3292"/>
              <w:spacing w:after="0"/>
              <w:rPr>
                <w:sz w:val="20"/>
                <w:szCs w:val="20"/>
                <w:color w:val="auto"/>
              </w:rPr>
            </w:pPr>
            <w:r>
              <w:rPr>
                <w:rFonts w:ascii="Arial" w:cs="Arial" w:eastAsia="Arial" w:hAnsi="Arial"/>
                <w:sz w:val="18"/>
                <w:szCs w:val="18"/>
                <w:color w:val="auto"/>
                <w:w w:val="87"/>
              </w:rPr>
              <w:t>10,906</w:t>
            </w:r>
          </w:p>
        </w:tc>
        <w:tc>
          <w:tcPr>
            <w:tcW w:w="420" w:type="dxa"/>
            <w:vAlign w:val="bottom"/>
          </w:tcPr>
          <w:p>
            <w:pPr>
              <w:spacing w:after="0"/>
              <w:rPr>
                <w:sz w:val="19"/>
                <w:szCs w:val="19"/>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680" w:type="dxa"/>
            <w:vAlign w:val="bottom"/>
          </w:tcPr>
          <w:p>
            <w:pPr>
              <w:jc w:val="right"/>
              <w:spacing w:after="0"/>
              <w:rPr>
                <w:sz w:val="20"/>
                <w:szCs w:val="20"/>
                <w:color w:val="auto"/>
              </w:rPr>
            </w:pPr>
            <w:r>
              <w:rPr>
                <w:rFonts w:ascii="Arial" w:cs="Arial" w:eastAsia="Arial" w:hAnsi="Arial"/>
                <w:sz w:val="18"/>
                <w:szCs w:val="18"/>
                <w:color w:val="auto"/>
              </w:rPr>
              <w:t>620</w:t>
            </w:r>
          </w:p>
        </w:tc>
        <w:tc>
          <w:tcPr>
            <w:tcW w:w="44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left="352"/>
              <w:spacing w:after="0"/>
              <w:rPr>
                <w:sz w:val="20"/>
                <w:szCs w:val="20"/>
                <w:color w:val="auto"/>
              </w:rPr>
            </w:pPr>
            <w:r>
              <w:rPr>
                <w:rFonts w:ascii="Arial" w:cs="Arial" w:eastAsia="Arial" w:hAnsi="Arial"/>
                <w:sz w:val="18"/>
                <w:szCs w:val="18"/>
                <w:color w:val="auto"/>
                <w:w w:val="87"/>
              </w:rPr>
              <w:t>11,571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3500" w:type="dxa"/>
            <w:vAlign w:val="bottom"/>
          </w:tcPr>
          <w:p>
            <w:pPr>
              <w:spacing w:after="0"/>
              <w:rPr>
                <w:sz w:val="24"/>
                <w:szCs w:val="24"/>
                <w:color w:val="auto"/>
              </w:rPr>
            </w:pPr>
          </w:p>
        </w:tc>
        <w:tc>
          <w:tcPr>
            <w:tcW w:w="3360" w:type="dxa"/>
            <w:vAlign w:val="bottom"/>
          </w:tcPr>
          <w:p>
            <w:pPr>
              <w:jc w:val="right"/>
              <w:ind w:right="972"/>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Identifiable long-lived assets exclude goodwill, intangible assets, deferred tax accounts, marketable securities, investments in subsidiaries and investments in other entities.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40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89"/>
              </w:rPr>
              <w:t>Three Months Ended</w:t>
            </w:r>
          </w:p>
        </w:tc>
        <w:tc>
          <w:tcPr>
            <w:tcW w:w="1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4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2008</w:t>
            </w:r>
          </w:p>
        </w:tc>
        <w:tc>
          <w:tcPr>
            <w:tcW w:w="7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 (ACS)</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14.2%</w:t>
            </w:r>
          </w:p>
        </w:tc>
        <w:tc>
          <w:tcPr>
            <w:tcW w:w="11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93"/>
              </w:rPr>
              <w:t>24.2%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13.1%</w:t>
            </w: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Customer B (ACS)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19.1</w:t>
            </w: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11.9</w:t>
            </w: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 (ACS)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13.4</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16.3</w:t>
            </w:r>
          </w:p>
        </w:tc>
        <w:tc>
          <w:tcPr>
            <w:tcW w:w="2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Customer D (ACS)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10.0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 (ACS)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10.4</w:t>
            </w:r>
          </w:p>
        </w:tc>
        <w:tc>
          <w:tcPr>
            <w:tcW w:w="2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33.3%</w:t>
            </w:r>
          </w:p>
        </w:tc>
        <w:tc>
          <w:tcPr>
            <w:tcW w:w="1100" w:type="dxa"/>
            <w:vAlign w:val="bottom"/>
            <w:gridSpan w:val="2"/>
          </w:tcPr>
          <w:p>
            <w:pPr>
              <w:jc w:val="right"/>
              <w:ind w:right="532"/>
              <w:spacing w:after="0"/>
              <w:rPr>
                <w:sz w:val="20"/>
                <w:szCs w:val="20"/>
                <w:color w:val="auto"/>
              </w:rPr>
            </w:pPr>
            <w:r>
              <w:rPr>
                <w:rFonts w:ascii="Arial" w:cs="Arial" w:eastAsia="Arial" w:hAnsi="Arial"/>
                <w:sz w:val="18"/>
                <w:szCs w:val="18"/>
                <w:color w:val="auto"/>
                <w:w w:val="93"/>
              </w:rPr>
              <w:t>47.6%</w:t>
            </w:r>
          </w:p>
        </w:tc>
        <w:tc>
          <w:tcPr>
            <w:tcW w:w="8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w w:val="96"/>
              </w:rPr>
              <w:t>51.7 %</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Although the Company typically has several customers from which it derives 10% or more of its revenue, the sales to each of these customers are spread across multiple programs and platforms. In both the three and six months ended December 31, 2009, there were no programs that individually comprised 10% or more of the Company’s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Goodwill and Acquired Intangible Assets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carrying amount of goodwill at December 31, 2009 and June 30, 2009 was $57,653. In the six months ended December 31, 2009, there were no triggering events, as defined by FASB ASC 350, which required an interim goodwill impairment test. The Company performs its annual goodwill impairment test in the fourth quarter of each fiscal year.</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which, following the divestiture of the VI and VSG operating segments, includes the ACS and the MFS operating segments. As of June 30, 2009, ACS was the only reporting unit that had a goodwill balance, and as such, the annual impairment analysis was performed for this reporting unit only.</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tests goodwill for impairment annually by evaluating the fair value of the reporting unit as compared to the book value. If the book value of the reporting unit exceeds its fair value, the implied fair value of goodwill is compared with the carrying amount of goodwill. If the carrying amount of goodwill exceeds the implied fair value, an impairment loss is recorded in an amount equal to that excess. For fiscal 2009, this evaluation was performed in the Company’s fourth quarter. The evaluation was performed consistent with prior years and relied on a discounted cash flow analysis, which was corroborated by two market-based analyses: one evaluated guideline companies and another that reviewed comparable transactions. For each analysis performed, the fair value of the reporting unit was deemed to be in excess of the book value. The Company also compared the fair value per the discounted cash flow analysis to the Company’s market cap, noting the market cap was greater than the fair value of the reporting unit. As such, as of June 30, 2009, goodwill was determined to be appropriately valued, and no impairment charge was recorded.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intangible assets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Net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74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4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Useful</w:t>
            </w:r>
          </w:p>
        </w:tc>
      </w:tr>
      <w:tr>
        <w:trPr>
          <w:trHeight w:val="161"/>
        </w:trPr>
        <w:tc>
          <w:tcPr>
            <w:tcW w:w="7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Amount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31, 2009</w:t>
            </w: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Completed technology</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$14,030</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(14,030)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3.2 years</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(6,273)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5.2 years</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Licensing agreements, trademarks and patents</w:t>
            </w:r>
          </w:p>
        </w:tc>
        <w:tc>
          <w:tcPr>
            <w:tcW w:w="580" w:type="dxa"/>
            <w:vAlign w:val="bottom"/>
          </w:tcPr>
          <w:p>
            <w:pPr>
              <w:jc w:val="right"/>
              <w:spacing w:after="0"/>
              <w:rPr>
                <w:sz w:val="20"/>
                <w:szCs w:val="20"/>
                <w:color w:val="auto"/>
              </w:rPr>
            </w:pPr>
            <w:r>
              <w:rPr>
                <w:rFonts w:ascii="Arial" w:cs="Arial" w:eastAsia="Arial" w:hAnsi="Arial"/>
                <w:sz w:val="18"/>
                <w:szCs w:val="18"/>
                <w:color w:val="auto"/>
              </w:rPr>
              <w:t>3,514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(2,833)</w:t>
            </w: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681</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4.6 years</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365</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 years</w:t>
            </w:r>
          </w:p>
        </w:tc>
      </w:tr>
      <w:tr>
        <w:trPr>
          <w:trHeight w:val="20"/>
        </w:trPr>
        <w:tc>
          <w:tcPr>
            <w:tcW w:w="7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2"/>
        </w:trPr>
        <w:tc>
          <w:tcPr>
            <w:tcW w:w="7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25,314</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(23,271)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2,043</w:t>
            </w:r>
          </w:p>
        </w:tc>
        <w:tc>
          <w:tcPr>
            <w:tcW w:w="64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1"/>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UNE</w:t>
            </w:r>
            <w:r>
              <w:rPr>
                <w:rFonts w:ascii="Arial" w:cs="Arial" w:eastAsia="Arial" w:hAnsi="Arial"/>
                <w:sz w:val="18"/>
                <w:szCs w:val="18"/>
                <w:color w:val="auto"/>
              </w:rPr>
              <w:t xml:space="preserve"> 30, 2009</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Completed technology</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$14,030</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(14,021)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3.2 years</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(5,585)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1,685</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5.2 years</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Licensing agreements, trademarks and patents</w:t>
            </w:r>
          </w:p>
        </w:tc>
        <w:tc>
          <w:tcPr>
            <w:tcW w:w="580" w:type="dxa"/>
            <w:vAlign w:val="bottom"/>
          </w:tcPr>
          <w:p>
            <w:pPr>
              <w:jc w:val="right"/>
              <w:spacing w:after="0"/>
              <w:rPr>
                <w:sz w:val="20"/>
                <w:szCs w:val="20"/>
                <w:color w:val="auto"/>
              </w:rPr>
            </w:pPr>
            <w:r>
              <w:rPr>
                <w:rFonts w:ascii="Arial" w:cs="Arial" w:eastAsia="Arial" w:hAnsi="Arial"/>
                <w:sz w:val="18"/>
                <w:szCs w:val="18"/>
                <w:color w:val="auto"/>
              </w:rPr>
              <w:t>3,506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806</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4.6 years</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 years</w:t>
            </w:r>
          </w:p>
        </w:tc>
      </w:tr>
      <w:tr>
        <w:trPr>
          <w:trHeight w:val="20"/>
        </w:trPr>
        <w:tc>
          <w:tcPr>
            <w:tcW w:w="7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2"/>
        </w:trPr>
        <w:tc>
          <w:tcPr>
            <w:tcW w:w="7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25,306</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(22,395)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2,911</w:t>
            </w:r>
          </w:p>
        </w:tc>
        <w:tc>
          <w:tcPr>
            <w:tcW w:w="64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Estimated future amortization expense for acquired intangible assets remaining at December 31, 2009 is $868 for fiscal 2010, $600 for fiscal 2011, $256 for fiscal 2012, $256 for fiscal 2013, and $63 for fiscal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June 30,</w:t>
            </w:r>
          </w:p>
        </w:tc>
      </w:tr>
      <w:tr>
        <w:trPr>
          <w:trHeight w:val="161"/>
        </w:trPr>
        <w:tc>
          <w:tcPr>
            <w:tcW w:w="8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line of credit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32,716</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33,364</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Other notes payable and capital lease obligations</w:t>
            </w:r>
          </w:p>
        </w:tc>
        <w:tc>
          <w:tcPr>
            <w:tcW w:w="1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(32,716)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(33,408)</w:t>
            </w:r>
          </w:p>
        </w:tc>
      </w:tr>
      <w:tr>
        <w:trPr>
          <w:trHeight w:val="222"/>
        </w:trPr>
        <w:tc>
          <w:tcPr>
            <w:tcW w:w="8240" w:type="dxa"/>
            <w:vAlign w:val="bottom"/>
          </w:tcPr>
          <w:p>
            <w:pPr>
              <w:spacing w:after="0"/>
              <w:rPr>
                <w:sz w:val="20"/>
                <w:szCs w:val="20"/>
                <w:color w:val="auto"/>
              </w:rPr>
            </w:pPr>
            <w:r>
              <w:rPr>
                <w:rFonts w:ascii="Arial" w:cs="Arial" w:eastAsia="Arial" w:hAnsi="Arial"/>
                <w:sz w:val="18"/>
                <w:szCs w:val="18"/>
                <w:color w:val="auto"/>
              </w:rPr>
              <w:t>Total non-current notes payable and capital lease obligations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Borrowings Under Line of Credit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October 2008, the Company received a rights offering from UBS (the “offering”) in which the Company has elected to participate. By electing to participate in the offering, the Company (1) received the right to sell the ARS back to UBS at par plus interest, at the Company’s sole discretion, during a two-year period beginning on June 30, 2010, and (2) received an option to borrow up to 75% of the fair value of the ARS at no cost. Upon borrowing against the ARS, the Company would forgo the interest income on the underlying ARS, while the borrowings are outstanding. The line of credit included in the offering replaced the Company’s previous margin loan facility with UBS. As of December 31, 2009, the Company had $32,716 outstanding against this line of credit, collateralized by the $49,200 par value of the ARS.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Company is subject to legal proceedings, claims and tax audits that arise in the ordinary course of business. The Company does not believe the outcome of these matters will have a material adverse effect on its financial position, results of operations or cash flows.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connection with the divestitures of the Company’s former VI, VSG, Biotech and ES/PS businesses, the Company provided indemnification to the buyers of the respective businesses. The Company’s indemnification obligations generally cover the buyers for damages resulting from breaches of representations, warranties and covenants contained in the applicable purchase and sale agreement and generally cover pre-closing tax liabilities of the divested businesses. In addition, the Company agreed to indemnify the buyer of the VI business for certain post-closing employee severance expenses. The total paid to the buyer under this obligation was $344. As of December 31, 2009, this obligation is considered closed. The Company’s indemnification obligations regarding the divested businesses are generally subject to caps on the Company’s obligations.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UARANTEES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part of the sale of the VSG business reported as discontinued operations in fiscal 2009, the Company made certain guarantees to the buyer in regards to retention bonuses to be paid by the buyer if certain VSG employees remain employed with the buyer in accordance with the terms of their severance agreements, typically six months from the closing date. The Company estimated the obligation against this guarantee to be approximately $730 and accrued this amount as of June 30, 2009. The Company settled this obligation in December 2009, upon the remittance of $715 to the buyer. As of December 31, 2009, there were no outstanding guarantees with the buyer.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purchase obligations typically represent open non-cancelable purchase commitments for certain inventory components and services used in normal operations. At December 31, 2009, the purchase commitments covered by these agreements were for less than one year and aggregated approximately $27,790.</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September 2006, the Company entered into a supply agreement with a third-party vendor to purchase certain inventory parts that went “end of life.” This supply agreement, as subsequently amended, commits the vendor to acquiring and storing approximately $6,500 of inventory until August 31, 2012 and allows the Company to place orders for the inventory four times a year. Upon the earlier of January 31, 2007 or completion of the wafer fabrication process, the Company was required to and paid approximately $1,900 of the $6,500. Further, upon expiration of the agreement on August 31, 2012, if the Company does not purchase the full $6,500 in inventory, it may be required to pay a penalty equal to 35% of the remaining inventory balance. As of December 31, 2009, the remaining minimum commitment related to this agreement was $1,817, which is the 35% penalty on the remaining inventory balance.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R</w:t>
      </w:r>
      <w:r>
        <w:rPr>
          <w:rFonts w:ascii="Arial" w:cs="Arial" w:eastAsia="Arial" w:hAnsi="Arial"/>
          <w:sz w:val="14"/>
          <w:szCs w:val="14"/>
          <w:color w:val="auto"/>
        </w:rPr>
        <w:t>EPURCHASE</w:t>
      </w:r>
      <w:r>
        <w:rPr>
          <w:rFonts w:ascii="Arial" w:cs="Arial" w:eastAsia="Arial" w:hAnsi="Arial"/>
          <w:sz w:val="18"/>
          <w:szCs w:val="18"/>
          <w:color w:val="auto"/>
        </w:rPr>
        <w:t xml:space="preserve"> P</w:t>
      </w:r>
      <w:r>
        <w:rPr>
          <w:rFonts w:ascii="Arial" w:cs="Arial" w:eastAsia="Arial" w:hAnsi="Arial"/>
          <w:sz w:val="14"/>
          <w:szCs w:val="14"/>
          <w:color w:val="auto"/>
        </w:rPr>
        <w:t>ROGRAM</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may reacquire shares in connection with the surrender of shares to cover the minimum taxes on vesting of restricted stock. During the three and six months ended December 31, 2009, 13,153 and 36,409 shares were reacquired in such transactions, respectively, for a total cost of $142 and $367, respectively. During the three and six months ended December 31, 2008, 14,497 and 41,735 shares were acquired in such transactions, respectively, for a total cost of $58 and $297,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Discontinued Operations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June 2009, the Company closed on the sale of the VSG operating segment for gross consideration of $12,000 in cash. The sale resulted in a gain of $6,406 on disposal of the discontinued operation. The gain was primarily comprised of cash proceeds of $8,231, net of transaction costs, and recognition of a cumulative foreign currency translation gain of $1,560, offset by net assets of approximately $3,385. There were no material adjustments to the gain on disposal during the three and six months ended December 31, 2009.</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January 2009, the Company completed the sale of the VI operating segment for gross consideration of $3,000 in cash. Of the proceeds, a total of $1,100 was held back for general indemnification purposes and employee termination payments incurred by the buyer. Of the total held back, $344 was used for termination payments, $423 was used for general indemnification purposes and $333 was remitted back to the Company. The sale resulted in a gain of $4,207 on disposal of the discontinued operation. The gain was primarily comprised of expected cash proceeds, net of transaction costs, of $990 and the recognition of a cumulative foreign currency translation gain of $3,894, offset by net assets of the business of approximately $780. There were no material adjustments to the gain on disposal during the six months ended December 31, 2009. In December 2008, the Company was required to perform an interim impairment test of goodwill and long-lived assets as a result of a triggering event: the Company’s perceived decline in the market value for the VI business. Based on this interim evaluation, the carrying amount of goodwill in the VI operating segment exceeded the implied fair value, resulting in a goodwill impairment charge of $13,016. In December 2008, the Company also recorded an impairment of the customer relationships intangible asset within the VI operating segment of $1,539.</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September 2008, the Company completed an asset sale of the Biotech business for a $130 cash payment, which was received in the second quarter of fiscal 2009, and $300 of preferred shares in the acquiring entity. The Biotech business was previously reported in the results of the MFS operating segment, formerly referred to as the Emerging Business Unit. The sale resulted in a gain of $328 on disposal of the discontinued operation.</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accordance with ASC 360, VSG, VI and Biotech have been reflected as discontinued operations for all periods presented in the Company’s consolidated financial statements, except the consolidated statements of cash flows. Accordingly, the revenue, costs, expenses, assets and liabilities of VSG, VI and Biotech have been reported separately in the consolidated statements of operations and consolidated balance sheets for all periods presented. The results of discontinued operations do not reflect any interest expense or any allocation of corporate general and administrative expense.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amounts reported in income (loss) from discontinued operations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w w:val="87"/>
              </w:rPr>
              <w:t>December 31,</w:t>
            </w:r>
          </w:p>
        </w:tc>
        <w:tc>
          <w:tcPr>
            <w:tcW w:w="380" w:type="dxa"/>
            <w:vAlign w:val="bottom"/>
          </w:tcPr>
          <w:p>
            <w:pPr>
              <w:spacing w:after="0"/>
              <w:rPr>
                <w:sz w:val="14"/>
                <w:szCs w:val="14"/>
                <w:color w:val="auto"/>
              </w:rPr>
            </w:pPr>
          </w:p>
        </w:tc>
        <w:tc>
          <w:tcPr>
            <w:tcW w:w="13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5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VSG</w:t>
            </w:r>
          </w:p>
        </w:tc>
        <w:tc>
          <w:tcPr>
            <w:tcW w:w="1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Revenue</w:t>
            </w:r>
          </w:p>
        </w:tc>
        <w:tc>
          <w:tcPr>
            <w:tcW w:w="15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 —</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3,595</w:t>
            </w:r>
          </w:p>
        </w:tc>
        <w:tc>
          <w:tcPr>
            <w:tcW w:w="540" w:type="dxa"/>
            <w:vAlign w:val="bottom"/>
          </w:tcPr>
          <w:p>
            <w:pPr>
              <w:spacing w:after="0"/>
              <w:rPr>
                <w:sz w:val="18"/>
                <w:szCs w:val="18"/>
                <w:color w:val="auto"/>
              </w:rPr>
            </w:pPr>
          </w:p>
        </w:tc>
        <w:tc>
          <w:tcPr>
            <w:tcW w:w="680" w:type="dxa"/>
            <w:vAlign w:val="bottom"/>
            <w:gridSpan w:val="2"/>
          </w:tcPr>
          <w:p>
            <w:pPr>
              <w:jc w:val="right"/>
              <w:ind w:right="332"/>
              <w:spacing w:after="0"/>
              <w:rPr>
                <w:sz w:val="20"/>
                <w:szCs w:val="20"/>
                <w:color w:val="auto"/>
              </w:rPr>
            </w:pPr>
            <w:r>
              <w:rPr>
                <w:rFonts w:ascii="Arial" w:cs="Arial" w:eastAsia="Arial" w:hAnsi="Arial"/>
                <w:sz w:val="18"/>
                <w:szCs w:val="18"/>
                <w:color w:val="auto"/>
                <w:w w:val="92"/>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5,889</w:t>
            </w: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Income (loss) from discontinued operations before income taxes</w:t>
            </w:r>
          </w:p>
        </w:tc>
        <w:tc>
          <w:tcPr>
            <w:tcW w:w="15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Visage</w:t>
            </w: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15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 —</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2"/>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4,485</w:t>
            </w: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w w:val="89"/>
              </w:rPr>
              <w:t>Income (loss) from discontinued operations before income taxes</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(16,896)</w:t>
            </w:r>
          </w:p>
        </w:tc>
        <w:tc>
          <w:tcPr>
            <w:tcW w:w="680" w:type="dxa"/>
            <w:vAlign w:val="bottom"/>
            <w:gridSpan w:val="2"/>
          </w:tcPr>
          <w:p>
            <w:pPr>
              <w:jc w:val="right"/>
              <w:ind w:right="232"/>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(19,509)</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Biotech</w:t>
            </w:r>
          </w:p>
        </w:tc>
        <w:tc>
          <w:tcPr>
            <w:tcW w:w="1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060" w:type="dxa"/>
            <w:vAlign w:val="bottom"/>
          </w:tcPr>
          <w:p>
            <w:pPr>
              <w:ind w:left="440"/>
              <w:spacing w:after="0"/>
              <w:rPr>
                <w:sz w:val="20"/>
                <w:szCs w:val="20"/>
                <w:color w:val="auto"/>
              </w:rPr>
            </w:pPr>
            <w:r>
              <w:rPr>
                <w:rFonts w:ascii="Arial" w:cs="Arial" w:eastAsia="Arial" w:hAnsi="Arial"/>
                <w:sz w:val="18"/>
                <w:szCs w:val="18"/>
                <w:color w:val="auto"/>
              </w:rPr>
              <w:t>Loss from discontinued operations before income taxes</w:t>
            </w:r>
          </w:p>
        </w:tc>
        <w:tc>
          <w:tcPr>
            <w:tcW w:w="152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 —</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32"/>
              <w:spacing w:after="0"/>
              <w:rPr>
                <w:sz w:val="20"/>
                <w:szCs w:val="20"/>
                <w:color w:val="auto"/>
              </w:rPr>
            </w:pPr>
            <w:r>
              <w:rPr>
                <w:rFonts w:ascii="Arial" w:cs="Arial" w:eastAsia="Arial" w:hAnsi="Arial"/>
                <w:sz w:val="18"/>
                <w:szCs w:val="18"/>
                <w:color w:val="auto"/>
                <w:w w:val="92"/>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(743)</w:t>
            </w:r>
          </w:p>
        </w:tc>
      </w:tr>
      <w:tr>
        <w:trPr>
          <w:trHeight w:val="356"/>
        </w:trPr>
        <w:tc>
          <w:tcPr>
            <w:tcW w:w="5060" w:type="dxa"/>
            <w:vAlign w:val="bottom"/>
          </w:tcPr>
          <w:p>
            <w:pPr>
              <w:spacing w:after="0"/>
              <w:rPr>
                <w:sz w:val="24"/>
                <w:szCs w:val="24"/>
                <w:color w:val="auto"/>
              </w:rPr>
            </w:pPr>
          </w:p>
        </w:tc>
        <w:tc>
          <w:tcPr>
            <w:tcW w:w="1520" w:type="dxa"/>
            <w:vAlign w:val="bottom"/>
          </w:tcPr>
          <w:p>
            <w:pPr>
              <w:jc w:val="right"/>
              <w:ind w:right="1152"/>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amounts reported as liabilities of the discontinued operations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80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June 30,</w:t>
            </w:r>
          </w:p>
        </w:tc>
      </w:tr>
      <w:tr>
        <w:trPr>
          <w:trHeight w:val="161"/>
        </w:trPr>
        <w:tc>
          <w:tcPr>
            <w:tcW w:w="5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4"/>
                <w:szCs w:val="14"/>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compensation and warranty</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121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0" w:type="dxa"/>
            <w:vAlign w:val="bottom"/>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Deferred revenue</w:t>
            </w:r>
          </w:p>
        </w:tc>
        <w:tc>
          <w:tcPr>
            <w:tcW w:w="2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Liabilities of discontinued operations</w:t>
            </w:r>
          </w:p>
        </w:tc>
        <w:tc>
          <w:tcPr>
            <w:tcW w:w="272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121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1,234</w:t>
            </w:r>
          </w:p>
        </w:tc>
        <w:tc>
          <w:tcPr>
            <w:tcW w:w="2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Income Tax Provision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tax effect of temporary differences, primarily asset reserves and accrued liabilities, give rise to the Company’s deferred tax assets in the accompanying consolidated balance sheets; however, as management has determined that it is more likely than not that the domestic deferred tax assets would not be realized due to uncertainties surrounding the timing and amounts of future taxable income, a valuation allowance has been recorded. Based on the Company’s projected taxable income for the fiscal year ending June 30, 2010, the valuation allowance was reduced by $328 for the three months ended December 31, 2009 and $1,436 for the six months ended December 31, 2009.</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The Company has a full valuation allowance on its remaining deferred tax assets as the Company does not believe that it has met the “more likely than not” realization criteria under FASB ASC 740 (“FASB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previously SFAS No. 109. The Company will continue to monitor available information in determining whether there is sufficient evidence to consider releasing some or all of the valuation allowance. Should the Company determine any portion of the valuation allowance is no longer required, a tax benefit would be recorded in the financial period of the change in determination.</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recorded tax expense for the three months ended December 31, 2009 of $330 on income from continuing operations before taxes of $2,245 as compared to nil tax expense on a loss from continuing operations before taxes of $1,217 during the same period in fiscal 2009. The Company recorded tax expense for the six months ended December 31, 2009 of $1,236 on income from continuing operations before taxes of $7,576 as compared to nil tax expense on income from continuing operations before taxes of $136 during the same period in fiscal 2009. The income tax provisions for the respective three and six month periods ended December 31, 2009 differed from the federal statutory rate primarily due to research and development tax credits and a decrease in the valuation allowance on deferred tax assets.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were no material changes in the Company’s unrecognized tax positions during the six months ended December 31, 2009. The Company expects that there will not be any material changes in its reserves for unrecognized tax benefits within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Restructuring Provision</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July 2009, the Company announced a restructuring plan within the ACS business unit, (the “Q1 FY10 Plan”), which was enacted following the completion of the Company’s divestitures as part of the Company’s reorganization of part of its business operations. The Company had a reversal of $19 for unused outplacement costs in the three months ended December 31, 2009 and recorded expense of $254 in the six months ended December 31, 2009 against this plan, which included severance costs associated with the elimination of four positions.</w:t>
      </w:r>
    </w:p>
    <w:p>
      <w:pPr>
        <w:spacing w:after="0" w:line="11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fiscal 2008, the Company announced two restructuring plans, one within the ACS business unit (“ACS Plan”) and one within the former Emerging Businesses Unit (“AUSG Plan”).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ACS Plan was enacted to reduce payroll and overhead costs to realign costs with the Company’s revenue base, particularly in regards to its commercial portfolio. In fiscal 2009, this plan was amended to include an increase in restructuring expense of $1,675. This plan included severance costs associated with the elimination of certain executive level positions and to shut down one of the Company’s California sites.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AUSG Plan was enacted in March 2008 to reduce the financial losses of the AUSG reporting unit and was amended to include an additional provision for restructuring charges in April 2008 following the shutdown of the AUSG reporting unit. A gross provision of $1,507 was recorded during fiscal 2008, primarily due to the elimination of 12 positions. The AUSG Plan was amended in fiscal 2009 to include a provision of $37 for additional restructuring expense.</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of the restructuring charges are classified as operating expenses in the consolidated statements of operations and any remaining obligations are expected to be paid within the next twelve months. The remaining restructuring liability is classified as accrued expenses in the consolidated balance sheets.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detail of expenses by operating segment for the Company’s restructuring plans: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Facilities</w:t>
            </w: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June 30, 2008</w:t>
            </w:r>
          </w:p>
        </w:tc>
        <w:tc>
          <w:tcPr>
            <w:tcW w:w="240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ACS provision</w:t>
            </w:r>
          </w:p>
        </w:tc>
        <w:tc>
          <w:tcPr>
            <w:tcW w:w="2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143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MFS (EBU) provision</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Total provision</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gridSpan w:val="2"/>
            <w:vMerge w:val="continue"/>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143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(2,853)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Reversals and currency exchange impact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June 30, 2009</w:t>
            </w:r>
          </w:p>
        </w:tc>
        <w:tc>
          <w:tcPr>
            <w:tcW w:w="240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106</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1"/>
        </w:trPr>
        <w:tc>
          <w:tcPr>
            <w:tcW w:w="5440" w:type="dxa"/>
            <w:vAlign w:val="bottom"/>
            <w:gridSpan w:val="2"/>
          </w:tcPr>
          <w:p>
            <w:pPr>
              <w:spacing w:after="0"/>
              <w:rPr>
                <w:sz w:val="20"/>
                <w:szCs w:val="20"/>
                <w:color w:val="auto"/>
              </w:rPr>
            </w:pPr>
            <w:r>
              <w:rPr>
                <w:rFonts w:ascii="Arial" w:cs="Arial" w:eastAsia="Arial" w:hAnsi="Arial"/>
                <w:sz w:val="18"/>
                <w:szCs w:val="18"/>
                <w:color w:val="auto"/>
              </w:rPr>
              <w:t>ACS provision</w:t>
            </w:r>
          </w:p>
        </w:tc>
        <w:tc>
          <w:tcPr>
            <w:tcW w:w="2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Reversals and currency exchange impact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December 31, 2009</w:t>
            </w:r>
          </w:p>
        </w:tc>
        <w:tc>
          <w:tcPr>
            <w:tcW w:w="240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Related Party Transactions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July 2008, the Company and the former CEO, James Bertelli, entered into an agreement for consulting services through June 30, 2010. The consideration for these services totaled $190 and is being paid out over the service period. As of December 31, 2009, the Company had made payments of $133 for consulting services under this agreement. Additionally, in July 2008, the Company entered into a five year non-compete agreement with our former CEO. This agreement, which is carried as an intangible asset on the Company’s balance sheet, was valued at $500 and is being amortized over the life of the agreement. As of December 31, 2009, the Company had made payments of $250 under this non-compete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Subsequent Events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January and February 2010, UBS repurchased $6,975 of ARS, at par, from the Company. The combination of the fair value of the ARS and corresponding put option approximates par value, and therefore, no gain or loss was recognized upon repurchase. The Company’s outstanding loan balance with UBS will be reduced by the full amount of the repurchase. Following the repurchase of these securities the ARS had a par value of $42,225 and the Company’s outstanding loan balance with UBS was $26,387.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“should,” “plan,” “expect,” “anticipate,” “continue,” “estimate,” “project,” “intend,” and similar expressions are intended to identify forward-looking statements regarding events, conditions and financials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general economic and business conditions, including unforeseen economic weakness in our markets, effects of continued geo-political unrest and regional conflicts, competition, changes in technology and methods of marketing, delays in completing various engineering and manufacturing programs, changes in customer order patterns, changes in product mix, continued success in technological advances and delivering technological innovations, continued funding of defense programs and the timing of such funding, changes in the U.S. Government’s interpretation of federal procurement rules and regulations, market acceptance of our products, shortages in components, production delays due to performance quality issues with outsourced components, inability to fully realize the expected benefits from acquisitions and divestitures or delays in realizing such benefits, challenges in integrating acquired businesses and achieving anticipated synergies, inability to identify opportunities to rationalize our business portfolio in a timely manner or at all, difficulties in retaining key employees and customers, and various other factors beyond our control. These risks and uncertainties also include such additional risk factors as set forth under Part I-Item 1A (Risk Factors) in the Company’s Annual Report on Form 10-K for the fiscal year ended June 30, 2009.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design, manufacture and market high-performance embedded, real-time digital signal and image processing systems and software for embedded and other specialized computing markets. Our solutions play a critical role in a wide range of applications, transforming sensor data to information for analysis and interpretation. In military reconnaissance and surveillance platforms, our systems process real-time radar, sonar and signals intelligence data. Our systems are also used in semiconductor applications such as wafer inspection and fabrication. We also provide radio frequency products for enhanced communications capabilities in military and commercial applications. Additionally, we entered the defense prime contracting market space in fiscal 2008 through the creation of our wholly-owned subsidiary, MFS, to focus on reaching the federal intelligence agencies and homeland security programs.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June 2009, we closed on the sale of our former VSG operating segment for gross consideration of $12.0 million in cash.</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January 2009, we signed a definitive agreement and closed on the sale of our former VI operating segment for gross consideration of $3.0 million in cash. Of the proceeds, a total of $1.1 million was held back for general indemnification purposes and employee termination payments incurred by the buyer. Of the total held back, $0.3 million was used for termination payments, $0.4 million was used for general indemnification purposes and $0.3 million was remitted back to the Company.</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September 2008, we closed on the sale of our former Biotech business for a $0.1 million cash payment, and $0.3 million of preferred shares in the acquiring entity.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May 2008, we closed on the sale of our former ES/PS business for $0.4 million plus $0.3 million in royalties, net of tax.</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accounting for these sales and the VSG and VI operating segments’ operating results are included in discontinued operations for fiscal 2009, and prior period results have been reclassified to reflect the discontinuation and sale (see Note P to the consolidated financial statements).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divestiture of those businesses, we have organized our operations into the following two business units: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Advanced Computing Solutions (“ACS”). </w:t>
      </w:r>
      <w:r>
        <w:rPr>
          <w:rFonts w:ascii="Arial" w:cs="Arial" w:eastAsia="Arial" w:hAnsi="Arial"/>
          <w:sz w:val="18"/>
          <w:szCs w:val="18"/>
          <w:color w:val="auto"/>
        </w:rPr>
        <w:t>This business unit is focused on specialized, high performance computing solutions with key market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aerospace and defense, semiconductor, telecommunications and medical diagnostic imaging. This segment also provides software and customized design services to meet the specified requirements of military and commercial applications.</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Mercury Federal Systems (MFS). </w:t>
      </w:r>
      <w:r>
        <w:rPr>
          <w:rFonts w:ascii="Arial" w:cs="Arial" w:eastAsia="Arial" w:hAnsi="Arial"/>
          <w:sz w:val="16"/>
          <w:szCs w:val="16"/>
          <w:color w:val="auto"/>
        </w:rPr>
        <w:t>Formerly referred to as the “Emerging Business Unit” segment, this business unit has historically been focused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cultivation of new business opportunities that benefit from our capabilities across markets. Following the sale of the Biotech business and the shutdown of the Avionics and Unmanned Systems Group (“AUSG”) reporting unit, this business unit now solely consists of the Company’s wholly-owned subsidiary, Mercury Federal Systems, Inc. As such, beginning in the first quarter of fiscal 2010, this segment was renamed “Mercury Federal Systems (MFS)”. Current areas of focus include services and support work with federal intelligence agencies and homeland security programs including designing and engineering new ISR capabilities to address present and emerging threats to U.S. forces.</w:t>
      </w:r>
    </w:p>
    <w:p>
      <w:pPr>
        <w:spacing w:after="0" w:line="12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Since we are an OEM supplier to our commercial markets and conduct business with our defense customers via commercial items, requests by customers are a primary driver of revenue fluctuations from quarter to quarter. Customers specify delivery date requirements that coincide with their need for our product. Because these customers may use our products in connection with a variety of defense programs or other projects with different sizes and durations, a customer’s orders for one quarter generally do not indicate a trend for future orders by that customer. Additionally, order patterns of one customer do not necessarily correlate with the order patterns of another customer and, therefore, we generally cannot identify sequential quarterly trends, even within our business units.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periods indicated, certain financial data as a percentage of total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6"/>
          </w:tcPr>
          <w:p>
            <w:pPr>
              <w:jc w:val="center"/>
              <w:ind w:left="154"/>
              <w:spacing w:after="0"/>
              <w:rPr>
                <w:sz w:val="20"/>
                <w:szCs w:val="20"/>
                <w:color w:val="auto"/>
              </w:rPr>
            </w:pPr>
            <w:r>
              <w:rPr>
                <w:rFonts w:ascii="Arial" w:cs="Arial" w:eastAsia="Arial" w:hAnsi="Arial"/>
                <w:sz w:val="14"/>
                <w:szCs w:val="14"/>
                <w:b w:val="1"/>
                <w:bCs w:val="1"/>
                <w:color w:val="auto"/>
                <w:w w:val="84"/>
              </w:rPr>
              <w:t>Six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w w:val="85"/>
              </w:rPr>
              <w:t>December 31,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92"/>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91"/>
              </w:rPr>
              <w:t>100.0%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72"/>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25.8</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21.7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72"/>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long-lived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72"/>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40" w:type="dxa"/>
            <w:vAlign w:val="bottom"/>
            <w:vMerge w:val="restart"/>
          </w:tcPr>
          <w:p>
            <w:pPr>
              <w:ind w:left="46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58.2</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ind w:right="172"/>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12"/>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8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Income (loss) from continuing operations before income taxes</w:t>
            </w:r>
          </w:p>
        </w:tc>
        <w:tc>
          <w:tcPr>
            <w:tcW w:w="660" w:type="dxa"/>
            <w:vAlign w:val="bottom"/>
            <w:gridSpan w:val="2"/>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w w:val="89"/>
              </w:rPr>
              <w:t>(Loss) income from discontinued operations, net of taxes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3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right"/>
              <w:ind w:right="280"/>
              <w:spacing w:after="0"/>
              <w:rPr>
                <w:sz w:val="20"/>
                <w:szCs w:val="20"/>
                <w:color w:val="auto"/>
              </w:rPr>
            </w:pPr>
            <w:r>
              <w:rPr>
                <w:rFonts w:ascii="Arial" w:cs="Arial" w:eastAsia="Arial" w:hAnsi="Arial"/>
                <w:sz w:val="18"/>
                <w:szCs w:val="18"/>
                <w:color w:val="auto"/>
              </w:rPr>
              <w:t>(35.1)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12"/>
              <w:spacing w:after="0"/>
              <w:rPr>
                <w:sz w:val="20"/>
                <w:szCs w:val="20"/>
                <w:color w:val="auto"/>
              </w:rPr>
            </w:pPr>
            <w:r>
              <w:rPr>
                <w:rFonts w:ascii="Arial" w:cs="Arial" w:eastAsia="Arial" w:hAnsi="Arial"/>
                <w:sz w:val="18"/>
                <w:szCs w:val="18"/>
                <w:color w:val="auto"/>
                <w:w w:val="97"/>
              </w:rPr>
              <w:t>(21.1)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Gain on sale of discontinued operations, net of taxes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gridSpan w:val="3"/>
            <w:vMerge w:val="restart"/>
          </w:tcPr>
          <w:p>
            <w:pPr>
              <w:ind w:left="44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840" w:type="dxa"/>
            <w:vAlign w:val="bottom"/>
            <w:gridSpan w:val="3"/>
          </w:tcPr>
          <w:p>
            <w:pPr>
              <w:jc w:val="right"/>
              <w:ind w:right="92"/>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(37.8)%</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5"/>
              </w:rPr>
              <w:t>(20.4)%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gridSpan w:val="4"/>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52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Three Months</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Three months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Ended</w:t>
            </w:r>
          </w:p>
        </w:tc>
        <w:tc>
          <w:tcPr>
            <w:tcW w:w="440" w:type="dxa"/>
            <w:vAlign w:val="bottom"/>
          </w:tcPr>
          <w:p>
            <w:pPr>
              <w:spacing w:after="0"/>
              <w:rPr>
                <w:sz w:val="12"/>
                <w:szCs w:val="12"/>
                <w:color w:val="auto"/>
              </w:rPr>
            </w:pPr>
          </w:p>
        </w:tc>
        <w:tc>
          <w:tcPr>
            <w:tcW w:w="1060" w:type="dxa"/>
            <w:vAlign w:val="bottom"/>
            <w:gridSpan w:val="4"/>
          </w:tcPr>
          <w:p>
            <w:pPr>
              <w:jc w:val="center"/>
              <w:ind w:right="412"/>
              <w:spacing w:after="0" w:line="149" w:lineRule="exact"/>
              <w:rPr>
                <w:sz w:val="20"/>
                <w:szCs w:val="20"/>
                <w:color w:val="auto"/>
              </w:rPr>
            </w:pPr>
            <w:r>
              <w:rPr>
                <w:rFonts w:ascii="Arial" w:cs="Arial" w:eastAsia="Arial" w:hAnsi="Arial"/>
                <w:sz w:val="14"/>
                <w:szCs w:val="14"/>
                <w:b w:val="1"/>
                <w:bCs w:val="1"/>
                <w:color w:val="auto"/>
                <w:w w:val="91"/>
              </w:rPr>
              <w:t>As a %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right"/>
              <w:ind w:right="660"/>
              <w:spacing w:after="0" w:line="149" w:lineRule="exact"/>
              <w:rPr>
                <w:sz w:val="20"/>
                <w:szCs w:val="20"/>
                <w:color w:val="auto"/>
              </w:rPr>
            </w:pPr>
            <w:r>
              <w:rPr>
                <w:rFonts w:ascii="Arial" w:cs="Arial" w:eastAsia="Arial" w:hAnsi="Arial"/>
                <w:sz w:val="14"/>
                <w:szCs w:val="14"/>
                <w:b w:val="1"/>
                <w:bCs w:val="1"/>
                <w:color w:val="auto"/>
                <w:w w:val="98"/>
              </w:rPr>
              <w:t>Ended</w:t>
            </w:r>
          </w:p>
        </w:tc>
        <w:tc>
          <w:tcPr>
            <w:tcW w:w="74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91"/>
              </w:rPr>
              <w:t>As a %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12"/>
                <w:szCs w:val="12"/>
                <w:color w:val="auto"/>
              </w:rPr>
            </w:pPr>
          </w:p>
        </w:tc>
        <w:tc>
          <w:tcPr>
            <w:tcW w:w="1060" w:type="dxa"/>
            <w:vAlign w:val="bottom"/>
            <w:gridSpan w:val="4"/>
          </w:tcPr>
          <w:p>
            <w:pPr>
              <w:jc w:val="center"/>
              <w:ind w:right="412"/>
              <w:spacing w:after="0" w:line="149" w:lineRule="exact"/>
              <w:rPr>
                <w:sz w:val="20"/>
                <w:szCs w:val="20"/>
                <w:color w:val="auto"/>
              </w:rPr>
            </w:pPr>
            <w:r>
              <w:rPr>
                <w:rFonts w:ascii="Arial" w:cs="Arial" w:eastAsia="Arial" w:hAnsi="Arial"/>
                <w:sz w:val="14"/>
                <w:szCs w:val="14"/>
                <w:b w:val="1"/>
                <w:bCs w:val="1"/>
                <w:color w:val="auto"/>
                <w:w w:val="90"/>
              </w:rPr>
              <w:t>Total Net</w:t>
            </w:r>
          </w:p>
        </w:tc>
        <w:tc>
          <w:tcPr>
            <w:tcW w:w="160" w:type="dxa"/>
            <w:vAlign w:val="bottom"/>
          </w:tcPr>
          <w:p>
            <w:pPr>
              <w:spacing w:after="0"/>
              <w:rPr>
                <w:sz w:val="12"/>
                <w:szCs w:val="12"/>
                <w:color w:val="auto"/>
              </w:rPr>
            </w:pPr>
          </w:p>
        </w:tc>
        <w:tc>
          <w:tcPr>
            <w:tcW w:w="12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4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Total Net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2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660" w:type="dxa"/>
            <w:vAlign w:val="bottom"/>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060" w:type="dxa"/>
            <w:vAlign w:val="bottom"/>
            <w:gridSpan w:val="4"/>
          </w:tcPr>
          <w:p>
            <w:pPr>
              <w:jc w:val="center"/>
              <w:ind w:right="412"/>
              <w:spacing w:after="0"/>
              <w:rPr>
                <w:sz w:val="20"/>
                <w:szCs w:val="20"/>
                <w:color w:val="auto"/>
              </w:rPr>
            </w:pPr>
            <w:r>
              <w:rPr>
                <w:rFonts w:ascii="Arial" w:cs="Arial" w:eastAsia="Arial" w:hAnsi="Arial"/>
                <w:sz w:val="14"/>
                <w:szCs w:val="14"/>
                <w:b w:val="1"/>
                <w:bCs w:val="1"/>
                <w:color w:val="auto"/>
                <w:w w:val="85"/>
              </w:rPr>
              <w:t>Revenue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5"/>
              </w:rPr>
              <w:t>Revenue</w:t>
            </w:r>
          </w:p>
        </w:tc>
        <w:tc>
          <w:tcPr>
            <w:tcW w:w="560" w:type="dxa"/>
            <w:vAlign w:val="bottom"/>
            <w:gridSpan w:val="3"/>
          </w:tcPr>
          <w:p>
            <w:pPr>
              <w:ind w:left="480"/>
              <w:spacing w:after="0"/>
              <w:rPr>
                <w:sz w:val="20"/>
                <w:szCs w:val="20"/>
                <w:color w:val="auto"/>
              </w:rPr>
            </w:pPr>
            <w:r>
              <w:rPr>
                <w:rFonts w:ascii="Arial" w:cs="Arial" w:eastAsia="Arial" w:hAnsi="Arial"/>
                <w:sz w:val="14"/>
                <w:szCs w:val="14"/>
                <w:b w:val="1"/>
                <w:bCs w:val="1"/>
                <w:color w:val="auto"/>
                <w:w w:val="76"/>
              </w:rPr>
              <w:t>$</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42,081</w:t>
            </w:r>
          </w:p>
        </w:tc>
        <w:tc>
          <w:tcPr>
            <w:tcW w:w="4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43,935</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(1,854)</w:t>
            </w:r>
          </w:p>
        </w:tc>
        <w:tc>
          <w:tcPr>
            <w:tcW w:w="1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MFS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3,077</w:t>
            </w:r>
          </w:p>
        </w:tc>
        <w:tc>
          <w:tcPr>
            <w:tcW w:w="4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1,159</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1,918</w:t>
            </w:r>
          </w:p>
        </w:tc>
        <w:tc>
          <w:tcPr>
            <w:tcW w:w="120" w:type="dxa"/>
            <w:vAlign w:val="bottom"/>
          </w:tcPr>
          <w:p>
            <w:pPr>
              <w:spacing w:after="0"/>
              <w:rPr>
                <w:sz w:val="18"/>
                <w:szCs w:val="18"/>
                <w:color w:val="auto"/>
              </w:rPr>
            </w:pPr>
          </w:p>
        </w:tc>
        <w:tc>
          <w:tcPr>
            <w:tcW w:w="1140" w:type="dxa"/>
            <w:vAlign w:val="bottom"/>
            <w:gridSpan w:val="5"/>
          </w:tcPr>
          <w:p>
            <w:pPr>
              <w:jc w:val="right"/>
              <w:ind w:right="2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45,158</w:t>
            </w:r>
          </w:p>
        </w:tc>
        <w:tc>
          <w:tcPr>
            <w:tcW w:w="4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45,094</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Total revenues increased $0.1 million to $45.2 million during the three months ended December 31, 2009 as compared to the comparable period in fiscal 2009. International revenues represented approximately 15% and 5% of total revenues during the three months ended December 31, 2009 and 2008, respectively. The increase in international revenues during the three months ended December 31, 2009 was primarily driven by sales to a commercial customer in the Asia Pacific region.</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Net ACS revenues decreased $1.9 million, or 4%, during the three months ended December 31, 2009 as compared to the same period in fiscal 2009. This decrease was primarily driven by a reduction in sales to defense customers of $1.1 million, mostly driven by a decrease in the electronic warfare market, offset by an increase in radar and electro-optical applications. The decrease was also due to a $0.8 million reduction in sales to commercial customers, primarily relating to medical markets.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Net MFS revenues increased $1.9 million during the three months ended December 31, 2009 as compared to the same period in fiscal 2009. This change was primarily driven by a $1.7 million increase in revenue relating to a large ISR development program.</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2"/>
              </w:rPr>
              <w:t>Six months ended</w:t>
            </w:r>
          </w:p>
        </w:tc>
        <w:tc>
          <w:tcPr>
            <w:tcW w:w="48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As a % of</w:t>
            </w:r>
          </w:p>
        </w:tc>
        <w:tc>
          <w:tcPr>
            <w:tcW w:w="26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As a % of</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Total Net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Total Net</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00"/>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Revenue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00"/>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2"/>
              </w:rPr>
              <w:t>Revenue</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ACS</w:t>
            </w:r>
          </w:p>
        </w:tc>
        <w:tc>
          <w:tcPr>
            <w:tcW w:w="1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86,440</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88,570</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w:t>
            </w: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$(2,130)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MFS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6,149</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1,364</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4,785</w:t>
            </w:r>
          </w:p>
        </w:tc>
        <w:tc>
          <w:tcPr>
            <w:tcW w:w="6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5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92,589</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89,934</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$ 2,655</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Total revenues increased $2.7 million, or 3%, to $92.6 million during the six months ended December 31, 2009 as compared to the comparable period in fiscal 2009. International revenues represented approximately 10% and 5% of total revenues during the six months ended December 31, 2009 and 2008, respectively. The increase in international revenues during the six months ended December 31, 2009 was primarily driven by sales to two commercial customers in both the Europe and Asia Pacific regions.</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Net ACS revenues decreased $2.1 million, or 2%, during the six months ended December 31, 2009 as compared to the same period in fiscal 2009. This decrease was primarily driven by a $5.6 million reduction in sales to commercial customers, primarily relating to the medical and semiconductor equipment markets. This decrease was partially offset by an increase in sales to defense customers of $3.5 million, mostly driven by an increase in radar and electro-optical applications.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Net MFS revenues increased $4.8 million during the six months ended December 31, 2009 as compared to the same period in fiscal 2009. This change was primarily driven by a $3.5 million increase in revenue relating to a large ISR development program.</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Effective July 1, 2009, we adopted ASU No. 2009-13, </w:t>
      </w:r>
      <w:r>
        <w:rPr>
          <w:rFonts w:ascii="Arial" w:cs="Arial" w:eastAsia="Arial" w:hAnsi="Arial"/>
          <w:sz w:val="16"/>
          <w:szCs w:val="16"/>
          <w:i w:val="1"/>
          <w:iCs w:val="1"/>
          <w:color w:val="auto"/>
        </w:rPr>
        <w:t>Multiple-Deliverable Revenue Arrangements (“</w:t>
      </w:r>
      <w:r>
        <w:rPr>
          <w:rFonts w:ascii="Arial" w:cs="Arial" w:eastAsia="Arial" w:hAnsi="Arial"/>
          <w:sz w:val="16"/>
          <w:szCs w:val="16"/>
          <w:color w:val="auto"/>
        </w:rPr>
        <w:t xml:space="preserve">ASU 2009-13”), which amends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ASU 2009-13 amends the FASB ASC to eliminate the residual method of allocation for multiple-deliverable revenue arrangements, and requires that arrangement consideration be allocated at the inception of an arrangement to all deliverables using the relative selling price method. As a result of implementing ASU 2009-13, we recognized $2.3 million and $4.3 million in revenue in the three and six months ended December 31, 2009, respectively, within the ACS business unit that would have been deferred under the previous guidance for multiple-deliverable arrangements. We anticipate that the effect of the adoption of this guidance on subsequent periods will be primarily based on the arrangements entered into and the timing of shipment of deliverables. See Note C to the consolidated financial statements for further discussion of our multiple-deliverable arrangements.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P</w:t>
      </w:r>
      <w:r>
        <w:rPr>
          <w:rFonts w:ascii="Arial" w:cs="Arial" w:eastAsia="Arial" w:hAnsi="Arial"/>
          <w:sz w:val="14"/>
          <w:szCs w:val="14"/>
          <w:color w:val="auto"/>
        </w:rPr>
        <w:t>ROFIT</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Gross profit was 57.3% for the three months ended December 31, 2009, an increase of 100 basis points from the 56.3% gross profit achieved during the same period in fiscal 2009. The increase in gross profit was primarily due to lower fixed manufacturing costs, declines in warranty costs and a $1.1 million decrease in provisions for obsolete inventory as compared to the same period in fiscal 2009. This increase was partially offset by a decrease in direct margin due to an unfavorable shift in product mix.</w:t>
      </w:r>
    </w:p>
    <w:p>
      <w:pPr>
        <w:spacing w:after="0" w:line="62"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Gross profit was 57.4% for the six months ended December 31, 2009, an increase of 140 basis points from the 56.0% gross profit achieved during the same period in fiscal 2009. The increase in gross profit was primarily due to an increase in revenues and a $2.5 million decrease in provisions for obsolete inventory as compared to the same period in fiscal 2009. This increase was partially offset by a decrease in direct margin due to an unfavorable shift in product</w:t>
      </w:r>
    </w:p>
    <w:p>
      <w:pPr>
        <w:spacing w:after="0" w:line="1" w:lineRule="exact"/>
        <w:rPr>
          <w:sz w:val="20"/>
          <w:szCs w:val="20"/>
          <w:color w:val="auto"/>
        </w:rPr>
      </w:pPr>
    </w:p>
    <w:p>
      <w:pPr>
        <w:jc w:val="center"/>
        <w:ind w:right="140"/>
        <w:spacing w:after="0" w:line="433" w:lineRule="auto"/>
        <w:rPr>
          <w:sz w:val="20"/>
          <w:szCs w:val="20"/>
          <w:color w:val="auto"/>
        </w:rPr>
      </w:pPr>
      <w:r>
        <w:rPr>
          <w:rFonts w:ascii="Arial" w:cs="Arial" w:eastAsia="Arial" w:hAnsi="Arial"/>
          <w:sz w:val="18"/>
          <w:szCs w:val="18"/>
          <w:color w:val="auto"/>
        </w:rPr>
        <w:t>mix. Significant reserves for inventory obsolescence were booked in the six months ended December 31, 2008 largely due to the decline in commercial revenue. 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Selling, general and administrative expenses decreased $0.4 million, or 3%, to $13.5 million during the three months ended December 31, 2009 compared to $13.9 million during the same period in fiscal 2009. The decrease was primarily due to a $0.5 million decrease in employee compensation expense, including stock-based compensation expense, driven by the restructuring and cost saving measures that resulted from our fiscal 2009 restructuring plan (“ACS Plan”), which was enacted to reduce payroll and overhead costs to realign costs with our revenue base. Additionally, there was a $0.2 million decrease in legal expense, offset by a $0.2 million increase in recruiting expense.</w:t>
      </w:r>
    </w:p>
    <w:p>
      <w:pPr>
        <w:spacing w:after="0" w:line="6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Selling, general and administrative expenses decreased $1.2 million, or 5%, to $24.8 million during the six months ended December 31, 2009 compared to $26.0 million during the same period in fiscal 2009. The decrease was primarily due to a $0.7 million decrease in employee compensation expense, including stock-based compensation expense, driven by the restructuring and cost saving measures that resulted from our ACS Plan. Additionally, there was a $0.4 million decrease in audit expense and a $0.4 million decrease in legal expense, offset by a $0.3 million increase in recruiting expense.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Research and development expenses decreased $1.7 million, or 15%, to $9.9 million during the three months ended December 31, 2009 compared to $11.6 million during the same period in fiscal 2009. The decrease was primarily the result of a $1.8 million increase in the time spent by our engineers on billable projects. This decrease was partially offset by a $0.4 million increase in employee compensation expense, driven by an increase in headcount during the three months ended December 31, 2009. Research and development continues to be a focus of our business with approximately 21.9% of our revenues dedicated to research and development activities during the three months ended December 31, 2009 and approximately 25.8% of our revenues dedicated to such activities during the same period in fiscal 2009.</w:t>
      </w:r>
    </w:p>
    <w:p>
      <w:pPr>
        <w:spacing w:after="0" w:line="6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Research and development expenses decreased $1.8 million, or 8%, to $20.1 million during the six months ended December 31, 2009 compared to $21.9 million during the same period in fiscal 2009. The decrease was primarily the result of a $2.5 million increase in the time spent by our engineers on billable projects and a $0.3 million decrease in depreciation expense due to assets becoming fully depreciated. This decrease was partially offset by a $0.6 million increase in employee compensation expense, driven by an increase in headcount, and a $0.5 million increase in outside development expenses related to new product development initiatives. Research and development continues to be a focus of our business with approximately 21.7% of our revenues dedicated to research and development activities during the six months ended December 31, 2009 and approximately 24.4% of our revenues dedicated to such activities during the same period in fiscal 2009. It is our priority to continue to improve the leverage of our research and development investments in order to realize a more near-term return.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MPAIRMENT OF</w:t>
      </w:r>
      <w:r>
        <w:rPr>
          <w:rFonts w:ascii="Arial" w:cs="Arial" w:eastAsia="Arial" w:hAnsi="Arial"/>
          <w:sz w:val="18"/>
          <w:szCs w:val="18"/>
          <w:color w:val="auto"/>
        </w:rPr>
        <w:t xml:space="preserve"> L</w:t>
      </w:r>
      <w:r>
        <w:rPr>
          <w:rFonts w:ascii="Arial" w:cs="Arial" w:eastAsia="Arial" w:hAnsi="Arial"/>
          <w:sz w:val="14"/>
          <w:szCs w:val="14"/>
          <w:color w:val="auto"/>
        </w:rPr>
        <w:t>ONG</w:t>
      </w:r>
      <w:r>
        <w:rPr>
          <w:rFonts w:ascii="Arial" w:cs="Arial" w:eastAsia="Arial" w:hAnsi="Arial"/>
          <w:sz w:val="18"/>
          <w:szCs w:val="18"/>
          <w:color w:val="auto"/>
        </w:rPr>
        <w:t>-</w:t>
      </w:r>
      <w:r>
        <w:rPr>
          <w:rFonts w:ascii="Arial" w:cs="Arial" w:eastAsia="Arial" w:hAnsi="Arial"/>
          <w:sz w:val="14"/>
          <w:szCs w:val="14"/>
          <w:color w:val="auto"/>
        </w:rPr>
        <w:t>LIVED</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Impairment of long-lived assets was $0.2 million in both the three and six months ended December 31, 2009. We were required to perform an impairment test due to a reduced expectation of the fair value for the shares we received as compensation in the sale of our Biotech business. As a result, we recorded an impairment charge of $0.2 million.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impairment charges recorded in the six months ended December 31,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A</w:t>
      </w:r>
      <w:r>
        <w:rPr>
          <w:rFonts w:ascii="Arial" w:cs="Arial" w:eastAsia="Arial" w:hAnsi="Arial"/>
          <w:sz w:val="14"/>
          <w:szCs w:val="14"/>
          <w:color w:val="auto"/>
        </w:rPr>
        <w:t>CQUIRED</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Amortization of acquired intangible assets remained relatively flat at $0.4 million for the three months ended December 31, 2009 and 2008. Amortization of acquired intangible assets decreased $0.6 million or 40% to $0.9 million for the six months ended December 31, 2009 as compared to $1.5 million during the comparable period in fiscal 2009. The expense related to the amortization of intangible assets will continue to decline as more assets become fully depreciated.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Restructuring expense decreased $0.2 million to nil during the three months ended December 31, 2009 as compared to $0.2 million during the comparable period in fiscal 2009. During the three months ended December 31, 2008, restructuring charges primarily related to the elimination of three positions and additional severance accruals for our ACS Plan, which was enacted in fiscal 2008 to reduce payroll and overhead costs to realign costs with our revenue base.</w:t>
      </w:r>
    </w:p>
    <w:p>
      <w:pPr>
        <w:spacing w:after="0" w:line="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Restructuring expense decreased $0.2 million to $0.3 million during the six months ended December 31, 2009 as compared to $0.5 million during the comparable period in fiscal 2009. Restructuring activities during the six months ended December 31, 2009, were primarily due to the elimination of four positions under the Q1 FY10 Plan, which was enacted following the completion of our divestitures as part of the reorganization of our business operations. During the six months ended December 31, 2008, restructuring charges primarily related to the elimination of five positions and additional severance accruals for our ACS Plan, which was enacted in fiscal 2008 to reduce payroll and overhead costs to realign costs with our revenue base.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Interest income for the three months ended December 31, 2009 decreased by $0.5 million to $0.2 million compared to the same period in fiscal 2009. Interest income for the six months ended December 31, 2009 decreased by $1.4 million to $0.2 million compared to the same period in fiscal 2009. The decreases during both periods were primarily attributable to decreased rates of return on our marketable securities, as well as a decrease in the amount of cash invested in marketable securities as a result of the February 2009 and May 2009 repurchase of an aggregate of $125.0 million of our Convertible Senior Notes (the “Notes”).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Interest expense for the three months ended December 31, 2009 decreased by $0.8 million to $0.1 million compared the same period in fiscal 2009. Interest expense for the six months ended December 31, 2009 decreased by $1.6 million to $0.2 million compared the same period in fiscal 2009. The decreases during both periods were primarily due to lower interest incurred as a result of the repayment of our Notes in February 2009 and May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w:t>
      </w:r>
      <w:r>
        <w:rPr>
          <w:rFonts w:ascii="Arial" w:cs="Arial" w:eastAsia="Arial" w:hAnsi="Arial"/>
          <w:sz w:val="18"/>
          <w:szCs w:val="18"/>
          <w:color w:val="auto"/>
        </w:rPr>
        <w:t xml:space="preserve"> P</w:t>
      </w:r>
      <w:r>
        <w:rPr>
          <w:rFonts w:ascii="Arial" w:cs="Arial" w:eastAsia="Arial" w:hAnsi="Arial"/>
          <w:sz w:val="14"/>
          <w:szCs w:val="14"/>
          <w:color w:val="auto"/>
        </w:rPr>
        <w:t>ROVISION</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recorded a provision for income taxes of $0.3 million during the three months ended December 31, 2009 as compared to nil during the same period in fiscal 2009. Our effective tax rate for the three months ended December 31, 2009 differed from the U.S. statutory tax rate of 35% primarily due to research and development tax credits and a decrease in the valuation allowance on deferred tax assets.</w:t>
      </w:r>
    </w:p>
    <w:p>
      <w:pPr>
        <w:spacing w:after="0" w:line="14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recorded a provision for income taxes of $1.2 million during the six months ended December 31, 2009 as compared to nil during the same period in fiscal 2009. Our effective tax rate for the six months ended December 31, 2009 differed from the U.S. statutory tax rate of 35% primarily due to research and development tax credits and a decrease in the valuation allowance on deferred tax assets.</w:t>
      </w:r>
    </w:p>
    <w:p>
      <w:pPr>
        <w:spacing w:after="0" w:line="14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 assess the need for valuation allowances on deferred tax assets on a quarterly basis. We had a significant valuation allowance as of December 31, 2009 as we concluded that it was more likely than not that the benefit of our deferred tax assets would not be realized. In reaching this determination, we looked at all positive and negative evidence which included a history of income and earnings and the most current forecast. We will continue to assess the need for valuation allowances. When we determine that the valuation allowance is no longer required, a tax benefit would be recorded in the period of such determination.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Operating profit for ACS increased $1.4 million during the three months ended December 31, 2009 to $3.1 million as compared to $1.7 million for the same period in fiscal 2009. This improvement was largely attributable to lower fixed manufacturing costs and a $1.1 million decrease in provisions for obsolete inventory. The increase in operating profit was also due to a reduction in operating expenses, primarily driven by a decrease in associate headcount as a result of fiscal 2009 restructuring and cost savings efforts.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Operating profit for ACS increased $3.9 million during the six months ended December 31, 2009 to $8.7 million as compared to $4.8 million for the same period in fiscal 2009. This improvement was largely attributable to a $2.5 million decrease in provisions for obsolete inventory as compared to the same six month period in fiscal 2009 and a reduction in operating expenses, primarily driven by a decrease in associate headcount as a result of fiscal 2009 restructuring and cost savings efforts.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Results from operations of the MFS segment increased $0.7 million during the three months ended December 31, 2009 to an operating profit of $0.4 million as compared to an operating loss of $0.3 million for the same period in fiscal 2009. The increase in results from operations was primarily due to an increase in revenue relating to an ISR development program. The increase in results from operations was slightly offset by an increase in operating expense of $0.1 million relating to an increase in MFS headcount.</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Results from operations of the MFS segment increased $1.2 million during the six months ended December 31, 2009 to an operating profit of $0.3 million as compared to an operating loss of $0.9 million for the same period in fiscal 2009. The increase in results from operations was primarily due to an increase in revenue relating to an ISR development program.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K to our consolidated financial statements included in this report for more information regarding our operating segments.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divestitures of our former VI, VSG, Biotech and ES/PS businesses, we provided indemnification to the buyers of the respective businesses. Our indemnification obligations generally cover the buyers for damages resulting from breaches of representations, warranties and covenants contained in the applicable purchase and sale agreement and generally cover pre-closing tax liabilities of the divested businesses. Our indemnification obligations regarding the divested businesses are generally subject to caps on our obligations.</w:t>
      </w:r>
    </w:p>
    <w:p>
      <w:pPr>
        <w:spacing w:after="0" w:line="6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Other than the indemnifications relating to the divestitures of our former VI, VSG, Biotech and ES/PS businesses, our lease commitments incurred in the normal course of business and certain other indemnification provisions (see Note N to the consolidated financial statements),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40" w:type="dxa"/>
            <w:vAlign w:val="bottom"/>
          </w:tcPr>
          <w:p>
            <w:pPr>
              <w:spacing w:after="0"/>
              <w:rPr>
                <w:sz w:val="14"/>
                <w:szCs w:val="14"/>
                <w:color w:val="auto"/>
              </w:rPr>
            </w:pPr>
          </w:p>
        </w:tc>
        <w:tc>
          <w:tcPr>
            <w:tcW w:w="1380" w:type="dxa"/>
            <w:vAlign w:val="bottom"/>
            <w:tcBorders>
              <w:bottom w:val="single" w:sz="8" w:color="auto"/>
            </w:tcBorders>
            <w:gridSpan w:val="4"/>
          </w:tcPr>
          <w:p>
            <w:pPr>
              <w:jc w:val="center"/>
              <w:ind w:left="492"/>
              <w:spacing w:after="0"/>
              <w:rPr>
                <w:sz w:val="20"/>
                <w:szCs w:val="20"/>
                <w:color w:val="auto"/>
              </w:rPr>
            </w:pPr>
            <w:r>
              <w:rPr>
                <w:rFonts w:ascii="Arial" w:cs="Arial" w:eastAsia="Arial" w:hAnsi="Arial"/>
                <w:sz w:val="14"/>
                <w:szCs w:val="14"/>
                <w:b w:val="1"/>
                <w:bCs w:val="1"/>
                <w:color w:val="auto"/>
                <w:w w:val="85"/>
              </w:rPr>
              <w:t>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404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$ 7,774</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000" w:type="dxa"/>
            <w:vAlign w:val="bottom"/>
            <w:gridSpan w:val="3"/>
          </w:tcPr>
          <w:p>
            <w:pPr>
              <w:jc w:val="right"/>
              <w:ind w:right="320"/>
              <w:spacing w:after="0"/>
              <w:rPr>
                <w:sz w:val="20"/>
                <w:szCs w:val="20"/>
                <w:color w:val="auto"/>
              </w:rPr>
            </w:pPr>
            <w:r>
              <w:rPr>
                <w:rFonts w:ascii="Arial" w:cs="Arial" w:eastAsia="Arial" w:hAnsi="Arial"/>
                <w:sz w:val="18"/>
                <w:szCs w:val="18"/>
                <w:color w:val="auto"/>
              </w:rPr>
              <w:t>(2,782)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(59,016)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31,841</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5,247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(21,087)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37,958</w:t>
            </w:r>
          </w:p>
        </w:tc>
        <w:tc>
          <w:tcPr>
            <w:tcW w:w="0" w:type="dxa"/>
            <w:vAlign w:val="bottom"/>
          </w:tcPr>
          <w:p>
            <w:pPr>
              <w:spacing w:after="0"/>
              <w:rPr>
                <w:sz w:val="1"/>
                <w:szCs w:val="1"/>
                <w:color w:val="auto"/>
              </w:rPr>
            </w:pPr>
          </w:p>
        </w:tc>
      </w:tr>
      <w:tr>
        <w:trPr>
          <w:trHeight w:val="363"/>
        </w:trPr>
        <w:tc>
          <w:tcPr>
            <w:tcW w:w="4420" w:type="dxa"/>
            <w:vAlign w:val="bottom"/>
          </w:tcPr>
          <w:p>
            <w:pPr>
              <w:spacing w:after="0"/>
              <w:rPr>
                <w:sz w:val="24"/>
                <w:szCs w:val="24"/>
                <w:color w:val="auto"/>
              </w:rPr>
            </w:pPr>
          </w:p>
        </w:tc>
        <w:tc>
          <w:tcPr>
            <w:tcW w:w="4040" w:type="dxa"/>
            <w:vAlign w:val="bottom"/>
          </w:tcPr>
          <w:p>
            <w:pPr>
              <w:jc w:val="right"/>
              <w:ind w:right="3032"/>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cash and cash equivalents increased by $14.2 million from December 31, 2008 to December 31, 2009, primarily as the result of an increase in cash provided by operating activities, cash proceeds from the sale of discontinued operations, sale of marketable securities and a $32.7 million borrowing against our auction rate securities, offset by the repurchase of $125.0 million aggregate principal amount of our Notes.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six months ended December 31, 2009, we generated $7.8 million in cash from operating activities compared to $5.4 million generated from operating activities during the same period in fiscal 2009. The $2.4 million increase in cash generated from operations was largely driven by higher comparative net income, a $7.0 million decrease in cash used for accounts payable and accrued expenses and a $3.8 million improvement in cash generated from deferred revenues, offset by a $9.3 million decrease in cash generated from accounts receivable, a $3.2 million decrease in cash generated from inventory and a $3.1 million reduction in cash generated from prepaid expenses. Our ability to generate cash from operations in future periods will depend in large part on profitability, the rate of collection of accounts receivable, our inventory turns and our ability to manage other areas of working capital.</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six months ended December 31, 2009, we used $2.8 million in cash in investing activities compared to $59.0 million used in investing activities during the same period in fiscal 2009. The $56.2 million decrease in cash used in investing activities was primarily driven by a $56.8 million decrease in net purchases of marketable securities and a $0.8 million decrease in proceeds from the redemption of life insurance policies, offset by a $0.7 million increase in cash payments related to the sale of discontinued operations and a $0.6 million increase in capital expenditures.</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During the six months ended December 31, 2009, we generated $0.3 million in cash from financing activities compared to $31.8 million generated from financing activities during the same period in fiscal 2009. The decrease in cash generated from financing activities was primarily due to $0.7 million of payments under our ARS line of credit during the six months ended December 31, 2009 as compared to $31.4 million of borrowings under the ARS line of credit in the comparable period in fiscal 2009. In October 2008, we received a rights offering from UBS (the “offering”) in which we have elected to participate. By electing to participate in the offering, we (1) received the right to sell these ARS back to UBS at par plus interest, at our sole discretion, during a two-year period beginning on June 30, 2010, and (2) received an option to borrow up to 75% of the fair value of the ARS. Upon borrowing against the ARS, we forgo the interest income on the underlying ARS while the borrowings are outstanding and in return are not charged any interest expense. The line of credit included in the offering replaced our previous margin loan facility with UBS. As of December 31, 2009, we had $32.7 million outstanding under this line of credit, collateralized by the $49.2 million par value of auction rate securities.</w:t>
      </w:r>
    </w:p>
    <w:p>
      <w:pPr>
        <w:spacing w:after="0" w:line="12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 January and February 2010, UBS repurchased $7.0 million of ARS, at par, from us. The combination of the fair value of the ARS and corresponding put option approximates par value, and therefore, no gain or loss was recognized upon repurchase. Our outstanding loan balance with UBS will be reduced by the full amount of the repurchase. Following the repurchase of these securities the ARS had a par value of $42.2 million and our outstanding loan balance with UBS was $26.4 million.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During the six months ended December 31, 2009, our primary source of liquidity came from existing cash and marketable securities, the cash generated from operations and the $32.7 million borrowing under our line of credit. Our near-term fixed commitments for cash expenditures consist primarily of payments under operating leases, a supply agreement and inventory purchase commitments with our contract manufacturers. We do not currently have any material commitments for capital expenditures.</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Based on our current plans and business conditions, we believe that existing cash, cash equivalents, marketable securities, available line of credit and cash generated from operations will be sufficient to satisfy our anticipated cash requirements for at least the next twelve months.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April 29, 2004, we completed a private offering of $125.0 million aggregate principal amount of Notes, which had an original maturity date of May 1, 2024, bearing interest at 2% per year, payable semiannually in arrears in May and November. The Notes were unsecured, ranked equally in right of payment to our existing and future unsecured senior debt, and did not subject us to any financial covenants.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On February 4, 2009, we repurchased $119.7 million (face value) aggregate principal amount of our Notes from a holder of such Notes. We repurchased the Notes for aggregate consideration equal to the principal amount of the Notes plus accrued interest. We paid the consideration for the Notes from a combination of cash on hand and the proceeds from the sale of certain U.S. Treasury securities held by us.</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On May 1, 2009, we repurchased the remaining aggregate principal amount outstanding of $5.3 million (face value) of our Notes from the holders of such Notes. We repurchased the Notes for aggregate consideration equal to the principal amount of the Notes plus accrued interest. We paid the consideration for the Notes from cash on hand. We have no further obligations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 Under Line of Credit</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 October 2008, we elected to participate in a rights offering from UBS with the option to borrow up to 75% of the fair value of our $49.2 million par value ARS. Upon borrowing against the ARS, the interest expense incurred by us will not exceed the interest income earned on the underlying ARS. As of December 31, 2009, we had $32.7 million outstanding against this line of credit.</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January and February 2010, UBS repurchased $7.0 million of ARS securities from us. Following the repurchase of these securities the ARS had a par value of $42.2 million and our outstanding loan balance with UBS was $26.4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April 28, 2009, we filed a shelf registration statement on Form S-3 with the SEC. The shelf registration statement, which has been declared effective by the SEC, registered up to $100 million of debt securities, preferred stock, common stock, warrants and units. We may sell any combination of these securities, either individually or in units, in one or more offerings. We intend to use the net proceeds from the sale of any securities under the shelf registration statement for general corporate purposes, which may include the following:</w:t>
      </w:r>
    </w:p>
    <w:p>
      <w:pPr>
        <w:spacing w:after="0" w:line="6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purposes as described in any prospectus supplement under the shelf registration statement.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sell the securities under a variety of methods including directly to investors, using an underwriting syndicate, through brokers, by block trade or by other methods described in the shelf registration statement.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our commitments and contractual obligations outstanding at December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Less Than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Arial" w:cs="Arial" w:eastAsia="Arial" w:hAnsi="Arial"/>
                <w:sz w:val="14"/>
                <w:szCs w:val="14"/>
                <w:b w:val="1"/>
                <w:bCs w:val="1"/>
                <w:color w:val="auto"/>
              </w:rPr>
              <w:t>2-3</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77"/>
              <w:spacing w:after="0"/>
              <w:rPr>
                <w:sz w:val="20"/>
                <w:szCs w:val="20"/>
                <w:color w:val="auto"/>
              </w:rPr>
            </w:pPr>
            <w:r>
              <w:rPr>
                <w:rFonts w:ascii="Arial" w:cs="Arial" w:eastAsia="Arial" w:hAnsi="Arial"/>
                <w:sz w:val="14"/>
                <w:szCs w:val="14"/>
                <w:b w:val="1"/>
                <w:bCs w:val="1"/>
                <w:color w:val="auto"/>
              </w:rPr>
              <w:t>4-5</w:t>
            </w:r>
          </w:p>
        </w:tc>
        <w:tc>
          <w:tcPr>
            <w:tcW w:w="4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3"/>
              </w:rPr>
              <w:t>More Than</w:t>
            </w:r>
          </w:p>
        </w:tc>
        <w:tc>
          <w:tcPr>
            <w:tcW w:w="0" w:type="dxa"/>
            <w:vAlign w:val="bottom"/>
          </w:tcPr>
          <w:p>
            <w:pPr>
              <w:spacing w:after="0"/>
              <w:rPr>
                <w:sz w:val="1"/>
                <w:szCs w:val="1"/>
                <w:color w:val="auto"/>
              </w:rPr>
            </w:pPr>
          </w:p>
        </w:tc>
      </w:tr>
      <w:tr>
        <w:trPr>
          <w:trHeight w:val="161"/>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78"/>
              </w:rPr>
              <w:t>Years</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8"/>
              </w:rPr>
              <w:t>Years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under line of credit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$32,716</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$ 32,716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580" w:type="dxa"/>
            <w:vAlign w:val="bottom"/>
          </w:tcPr>
          <w:p>
            <w:pPr>
              <w:jc w:val="right"/>
              <w:spacing w:after="0"/>
              <w:rPr>
                <w:sz w:val="20"/>
                <w:szCs w:val="20"/>
                <w:color w:val="auto"/>
              </w:rPr>
            </w:pPr>
            <w:r>
              <w:rPr>
                <w:rFonts w:ascii="Arial" w:cs="Arial" w:eastAsia="Arial" w:hAnsi="Arial"/>
                <w:sz w:val="18"/>
                <w:szCs w:val="18"/>
                <w:color w:val="auto"/>
              </w:rPr>
              <w:t>27,790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27,790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left="13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18,581</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5,743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4,793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88"/>
              </w:rPr>
              <w:t>4,983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Supply agreement</w:t>
            </w:r>
          </w:p>
        </w:tc>
        <w:tc>
          <w:tcPr>
            <w:tcW w:w="580" w:type="dxa"/>
            <w:vAlign w:val="bottom"/>
          </w:tcPr>
          <w:p>
            <w:pPr>
              <w:jc w:val="right"/>
              <w:spacing w:after="0"/>
              <w:rPr>
                <w:sz w:val="20"/>
                <w:szCs w:val="20"/>
                <w:color w:val="auto"/>
              </w:rPr>
            </w:pPr>
            <w:r>
              <w:rPr>
                <w:rFonts w:ascii="Arial" w:cs="Arial" w:eastAsia="Arial" w:hAnsi="Arial"/>
                <w:sz w:val="18"/>
                <w:szCs w:val="18"/>
                <w:color w:val="auto"/>
              </w:rPr>
              <w:t>1,817</w:t>
            </w:r>
          </w:p>
        </w:tc>
        <w:tc>
          <w:tcPr>
            <w:tcW w:w="4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1,817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left="13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81,194</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$ 63,665</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7,753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4,793</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center"/>
              <w:ind w:left="55"/>
              <w:spacing w:after="0"/>
              <w:rPr>
                <w:sz w:val="20"/>
                <w:szCs w:val="20"/>
                <w:color w:val="auto"/>
              </w:rPr>
            </w:pPr>
            <w:r>
              <w:rPr>
                <w:rFonts w:ascii="Arial" w:cs="Arial" w:eastAsia="Arial" w:hAnsi="Arial"/>
                <w:sz w:val="18"/>
                <w:szCs w:val="18"/>
                <w:color w:val="auto"/>
                <w:w w:val="88"/>
              </w:rPr>
              <w:t>4,983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Purchase obligations represent open non-cancelable purchase commitments for certain inventory components and services used in normal operations. The purchase commitments covered by these agreements are generally for less than one year and aggregated approximately $27.8 million at December 31, 2009.</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September 2006, we entered into a supply agreement with a third-party vendor to purchase certain inventory parts that went “end of life.” This supply agreement, as subsequently amended, commits the vendor to acquiring and storing approximately $6.5 million of inventory until August 31, 2012 and allows us to place orders for the inventory four times a year. Upon the earlier of January 31, 2007 or completion of the wafer fabrication process, we were required to and paid approximately $1.9 million of the $6.5 million. Further, upon expiration of the agreement on August 31, 2012, if we do not purchase the full $6.5 million in inventory, we may be required to pay a penalty equal to 35% of the remaining inventory balance. As of December 31, 2009, the remaining minimum commitment related to this agreement was $1.8 million, which is the 35% “penalty” on the remaining inventory balance.</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July 2008, we and our former CEO, James Bertelli, entered into an agreement for consulting services through June 30, 2010. The consideration for these services totaled $0.2 million and is being paid out over the service period. As of December 31, 2009, we had made payments of $0.1 million for consulting services under this agreement. Additionally, in July 2008, we entered into a five year non-compete agreement with Mr. Bertelli. This agreement, which is carried as an intangible asset on our balance sheet, was valued at $0.5 million and is being amortized over the life of the agreement. As of December 31, 2009, we had made payments of $0.3 million under this non-compete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 xml:space="preserve">In June 2009, the Financial Accounting Standards Board (“FASB”) issued Statement of Financial Accounting Standards (“SFAS”) No. 168, </w:t>
      </w:r>
      <w:r>
        <w:rPr>
          <w:rFonts w:ascii="Arial" w:cs="Arial" w:eastAsia="Arial" w:hAnsi="Arial"/>
          <w:sz w:val="18"/>
          <w:szCs w:val="18"/>
          <w:i w:val="1"/>
          <w:iCs w:val="1"/>
          <w:color w:val="auto"/>
        </w:rPr>
        <w:t>The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Standards Codification </w:t>
      </w:r>
      <w:r>
        <w:rPr>
          <w:rFonts w:ascii="Arial" w:cs="Arial" w:eastAsia="Arial" w:hAnsi="Arial"/>
          <w:sz w:val="11"/>
          <w:szCs w:val="11"/>
          <w:i w:val="1"/>
          <w:iCs w:val="1"/>
          <w:color w:val="auto"/>
        </w:rPr>
        <w:t>TM</w:t>
      </w:r>
      <w:r>
        <w:rPr>
          <w:rFonts w:ascii="Arial" w:cs="Arial" w:eastAsia="Arial" w:hAnsi="Arial"/>
          <w:sz w:val="18"/>
          <w:szCs w:val="18"/>
          <w:i w:val="1"/>
          <w:iCs w:val="1"/>
          <w:color w:val="auto"/>
        </w:rPr>
        <w:t xml:space="preserve"> and the Hierarchy of Generally Accepted Accounting Principles—a replacement of FASB Statement No. 162 </w:t>
      </w:r>
      <w:r>
        <w:rPr>
          <w:rFonts w:ascii="Arial" w:cs="Arial" w:eastAsia="Arial" w:hAnsi="Arial"/>
          <w:sz w:val="18"/>
          <w:szCs w:val="18"/>
          <w:color w:val="auto"/>
        </w:rPr>
        <w:t>(“SFAS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168”). SFAS 168 establishes the </w:t>
      </w:r>
      <w:r>
        <w:rPr>
          <w:rFonts w:ascii="Arial" w:cs="Arial" w:eastAsia="Arial" w:hAnsi="Arial"/>
          <w:sz w:val="18"/>
          <w:szCs w:val="18"/>
          <w:i w:val="1"/>
          <w:iCs w:val="1"/>
          <w:color w:val="auto"/>
        </w:rPr>
        <w:t>FASB Accounting Standards Codification</w:t>
      </w:r>
      <w:r>
        <w:rPr>
          <w:rFonts w:ascii="Arial" w:cs="Arial" w:eastAsia="Arial" w:hAnsi="Arial"/>
          <w:sz w:val="11"/>
          <w:szCs w:val="11"/>
          <w:i w:val="1"/>
          <w:iCs w:val="1"/>
          <w:color w:val="auto"/>
        </w:rPr>
        <w:t>™</w:t>
      </w:r>
      <w:r>
        <w:rPr>
          <w:rFonts w:ascii="Arial" w:cs="Arial" w:eastAsia="Arial" w:hAnsi="Arial"/>
          <w:sz w:val="18"/>
          <w:szCs w:val="18"/>
          <w:color w:val="auto"/>
        </w:rPr>
        <w:t xml:space="preserve"> (“Codification”) as the source of authoritative U.S. GAAP for nongovernmental entities. The Codification does not change U.S. GAAP. Instead, it takes the thousands of individual pronouncements that currently comprise U.S. GAAP and reorganizes them into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 xml:space="preserve">approximately 90 accounting Topics, and displays all Topics using a consistent structure. Contents in each Topic are further organized first by Subtopic, then Section and finally Paragraph. The Paragraph level is the only level that contains substantive content. Citing particular content in the Codification involves specifying the unique numeric path to the content through the Topic, Subtopic, Section and Paragraph structure. FASB suggests that all citations begin with “FASB ASC,” where ASC stands for </w:t>
      </w:r>
      <w:r>
        <w:rPr>
          <w:rFonts w:ascii="Arial" w:cs="Arial" w:eastAsia="Arial" w:hAnsi="Arial"/>
          <w:sz w:val="18"/>
          <w:szCs w:val="18"/>
          <w:i w:val="1"/>
          <w:iCs w:val="1"/>
          <w:color w:val="auto"/>
        </w:rPr>
        <w:t>Accounting Standards Codification</w:t>
      </w:r>
      <w:r>
        <w:rPr>
          <w:rFonts w:ascii="Arial" w:cs="Arial" w:eastAsia="Arial" w:hAnsi="Arial"/>
          <w:sz w:val="18"/>
          <w:szCs w:val="18"/>
          <w:color w:val="auto"/>
        </w:rPr>
        <w:t>. Changes to the ASC subsequent to June 30, 2009 are referred to as Accounting Standards Updates (“ASU”).</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In conjunction with the issuance of SFAS 168, the FASB also issued ASU No. 2009-1, </w:t>
      </w:r>
      <w:r>
        <w:rPr>
          <w:rFonts w:ascii="Arial" w:cs="Arial" w:eastAsia="Arial" w:hAnsi="Arial"/>
          <w:sz w:val="16"/>
          <w:szCs w:val="16"/>
          <w:i w:val="1"/>
          <w:iCs w:val="1"/>
          <w:color w:val="auto"/>
        </w:rPr>
        <w:t>Topic 105—Generally Accepted Accounting Principles</w:t>
      </w:r>
      <w:r>
        <w:rPr>
          <w:rFonts w:ascii="Arial" w:cs="Arial" w:eastAsia="Arial" w:hAnsi="Arial"/>
          <w:sz w:val="16"/>
          <w:szCs w:val="16"/>
          <w:color w:val="auto"/>
        </w:rPr>
        <w:t xml:space="preserve"> (“ASU 2009-1”), which includes SFAS 168 in its entirety as a transition to the ASC. ASU 2009-1 is effective for interim and annual periods ending after September 15, 2009 and will not have an impact on our financial position or results of operations but will change the referencing system for accounting standards.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of the following pronouncements were issued prior to the issuance of the ASC and adoption of the ASUs. For such pronouncements, citations to the applicable Codification by Topic, Subtopic and Section are provided where applicable in addition to the original standard type and number.</w:t>
      </w:r>
    </w:p>
    <w:p>
      <w:pPr>
        <w:spacing w:after="0" w:line="85" w:lineRule="exact"/>
        <w:rPr>
          <w:sz w:val="20"/>
          <w:szCs w:val="20"/>
          <w:color w:val="auto"/>
        </w:rPr>
      </w:pPr>
    </w:p>
    <w:p>
      <w:pPr>
        <w:jc w:val="both"/>
        <w:ind w:right="220" w:firstLine="456"/>
        <w:spacing w:after="0" w:line="302" w:lineRule="auto"/>
        <w:rPr>
          <w:sz w:val="20"/>
          <w:szCs w:val="20"/>
          <w:color w:val="auto"/>
        </w:rPr>
      </w:pPr>
      <w:r>
        <w:rPr>
          <w:rFonts w:ascii="Arial" w:cs="Arial" w:eastAsia="Arial" w:hAnsi="Arial"/>
          <w:sz w:val="15"/>
          <w:szCs w:val="15"/>
          <w:color w:val="auto"/>
        </w:rPr>
        <w:t xml:space="preserve">Effective July 1, 2009, we adopted ASU No. 2009-13, </w:t>
      </w:r>
      <w:r>
        <w:rPr>
          <w:rFonts w:ascii="Arial" w:cs="Arial" w:eastAsia="Arial" w:hAnsi="Arial"/>
          <w:sz w:val="15"/>
          <w:szCs w:val="15"/>
          <w:i w:val="1"/>
          <w:iCs w:val="1"/>
          <w:color w:val="auto"/>
        </w:rPr>
        <w:t>Multiple-Deliverable Revenue Arrangements</w:t>
      </w:r>
      <w:r>
        <w:rPr>
          <w:rFonts w:ascii="Arial" w:cs="Arial" w:eastAsia="Arial" w:hAnsi="Arial"/>
          <w:sz w:val="15"/>
          <w:szCs w:val="15"/>
          <w:color w:val="auto"/>
        </w:rPr>
        <w:t xml:space="preserve"> (“ASU 2009-13”), which amends FASB ASC Topic 605, </w:t>
      </w:r>
      <w:r>
        <w:rPr>
          <w:rFonts w:ascii="Arial" w:cs="Arial" w:eastAsia="Arial" w:hAnsi="Arial"/>
          <w:sz w:val="15"/>
          <w:szCs w:val="15"/>
          <w:i w:val="1"/>
          <w:iCs w:val="1"/>
          <w:color w:val="auto"/>
        </w:rPr>
        <w:t>Revenue Recognition</w:t>
      </w:r>
      <w:r>
        <w:rPr>
          <w:rFonts w:ascii="Arial" w:cs="Arial" w:eastAsia="Arial" w:hAnsi="Arial"/>
          <w:sz w:val="15"/>
          <w:szCs w:val="15"/>
          <w:color w:val="auto"/>
        </w:rPr>
        <w:t>. ASU 2009-13 amends the FASB ASC to eliminate the residual method of allocation for multiple-deliverable revenue arrangements, and requires that arrangement consideration be allocated at the inception of an arrangement to all deliverables using the relative selling price method. The ASU also establishes a selling price hierarchy for determining the selling price of a deliverable, which includes: (1) vendor-specific objective evidence if available;</w:t>
      </w:r>
    </w:p>
    <w:p>
      <w:pPr>
        <w:spacing w:after="0" w:line="3" w:lineRule="exact"/>
        <w:rPr>
          <w:sz w:val="20"/>
          <w:szCs w:val="20"/>
          <w:color w:val="auto"/>
        </w:rPr>
      </w:pPr>
    </w:p>
    <w:p>
      <w:pPr>
        <w:ind w:right="60" w:firstLine="8"/>
        <w:spacing w:after="0" w:line="253"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evidence if vendor-specific objective evidence is not available; and (3) estimated selling price if neither vendor-specific nor third-party evidence is available. Additionally, ASU 2009-13 expands the disclosure requirements related to a vendor’s multiple-deliverable revenue arrangements. This guidance is effective for us July 1, 2010; however, we have elected to early adopt as permitted by the guidance. As such, we have prospectively applied the provisions of ASU 2009-13 to revenue arrangements entered into or materially modified after July 1, 2009. See Note C to the consolidated financial statements for disclosures regarding the adoption of ASU 2009-13.</w:t>
      </w:r>
    </w:p>
    <w:p>
      <w:pPr>
        <w:spacing w:after="0" w:line="14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Effective July 1, 2009, we adopted ASU No. 2009-14, </w:t>
      </w:r>
      <w:r>
        <w:rPr>
          <w:rFonts w:ascii="Arial" w:cs="Arial" w:eastAsia="Arial" w:hAnsi="Arial"/>
          <w:sz w:val="16"/>
          <w:szCs w:val="16"/>
          <w:i w:val="1"/>
          <w:iCs w:val="1"/>
          <w:color w:val="auto"/>
        </w:rPr>
        <w:t>Certain Revenue Arrangements That Include Software Elements</w:t>
      </w:r>
      <w:r>
        <w:rPr>
          <w:rFonts w:ascii="Arial" w:cs="Arial" w:eastAsia="Arial" w:hAnsi="Arial"/>
          <w:sz w:val="16"/>
          <w:szCs w:val="16"/>
          <w:color w:val="auto"/>
        </w:rPr>
        <w:t xml:space="preserve"> (“ASU 2009-14”), which amends FASB ASC Topic 985, </w:t>
      </w:r>
      <w:r>
        <w:rPr>
          <w:rFonts w:ascii="Arial" w:cs="Arial" w:eastAsia="Arial" w:hAnsi="Arial"/>
          <w:sz w:val="16"/>
          <w:szCs w:val="16"/>
          <w:i w:val="1"/>
          <w:iCs w:val="1"/>
          <w:color w:val="auto"/>
        </w:rPr>
        <w:t>Software</w:t>
      </w:r>
      <w:r>
        <w:rPr>
          <w:rFonts w:ascii="Arial" w:cs="Arial" w:eastAsia="Arial" w:hAnsi="Arial"/>
          <w:sz w:val="16"/>
          <w:szCs w:val="16"/>
          <w:color w:val="auto"/>
        </w:rPr>
        <w:t>. ASU 2009-14 amends the FASB ASC to change the accounting model for revenue arrangements that include both tangible products and software elements, such that tangible products containing both software and non-software components that function together to deliver the tangible product’s essential functionality are no longer within the scope of software revenue guidance. This guidance is effective for us July 1, 2010, however; we have elected to early adopt as permitted by the guidance. As such, we will prospectively apply the provisions of ASU 2009-14 to revenue arrangements entered into or materially modified after July 1, 2009. Such adoption did not have a material impact on our financial position or results of operations.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Effective July 1, 2009, we adopted FASB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(“FASB ASC 805” and formerly referred to as SFAS No. 141(R) and SFAS No. 141(R)-1). FASB ASC 805 requires the acquisition method to be applied to all transactions and other events in which an entity obtains control over one or more other businesses, requires the acquirer to recognize the fair value of all assets and liabilities acquired, even if less than one hundred percent ownership is acquired, and establishes the acquisition date fair value as measurement date for all assets and liabilities assumed. Additionally, FASB ASC 805-20 provides further guidance on the initial recognition and measurement, subsequent measurement and accounting, and discloses assets and liabilities arising from contingencies in business combinations. The guidance within FASB ASC 805 is effective prospectively for any acquisitions made after July 1, 2009. In the period of adoption, we had no acquisitions and as such, the adoption did not have a material impact on our financial position or results of operations.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Effective July 1, 2009, we adopted FASB Staff Position (“FSP”) No.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which was primarily codified into Topic 350—</w:t>
      </w:r>
      <w:r>
        <w:rPr>
          <w:rFonts w:ascii="Arial" w:cs="Arial" w:eastAsia="Arial" w:hAnsi="Arial"/>
          <w:sz w:val="18"/>
          <w:szCs w:val="18"/>
          <w:i w:val="1"/>
          <w:iCs w:val="1"/>
          <w:color w:val="auto"/>
        </w:rPr>
        <w:t>Intangibles—Goodwill and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(“FASB ASC 350”) in the FASB ASC. This guidance amends the factors that should be considered in developing renewal or extension assumptions used to determine the useful life of a recognized intangible asset and requires enhanced related disclosures. FASB ASC 350 improves the consistency between the useful life of a recognized intangible asset and the period of expected cash flows used to measure the fair value of the asset. This guidance must be applied prospectively to all intangible assets acquired as of and subsequent to fiscal years beginning after December 15, 2008. This guidance became effective for us on July 1, 2009. Although future transactions involving intangible assets may be affected by this guidance, it did not impact our financial position or results of operations as we did not acquire any intangible assets during the three months ended September 30, 2009.</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Effective July 1, 2009, we adopted FSP No. 107-1 and APB Opinion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xml:space="preserve"> which is now part of FASB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(“FASB ASC 825”). FASB ASC 825 requires disclosures about fair value of financial instruments for interim and annual reporting periods and is effective for interim reporting periods ending after June 15, 2009. Such adoption did not have a material impact on our financial position or results of operations.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Effective June 2009, we adopted FASB SFAS No. 165,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(“SFAS 165”). SFAS 165 establishes general standards of accounting for and disclosure of events that occur after the balance sheet date but before financial statements are issued or are available to be issued. SFAS 165 requires the disclosure of the date through which an entity has evaluated subsequent events and the basis for that date, that is, whether the date represents the date the financial statements were issued or were available to be issued. In accordance with SFAS 165, we have evaluated subsequent events through February 9, 2010, the date of issuance of consolidated financial statements. See Note T to the consolidated financial statements for our disclosure of subsequent events during the period from January 1, 2010 to February 9, 2010.</w:t>
      </w:r>
    </w:p>
    <w:p>
      <w:pPr>
        <w:spacing w:after="0" w:line="14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Effective August 2009, the we adopted FASB ASU No. 2009-05, </w:t>
      </w:r>
      <w:r>
        <w:rPr>
          <w:rFonts w:ascii="Arial" w:cs="Arial" w:eastAsia="Arial" w:hAnsi="Arial"/>
          <w:sz w:val="18"/>
          <w:szCs w:val="18"/>
          <w:i w:val="1"/>
          <w:iCs w:val="1"/>
          <w:color w:val="auto"/>
        </w:rPr>
        <w:t>Measuring Liabilities at Fair Value</w:t>
      </w:r>
      <w:r>
        <w:rPr>
          <w:rFonts w:ascii="Arial" w:cs="Arial" w:eastAsia="Arial" w:hAnsi="Arial"/>
          <w:sz w:val="18"/>
          <w:szCs w:val="18"/>
          <w:color w:val="auto"/>
        </w:rPr>
        <w:t xml:space="preserve"> (“ASU 2009-05”), which amends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ASU 2009-05 provides clarification and guidance regarding how to value a liability when a quoted price in an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is not available for that liability. The changes to the FASB ASC as a result of this update were effective for us on October 1, 2009. Such adoption did not have a material impact on our financial position or results of operations.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in our exposure to market risk from June 30, 2009 to December 31, 2009.</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management has concluded that our disclosure controls and procedures are effective.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There was no change in our internal control over financial reporting (as defined in Rules 13c-15(f) and 15d-15(f) under the Exchange Act) that occurred during the quarter ended December 31, 2009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are subject to legal proceedings, claims and tax audits that arise in the ordinary course of business and in the opinion of management the outcome of these matters will not have a material adverse effect on our financial position, results of operations or cash flows.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You should carefully review and consider the information regarding certain factors that could materially affect our business, financial condition or future results set forth under Part I—Item 1A (Risk Factors) in our Annual Report on Form 10-K for the fiscal year ended June 30, 2009. There have been no material changes from the factors disclosed in our 2009 Annual Report on Form 10-K, except as disclosed below.</w:t>
      </w:r>
    </w:p>
    <w:p>
      <w:pPr>
        <w:spacing w:after="0" w:line="10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following risk factor has been updated to reflect the risks we face as subject to the Defense Federal Acquisition Regulations Supplement (the “DFARS”), in connection with our defense work, specifically as it relates to specialty metals.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We face other risks and uncertainties associated with defense-related contracts, which may have a material adverse effect on our business.</w:t>
      </w:r>
    </w:p>
    <w:p>
      <w:pPr>
        <w:spacing w:after="0" w:line="20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Whether our contracts are directly with the U.S. Government, a foreign government, or one of their respective agencies, or indirectly as a subcontractor or team member, our contracts and subcontracts are subject to special risks. For example:</w:t>
      </w:r>
    </w:p>
    <w:p>
      <w:pPr>
        <w:spacing w:after="0" w:line="51" w:lineRule="exact"/>
        <w:rPr>
          <w:sz w:val="20"/>
          <w:szCs w:val="20"/>
          <w:color w:val="auto"/>
        </w:rPr>
      </w:pPr>
    </w:p>
    <w:p>
      <w:pPr>
        <w:ind w:left="900" w:right="2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 administration and national and international priorities, including developments in the geo-political environment such as the “War on Terrorism,” “Operation Enduring Freedom,” “Operation Iraqi Freedom,” and the threat of nuclear proliferation in North Korea and Iran, could have a significant impact on national or international defense spending priorities and the efficient handling of routine contractual matters. These changes could have a negative impact on our business in the future.</w:t>
      </w:r>
    </w:p>
    <w:p>
      <w:pPr>
        <w:spacing w:after="0" w:line="62"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contracts with the U.S. and foreign governments and their prime defense contractors and subcontractors are subject to termination either upon default by us or at the convenience of the government or contractor if, among other reasons, the program itself has been terminated. Termination for convenience provisions generally entitle us to recover costs incurred, settlement expenses and profit on work completed prior to termination, but there can be no assurance in this regard.</w:t>
      </w:r>
    </w:p>
    <w:p>
      <w:pPr>
        <w:spacing w:after="0" w:line="62" w:lineRule="exact"/>
        <w:rPr>
          <w:rFonts w:ascii="Arial" w:cs="Arial" w:eastAsia="Arial" w:hAnsi="Arial"/>
          <w:sz w:val="18"/>
          <w:szCs w:val="18"/>
          <w:color w:val="auto"/>
        </w:rPr>
      </w:pPr>
    </w:p>
    <w:p>
      <w:pPr>
        <w:ind w:left="900" w:hanging="325"/>
        <w:spacing w:after="0" w:line="335"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Because we contract to supply goods and services to the U.S. and foreign governments and their prime and subcontractors, we compete for contracts in a competitive bidding process and, in the event we are awarded a contract, we are subject to protests by disappointed bidders of contract awards that can result in the reopening of the bidding process and changes in governmental policies or regulations and other political factors.</w:t>
      </w:r>
    </w:p>
    <w:p>
      <w:pPr>
        <w:spacing w:after="0" w:line="7" w:lineRule="exact"/>
        <w:rPr>
          <w:rFonts w:ascii="Arial" w:cs="Arial" w:eastAsia="Arial" w:hAnsi="Arial"/>
          <w:sz w:val="15"/>
          <w:szCs w:val="15"/>
          <w:color w:val="auto"/>
        </w:rPr>
      </w:pPr>
    </w:p>
    <w:p>
      <w:pPr>
        <w:ind w:left="900" w:right="16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Consolidation among defense industry contractors has resulted in a few large contractors with increased bargaining power relative to us. The increased bargaining power of these contractors may adversely affect our ability to compete for contracts and, as a result, may adversely affect our business or results of operations in the future.</w:t>
      </w:r>
    </w:p>
    <w:p>
      <w:pPr>
        <w:spacing w:after="0" w:line="59" w:lineRule="exact"/>
        <w:rPr>
          <w:rFonts w:ascii="Arial" w:cs="Arial" w:eastAsia="Arial" w:hAnsi="Arial"/>
          <w:sz w:val="18"/>
          <w:szCs w:val="18"/>
          <w:color w:val="auto"/>
        </w:rPr>
      </w:pPr>
    </w:p>
    <w:p>
      <w:pPr>
        <w:ind w:left="900" w:right="26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customers include U.S. Government contractors who must comply with and are affected by laws and regulations relating to the formation, administration, and performance of U.S. Government contracts. In addition, when our business units, such as MFS, contract with the U.S. Government, they must comply with these laws and regulations, including the organizational conflict-of-interest regulations. A violation of these laws and regulations could result in the imposition of fines and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60"/>
        <w:spacing w:after="0" w:line="259" w:lineRule="auto"/>
        <w:rPr>
          <w:sz w:val="20"/>
          <w:szCs w:val="20"/>
          <w:color w:val="auto"/>
        </w:rPr>
      </w:pPr>
      <w:r>
        <w:rPr>
          <w:rFonts w:ascii="Arial" w:cs="Arial" w:eastAsia="Arial" w:hAnsi="Arial"/>
          <w:sz w:val="18"/>
          <w:szCs w:val="18"/>
          <w:color w:val="auto"/>
        </w:rPr>
        <w:t>penalties to us or our customers or the termination of our or their contracts with the U.S. Government. As a result, there could be a delay in our receipt of orders from our customers, a termination of such orders, or a termination of contracts between our business units and the U.S. Government.</w:t>
      </w:r>
    </w:p>
    <w:p>
      <w:pPr>
        <w:spacing w:after="0" w:line="73" w:lineRule="exact"/>
        <w:rPr>
          <w:sz w:val="20"/>
          <w:szCs w:val="20"/>
          <w:color w:val="auto"/>
        </w:rPr>
      </w:pPr>
    </w:p>
    <w:p>
      <w:pPr>
        <w:ind w:left="900" w:right="40" w:hanging="325"/>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sell products to U.S. and international defense contractors and also directly to the U.S. Government as a commercial supplier such that cost data is not supplied. To the extent that there are interpretations or changes in the Federal Acquisition Regulations regarding the qualifications necessary to be a commercial supplier, there could be a material adverse effect on our business and operating results.</w:t>
      </w:r>
    </w:p>
    <w:p>
      <w:pPr>
        <w:spacing w:after="0" w:line="25" w:lineRule="exact"/>
        <w:rPr>
          <w:rFonts w:ascii="Arial" w:cs="Arial" w:eastAsia="Arial" w:hAnsi="Arial"/>
          <w:sz w:val="16"/>
          <w:szCs w:val="16"/>
          <w:color w:val="auto"/>
        </w:rPr>
      </w:pPr>
    </w:p>
    <w:p>
      <w:pPr>
        <w:ind w:left="900" w:right="34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the DFARS in connection with our defense work for the U.S. Government and prime defense contractors. Amendments to the DFARS, such as the 2009 amendment to the DFARS specialty metals clause requiring that the specialty metals in specified items be melted or produced in the U.S. or other qualifying countries, may increase our costs for certain materials or result in supply-chain difficulties or production delays due to the limited availability of compliant materials.</w:t>
      </w:r>
    </w:p>
    <w:p>
      <w:pPr>
        <w:spacing w:after="0" w:line="62" w:lineRule="exact"/>
        <w:rPr>
          <w:rFonts w:ascii="Arial" w:cs="Arial" w:eastAsia="Arial" w:hAnsi="Arial"/>
          <w:sz w:val="18"/>
          <w:szCs w:val="18"/>
          <w:color w:val="auto"/>
        </w:rPr>
      </w:pPr>
    </w:p>
    <w:p>
      <w:pPr>
        <w:ind w:left="900" w:hanging="325"/>
        <w:spacing w:after="0" w:line="290"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subject to various U.S. federal export-control statutes and regulations which affect our business with, among others, international defense customers. In certain cases the export of our products and technical data to foreign persons, and the provision of technical services to foreign persons related to such products and technical data, may require licenses from the U.S. Department of Commerce or the U.S. Department of State. The time required to obtain these licenses, and the restrictions that may be contained in these licenses, may put us at a competitive disadvantage with respect to competing with international suppliers who are not subject to U.S. federal export control statutes and regulations. In addition, violations of these statutes and regulations can result in civil and, under certain circumstances, criminal liability as well as administrative penalties which could have a material adverse effect on our business and operating results.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table sets forth information about repurchases of our common stock for the three months ended December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Total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1"/>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Purchased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3"/>
              </w:rPr>
              <w:t>Average Price</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9"/>
              </w:rPr>
              <w:t>Paid Per</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Announced</w:t>
            </w:r>
          </w:p>
        </w:tc>
        <w:tc>
          <w:tcPr>
            <w:tcW w:w="0" w:type="dxa"/>
            <w:vAlign w:val="bottom"/>
          </w:tcPr>
          <w:p>
            <w:pPr>
              <w:spacing w:after="0"/>
              <w:rPr>
                <w:sz w:val="1"/>
                <w:szCs w:val="1"/>
                <w:color w:val="auto"/>
              </w:rPr>
            </w:pPr>
          </w:p>
        </w:tc>
      </w:tr>
      <w:tr>
        <w:trPr>
          <w:trHeight w:val="161"/>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Period of Repurchase</w:t>
            </w: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Shares Purchased(1)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1-31, 2009</w:t>
            </w:r>
          </w:p>
        </w:tc>
        <w:tc>
          <w:tcPr>
            <w:tcW w:w="1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November 1-30, 2009</w:t>
            </w:r>
          </w:p>
        </w:tc>
        <w:tc>
          <w:tcPr>
            <w:tcW w:w="1680" w:type="dxa"/>
            <w:vAlign w:val="bottom"/>
            <w:gridSpan w:val="2"/>
          </w:tcPr>
          <w:p>
            <w:pPr>
              <w:jc w:val="right"/>
              <w:ind w:right="480"/>
              <w:spacing w:after="0"/>
              <w:rPr>
                <w:sz w:val="20"/>
                <w:szCs w:val="20"/>
                <w:color w:val="auto"/>
              </w:rPr>
            </w:pPr>
            <w:r>
              <w:rPr>
                <w:rFonts w:ascii="Arial" w:cs="Arial" w:eastAsia="Arial" w:hAnsi="Arial"/>
                <w:sz w:val="18"/>
                <w:szCs w:val="18"/>
                <w:color w:val="auto"/>
              </w:rPr>
              <w:t>11,785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11.15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1-31, 2009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5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13,153</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shares reacquired by the Company in connection with the surrender of shares to cover the minimum taxes on vesting of restricted stock.</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21, 2009, the Company held the 2009 Annual Meeting of Shareholders (the “Annual Meeting”).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meeting, Russell K. Johnsen and Vincent Vitto were elected as Class III Directors for terms ending in 2012. The voting results were as follows:</w:t>
      </w:r>
    </w:p>
    <w:p>
      <w:pPr>
        <w:spacing w:after="0" w:line="35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Russell K. Johnsen(1)</w:t>
            </w:r>
          </w:p>
        </w:tc>
        <w:tc>
          <w:tcPr>
            <w:tcW w:w="30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For</w:t>
            </w:r>
          </w:p>
        </w:tc>
        <w:tc>
          <w:tcPr>
            <w:tcW w:w="13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21,279,172</w:t>
            </w:r>
          </w:p>
        </w:tc>
        <w:tc>
          <w:tcPr>
            <w:tcW w:w="1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Withheld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478,348</w:t>
            </w:r>
          </w:p>
        </w:tc>
      </w:tr>
      <w:tr>
        <w:trPr>
          <w:trHeight w:val="322"/>
        </w:trPr>
        <w:tc>
          <w:tcPr>
            <w:tcW w:w="4020" w:type="dxa"/>
            <w:vAlign w:val="bottom"/>
          </w:tcPr>
          <w:p>
            <w:pPr>
              <w:spacing w:after="0"/>
              <w:rPr>
                <w:sz w:val="20"/>
                <w:szCs w:val="20"/>
                <w:color w:val="auto"/>
              </w:rPr>
            </w:pPr>
            <w:r>
              <w:rPr>
                <w:rFonts w:ascii="Arial" w:cs="Arial" w:eastAsia="Arial" w:hAnsi="Arial"/>
                <w:sz w:val="18"/>
                <w:szCs w:val="18"/>
                <w:color w:val="auto"/>
              </w:rPr>
              <w:t>Vincent Vitto (2)</w:t>
            </w:r>
          </w:p>
        </w:tc>
        <w:tc>
          <w:tcPr>
            <w:tcW w:w="3000" w:type="dxa"/>
            <w:vAlign w:val="bottom"/>
          </w:tcPr>
          <w:p>
            <w:pPr>
              <w:ind w:left="2460"/>
              <w:spacing w:after="0"/>
              <w:rPr>
                <w:sz w:val="20"/>
                <w:szCs w:val="20"/>
                <w:color w:val="auto"/>
              </w:rPr>
            </w:pPr>
            <w:r>
              <w:rPr>
                <w:rFonts w:ascii="Arial" w:cs="Arial" w:eastAsia="Arial" w:hAnsi="Arial"/>
                <w:sz w:val="18"/>
                <w:szCs w:val="18"/>
                <w:color w:val="auto"/>
              </w:rPr>
              <w:t>For</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20,488,941</w:t>
            </w:r>
          </w:p>
        </w:tc>
        <w:tc>
          <w:tcPr>
            <w:tcW w:w="1180" w:type="dxa"/>
            <w:vAlign w:val="bottom"/>
          </w:tcPr>
          <w:p>
            <w:pPr>
              <w:ind w:left="260"/>
              <w:spacing w:after="0"/>
              <w:rPr>
                <w:sz w:val="20"/>
                <w:szCs w:val="20"/>
                <w:color w:val="auto"/>
              </w:rPr>
            </w:pPr>
            <w:r>
              <w:rPr>
                <w:rFonts w:ascii="Arial" w:cs="Arial" w:eastAsia="Arial" w:hAnsi="Arial"/>
                <w:sz w:val="18"/>
                <w:szCs w:val="18"/>
                <w:color w:val="auto"/>
              </w:rPr>
              <w:t>Withheld</w:t>
            </w:r>
          </w:p>
        </w:tc>
        <w:tc>
          <w:tcPr>
            <w:tcW w:w="980" w:type="dxa"/>
            <w:vAlign w:val="bottom"/>
          </w:tcPr>
          <w:p>
            <w:pPr>
              <w:jc w:val="right"/>
              <w:spacing w:after="0"/>
              <w:rPr>
                <w:sz w:val="20"/>
                <w:szCs w:val="20"/>
                <w:color w:val="auto"/>
              </w:rPr>
            </w:pPr>
            <w:r>
              <w:rPr>
                <w:rFonts w:ascii="Arial" w:cs="Arial" w:eastAsia="Arial" w:hAnsi="Arial"/>
                <w:sz w:val="18"/>
                <w:szCs w:val="18"/>
                <w:color w:val="auto"/>
              </w:rPr>
              <w:t>1,268,579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Johnsen resigned as a director and the Chairman of the Board effective January 4, 2010.</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Mr. Johnson’s resignation, Mr. Vitto was elected Chairman of the Board effective January 5, 2009 by the Board of Directors.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terms of the following directors continued after the meeting: Mark Aslett, Dr. Albert P. Belle Isle, George W. Chamillard, William K. O’Brien, Lee 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Steele, and Dr. Richard P. Wishner.</w:t>
      </w:r>
    </w:p>
    <w:p>
      <w:pPr>
        <w:spacing w:after="0" w:line="165"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At the meeting, our shareholders approved the amendment and restatement of our 2005 Stock Incentive Plan (“2005 Plan”) to increase the aggregate number of shares authorized for issuance under the 2005 Plan by 1,500,000 shares: 15,521,811 shares for; 4,458,149 shares against; and 4,150 shares abstaining.</w:t>
      </w:r>
    </w:p>
    <w:p>
      <w:pPr>
        <w:spacing w:after="0" w:line="6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At the meeting, our shareholders approved the amendment and restatement of our 1997 Employee Stock Purchase Plan (“1997 ESPP”) to increase the aggregate number of shares authorized for issuance under the 1997 ESPP by 300,000 shares: 19,770,988 shares for; 209,727 shares against; and 3,395 shares abstaining.</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At the meeting, our shareholders approved our new Annual Executive Bonus Plan – Corporate Financial Performance: 21,416,246 shares for; 326,710 shares against; and 14,564 shares abstaining.</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the meeting, our shareholders approved the ratification of the appointment of our independent registered public accounting firm: 21,594,637 shares for; 145,231 shares against; and 17,652 shares abstaining.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10620" w:type="dxa"/>
            <w:vAlign w:val="bottom"/>
          </w:tcPr>
          <w:p>
            <w:pPr>
              <w:ind w:left="300"/>
              <w:spacing w:after="0"/>
              <w:rPr>
                <w:sz w:val="20"/>
                <w:szCs w:val="20"/>
                <w:color w:val="auto"/>
              </w:rPr>
            </w:pPr>
            <w:r>
              <w:rPr>
                <w:rFonts w:ascii="Arial" w:cs="Arial" w:eastAsia="Arial" w:hAnsi="Arial"/>
                <w:sz w:val="18"/>
                <w:szCs w:val="18"/>
                <w:color w:val="auto"/>
                <w:w w:val="89"/>
              </w:rPr>
              <w:t>Mercury Computer Systems, Inc. Amended and Restated 2005 Stock Incentive Plan (incorporated herein by reference to Appendix A to Mercury</w:t>
            </w:r>
          </w:p>
        </w:tc>
      </w:tr>
      <w:tr>
        <w:trPr>
          <w:trHeight w:val="222"/>
        </w:trPr>
        <w:tc>
          <w:tcPr>
            <w:tcW w:w="74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w w:val="99"/>
              </w:rPr>
              <w:t>Computer Systems, Inc.’s Definitive Proxy Statement filed with the Securities and Exchange Commission on September 21, 2009)</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10620" w:type="dxa"/>
            <w:vAlign w:val="bottom"/>
          </w:tcPr>
          <w:p>
            <w:pPr>
              <w:ind w:left="300"/>
              <w:spacing w:after="0"/>
              <w:rPr>
                <w:sz w:val="20"/>
                <w:szCs w:val="20"/>
                <w:color w:val="auto"/>
              </w:rPr>
            </w:pPr>
            <w:r>
              <w:rPr>
                <w:rFonts w:ascii="Arial" w:cs="Arial" w:eastAsia="Arial" w:hAnsi="Arial"/>
                <w:sz w:val="18"/>
                <w:szCs w:val="18"/>
                <w:color w:val="auto"/>
                <w:w w:val="88"/>
              </w:rPr>
              <w:t>Mercury Computer Systems, Inc. Amended and Restated 1997 Employee Stock Purchase Plan (incorporated herein by reference to Appendix B to</w:t>
            </w:r>
          </w:p>
        </w:tc>
      </w:tr>
      <w:tr>
        <w:trPr>
          <w:trHeight w:val="222"/>
        </w:trPr>
        <w:tc>
          <w:tcPr>
            <w:tcW w:w="74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w w:val="93"/>
              </w:rPr>
              <w:t>Mercury Computer Systems, Inc.’s Definitive Proxy Statement filed with the Securities and Exchange Commission on September 21, 2009)</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10.3*</w:t>
            </w:r>
          </w:p>
        </w:tc>
        <w:tc>
          <w:tcPr>
            <w:tcW w:w="10620" w:type="dxa"/>
            <w:vAlign w:val="bottom"/>
          </w:tcPr>
          <w:p>
            <w:pPr>
              <w:ind w:left="300"/>
              <w:spacing w:after="0"/>
              <w:rPr>
                <w:sz w:val="20"/>
                <w:szCs w:val="20"/>
                <w:color w:val="auto"/>
              </w:rPr>
            </w:pPr>
            <w:r>
              <w:rPr>
                <w:rFonts w:ascii="Arial" w:cs="Arial" w:eastAsia="Arial" w:hAnsi="Arial"/>
                <w:sz w:val="18"/>
                <w:szCs w:val="18"/>
                <w:color w:val="auto"/>
                <w:w w:val="88"/>
              </w:rPr>
              <w:t>Mercury Computer Systems, Inc. Annual Executive Bonus Plan – Corporate Financial Performance (incorporated herein by reference to Appendix</w:t>
            </w:r>
          </w:p>
        </w:tc>
      </w:tr>
      <w:tr>
        <w:trPr>
          <w:trHeight w:val="222"/>
        </w:trPr>
        <w:tc>
          <w:tcPr>
            <w:tcW w:w="74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w w:val="90"/>
              </w:rPr>
              <w:t>C to Mercury Computer Systems, Inc.’s Definitive Proxy Statement filed with the Securities and Exchange Commission on September 21, 2009)</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10620" w:type="dxa"/>
            <w:vAlign w:val="bottom"/>
          </w:tcPr>
          <w:p>
            <w:pPr>
              <w:ind w:left="300"/>
              <w:spacing w:after="0"/>
              <w:rPr>
                <w:sz w:val="20"/>
                <w:szCs w:val="20"/>
                <w:color w:val="auto"/>
              </w:rPr>
            </w:pPr>
            <w:r>
              <w:rPr>
                <w:rFonts w:ascii="Arial" w:cs="Arial" w:eastAsia="Arial" w:hAnsi="Arial"/>
                <w:sz w:val="18"/>
                <w:szCs w:val="18"/>
                <w:color w:val="auto"/>
              </w:rPr>
              <w:t>Compensation Policy for Non-Employee Directors</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300"/>
              <w:spacing w:after="0"/>
              <w:rPr>
                <w:sz w:val="20"/>
                <w:szCs w:val="20"/>
                <w:color w:val="auto"/>
              </w:rPr>
            </w:pPr>
            <w:r>
              <w:rPr>
                <w:rFonts w:ascii="Arial" w:cs="Arial" w:eastAsia="Arial" w:hAnsi="Arial"/>
                <w:sz w:val="18"/>
                <w:szCs w:val="18"/>
                <w:color w:val="auto"/>
              </w:rPr>
              <w:t>Certification of the Chief Executive Officer pursuant to Rule 13a-14(a)/15(d)-14(a)</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300"/>
              <w:spacing w:after="0"/>
              <w:rPr>
                <w:sz w:val="20"/>
                <w:szCs w:val="20"/>
                <w:color w:val="auto"/>
              </w:rPr>
            </w:pPr>
            <w:r>
              <w:rPr>
                <w:rFonts w:ascii="Arial" w:cs="Arial" w:eastAsia="Arial" w:hAnsi="Arial"/>
                <w:sz w:val="18"/>
                <w:szCs w:val="18"/>
                <w:color w:val="auto"/>
              </w:rPr>
              <w:t>Certification of the Chief Financial Officer pursuant to Rule 13a-14(a)/15(d)-14(a)</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10620" w:type="dxa"/>
            <w:vAlign w:val="bottom"/>
          </w:tcPr>
          <w:p>
            <w:pPr>
              <w:ind w:left="300"/>
              <w:spacing w:after="0"/>
              <w:rPr>
                <w:sz w:val="20"/>
                <w:szCs w:val="20"/>
                <w:color w:val="auto"/>
              </w:rPr>
            </w:pPr>
            <w:r>
              <w:rPr>
                <w:rFonts w:ascii="Arial" w:cs="Arial" w:eastAsia="Arial" w:hAnsi="Arial"/>
                <w:sz w:val="18"/>
                <w:szCs w:val="18"/>
                <w:color w:val="auto"/>
                <w:w w:val="89"/>
              </w:rPr>
              <w:t>Certification of the Chief Executive Officer and Chief Financial Officer pursuant to 18 U.S.C. Section 1350, as adopted pursuant to Section 906 of</w:t>
            </w:r>
          </w:p>
        </w:tc>
      </w:tr>
      <w:tr>
        <w:trPr>
          <w:trHeight w:val="222"/>
        </w:trPr>
        <w:tc>
          <w:tcPr>
            <w:tcW w:w="740" w:type="dxa"/>
            <w:vAlign w:val="bottom"/>
          </w:tcPr>
          <w:p>
            <w:pPr>
              <w:spacing w:after="0"/>
              <w:rPr>
                <w:sz w:val="19"/>
                <w:szCs w:val="19"/>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Furnished herewith. This certificate shall not be deemed “filed” for purposes of Section 18 of the Securities Exchange Act of 1934, or otherwise subject to</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liability of that section, nor shall it be incorporated by reference into any filing under the Securities Act of 1933 or the Securities Exchange Act of 1934.</w:t>
      </w:r>
    </w:p>
    <w:p>
      <w:pPr>
        <w:spacing w:after="0" w:line="32" w:lineRule="exact"/>
        <w:rPr>
          <w:sz w:val="20"/>
          <w:szCs w:val="20"/>
          <w:color w:val="auto"/>
        </w:rPr>
      </w:pPr>
    </w:p>
    <w:p>
      <w:pPr>
        <w:ind w:left="5620" w:right="1000" w:hanging="5612"/>
        <w:spacing w:after="0" w:line="433" w:lineRule="auto"/>
        <w:tabs>
          <w:tab w:leader="none" w:pos="4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Identifies a management contract or compensatory plan or arrangement in which an executive officer or director of the Company participates. 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February 9,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MERCURY COMPUTER SYSTEMS</w:t>
      </w:r>
    </w:p>
    <w:p>
      <w:pPr>
        <w:spacing w:after="0" w:line="225" w:lineRule="exact"/>
        <w:rPr>
          <w:sz w:val="20"/>
          <w:szCs w:val="20"/>
          <w:color w:val="auto"/>
        </w:rPr>
      </w:pPr>
    </w:p>
    <w:p>
      <w:pPr>
        <w:ind w:left="6860"/>
        <w:spacing w:after="0"/>
        <w:tabs>
          <w:tab w:leader="none" w:pos="8380" w:val="left"/>
          <w:tab w:leader="none" w:pos="8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Robert E. Hult</w:t>
      </w:r>
    </w:p>
    <w:p>
      <w:pPr>
        <w:jc w:val="center"/>
        <w:ind w:left="7240"/>
        <w:spacing w:after="0" w:line="223" w:lineRule="auto"/>
        <w:rPr>
          <w:sz w:val="20"/>
          <w:szCs w:val="20"/>
          <w:color w:val="auto"/>
        </w:rPr>
      </w:pPr>
      <w:r>
        <w:rPr>
          <w:rFonts w:ascii="Arial" w:cs="Arial" w:eastAsia="Arial" w:hAnsi="Arial"/>
          <w:sz w:val="14"/>
          <w:szCs w:val="14"/>
          <w:b w:val="1"/>
          <w:bCs w:val="1"/>
          <w:color w:val="auto"/>
        </w:rPr>
        <w:t>Senior Vice President,</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Chief Financial Officer and Treasurer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00"/>
          </w:cols>
          <w:pgMar w:left="240" w:top="459" w:right="11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Compensation Policy for Non-Employee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October 21,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Objective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It is the objective of Mercury to compensate non-employee directors in a manner which will enable recruitment and retention of highly qualified directors and fairly compensate them for their services as a director.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Cash Compensation</w:t>
            </w:r>
          </w:p>
        </w:tc>
        <w:tc>
          <w:tcPr>
            <w:tcW w:w="484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343"/>
        </w:trPr>
        <w:tc>
          <w:tcPr>
            <w:tcW w:w="6260" w:type="dxa"/>
            <w:vAlign w:val="bottom"/>
            <w:gridSpan w:val="2"/>
          </w:tcPr>
          <w:p>
            <w:pPr>
              <w:ind w:left="460"/>
              <w:spacing w:after="0"/>
              <w:rPr>
                <w:sz w:val="20"/>
                <w:szCs w:val="20"/>
                <w:color w:val="auto"/>
              </w:rPr>
            </w:pPr>
            <w:r>
              <w:rPr>
                <w:rFonts w:ascii="Arial" w:cs="Arial" w:eastAsia="Arial" w:hAnsi="Arial"/>
                <w:sz w:val="18"/>
                <w:szCs w:val="18"/>
                <w:color w:val="auto"/>
              </w:rPr>
              <w:t>Annual retainer for non-employee directors:</w:t>
            </w:r>
          </w:p>
        </w:tc>
        <w:tc>
          <w:tcPr>
            <w:tcW w:w="4700" w:type="dxa"/>
            <w:vAlign w:val="bottom"/>
          </w:tcPr>
          <w:p>
            <w:pPr>
              <w:jc w:val="right"/>
              <w:spacing w:after="0"/>
              <w:rPr>
                <w:sz w:val="20"/>
                <w:szCs w:val="20"/>
                <w:color w:val="auto"/>
              </w:rPr>
            </w:pPr>
            <w:r>
              <w:rPr>
                <w:rFonts w:ascii="Arial" w:cs="Arial" w:eastAsia="Arial" w:hAnsi="Arial"/>
                <w:sz w:val="18"/>
                <w:szCs w:val="18"/>
                <w:color w:val="auto"/>
              </w:rPr>
              <w:t>$55,000 per annum, paid quarterly</w:t>
            </w:r>
          </w:p>
        </w:tc>
      </w:tr>
      <w:tr>
        <w:trPr>
          <w:trHeight w:val="324"/>
        </w:trPr>
        <w:tc>
          <w:tcPr>
            <w:tcW w:w="6260" w:type="dxa"/>
            <w:vAlign w:val="bottom"/>
            <w:gridSpan w:val="2"/>
          </w:tcPr>
          <w:p>
            <w:pPr>
              <w:ind w:left="460"/>
              <w:spacing w:after="0"/>
              <w:rPr>
                <w:sz w:val="20"/>
                <w:szCs w:val="20"/>
                <w:color w:val="auto"/>
              </w:rPr>
            </w:pPr>
            <w:r>
              <w:rPr>
                <w:rFonts w:ascii="Arial" w:cs="Arial" w:eastAsia="Arial" w:hAnsi="Arial"/>
                <w:sz w:val="18"/>
                <w:szCs w:val="18"/>
                <w:color w:val="auto"/>
              </w:rPr>
              <w:t>Additional annual retainers:</w:t>
            </w:r>
          </w:p>
        </w:tc>
        <w:tc>
          <w:tcPr>
            <w:tcW w:w="4700" w:type="dxa"/>
            <w:vAlign w:val="bottom"/>
          </w:tcPr>
          <w:p>
            <w:pPr>
              <w:spacing w:after="0"/>
              <w:rPr>
                <w:sz w:val="24"/>
                <w:szCs w:val="24"/>
                <w:color w:val="auto"/>
              </w:rPr>
            </w:pPr>
          </w:p>
        </w:tc>
      </w:tr>
      <w:tr>
        <w:trPr>
          <w:trHeight w:val="324"/>
        </w:trPr>
        <w:tc>
          <w:tcPr>
            <w:tcW w:w="6260" w:type="dxa"/>
            <w:vAlign w:val="bottom"/>
            <w:gridSpan w:val="2"/>
          </w:tcPr>
          <w:p>
            <w:pPr>
              <w:ind w:left="900"/>
              <w:spacing w:after="0"/>
              <w:rPr>
                <w:sz w:val="20"/>
                <w:szCs w:val="20"/>
                <w:color w:val="auto"/>
              </w:rPr>
            </w:pPr>
            <w:r>
              <w:rPr>
                <w:rFonts w:ascii="Arial" w:cs="Arial" w:eastAsia="Arial" w:hAnsi="Arial"/>
                <w:sz w:val="18"/>
                <w:szCs w:val="18"/>
                <w:color w:val="auto"/>
              </w:rPr>
              <w:t>Independent Chairman:</w:t>
            </w:r>
          </w:p>
        </w:tc>
        <w:tc>
          <w:tcPr>
            <w:tcW w:w="4700" w:type="dxa"/>
            <w:vAlign w:val="bottom"/>
          </w:tcPr>
          <w:p>
            <w:pPr>
              <w:jc w:val="right"/>
              <w:spacing w:after="0"/>
              <w:rPr>
                <w:sz w:val="20"/>
                <w:szCs w:val="20"/>
                <w:color w:val="auto"/>
              </w:rPr>
            </w:pPr>
            <w:r>
              <w:rPr>
                <w:rFonts w:ascii="Arial" w:cs="Arial" w:eastAsia="Arial" w:hAnsi="Arial"/>
                <w:sz w:val="18"/>
                <w:szCs w:val="18"/>
                <w:color w:val="auto"/>
              </w:rPr>
              <w:t>$25,000 per annum, paid quarterly</w:t>
            </w:r>
          </w:p>
        </w:tc>
      </w:tr>
      <w:tr>
        <w:trPr>
          <w:trHeight w:val="324"/>
        </w:trPr>
        <w:tc>
          <w:tcPr>
            <w:tcW w:w="6260" w:type="dxa"/>
            <w:vAlign w:val="bottom"/>
            <w:gridSpan w:val="2"/>
          </w:tcPr>
          <w:p>
            <w:pPr>
              <w:ind w:left="900"/>
              <w:spacing w:after="0"/>
              <w:rPr>
                <w:sz w:val="20"/>
                <w:szCs w:val="20"/>
                <w:color w:val="auto"/>
              </w:rPr>
            </w:pPr>
            <w:r>
              <w:rPr>
                <w:rFonts w:ascii="Arial" w:cs="Arial" w:eastAsia="Arial" w:hAnsi="Arial"/>
                <w:sz w:val="18"/>
                <w:szCs w:val="18"/>
                <w:color w:val="auto"/>
              </w:rPr>
              <w:t>Chairman of the Audit Committee:</w:t>
            </w:r>
          </w:p>
        </w:tc>
        <w:tc>
          <w:tcPr>
            <w:tcW w:w="4700" w:type="dxa"/>
            <w:vAlign w:val="bottom"/>
          </w:tcPr>
          <w:p>
            <w:pPr>
              <w:jc w:val="right"/>
              <w:spacing w:after="0"/>
              <w:rPr>
                <w:sz w:val="20"/>
                <w:szCs w:val="20"/>
                <w:color w:val="auto"/>
              </w:rPr>
            </w:pPr>
            <w:r>
              <w:rPr>
                <w:rFonts w:ascii="Arial" w:cs="Arial" w:eastAsia="Arial" w:hAnsi="Arial"/>
                <w:sz w:val="18"/>
                <w:szCs w:val="18"/>
                <w:color w:val="auto"/>
              </w:rPr>
              <w:t>$15,000 per annum, paid quarterly</w:t>
            </w:r>
          </w:p>
        </w:tc>
      </w:tr>
      <w:tr>
        <w:trPr>
          <w:trHeight w:val="324"/>
        </w:trPr>
        <w:tc>
          <w:tcPr>
            <w:tcW w:w="6260" w:type="dxa"/>
            <w:vAlign w:val="bottom"/>
            <w:gridSpan w:val="2"/>
          </w:tcPr>
          <w:p>
            <w:pPr>
              <w:ind w:left="900"/>
              <w:spacing w:after="0"/>
              <w:rPr>
                <w:sz w:val="20"/>
                <w:szCs w:val="20"/>
                <w:color w:val="auto"/>
              </w:rPr>
            </w:pPr>
            <w:r>
              <w:rPr>
                <w:rFonts w:ascii="Arial" w:cs="Arial" w:eastAsia="Arial" w:hAnsi="Arial"/>
                <w:sz w:val="18"/>
                <w:szCs w:val="18"/>
                <w:color w:val="auto"/>
              </w:rPr>
              <w:t>Chairman of the Compensation Committee:</w:t>
            </w:r>
          </w:p>
        </w:tc>
        <w:tc>
          <w:tcPr>
            <w:tcW w:w="4700" w:type="dxa"/>
            <w:vAlign w:val="bottom"/>
          </w:tcPr>
          <w:p>
            <w:pPr>
              <w:jc w:val="right"/>
              <w:spacing w:after="0"/>
              <w:rPr>
                <w:sz w:val="20"/>
                <w:szCs w:val="20"/>
                <w:color w:val="auto"/>
              </w:rPr>
            </w:pPr>
            <w:r>
              <w:rPr>
                <w:rFonts w:ascii="Arial" w:cs="Arial" w:eastAsia="Arial" w:hAnsi="Arial"/>
                <w:sz w:val="18"/>
                <w:szCs w:val="18"/>
                <w:color w:val="auto"/>
              </w:rPr>
              <w:t>$12,000 per annum, paid quarterly</w:t>
            </w:r>
          </w:p>
        </w:tc>
      </w:tr>
      <w:tr>
        <w:trPr>
          <w:trHeight w:val="324"/>
        </w:trPr>
        <w:tc>
          <w:tcPr>
            <w:tcW w:w="6260" w:type="dxa"/>
            <w:vAlign w:val="bottom"/>
            <w:gridSpan w:val="2"/>
          </w:tcPr>
          <w:p>
            <w:pPr>
              <w:ind w:left="900"/>
              <w:spacing w:after="0"/>
              <w:rPr>
                <w:sz w:val="20"/>
                <w:szCs w:val="20"/>
                <w:color w:val="auto"/>
              </w:rPr>
            </w:pPr>
            <w:r>
              <w:rPr>
                <w:rFonts w:ascii="Arial" w:cs="Arial" w:eastAsia="Arial" w:hAnsi="Arial"/>
                <w:sz w:val="18"/>
                <w:szCs w:val="18"/>
                <w:color w:val="auto"/>
              </w:rPr>
              <w:t>Chairman of the N&amp;G Committee:</w:t>
            </w:r>
          </w:p>
        </w:tc>
        <w:tc>
          <w:tcPr>
            <w:tcW w:w="4700" w:type="dxa"/>
            <w:vAlign w:val="bottom"/>
          </w:tcPr>
          <w:p>
            <w:pPr>
              <w:jc w:val="right"/>
              <w:spacing w:after="0"/>
              <w:rPr>
                <w:sz w:val="20"/>
                <w:szCs w:val="20"/>
                <w:color w:val="auto"/>
              </w:rPr>
            </w:pPr>
            <w:r>
              <w:rPr>
                <w:rFonts w:ascii="Arial" w:cs="Arial" w:eastAsia="Arial" w:hAnsi="Arial"/>
                <w:sz w:val="18"/>
                <w:szCs w:val="18"/>
                <w:color w:val="auto"/>
              </w:rPr>
              <w:t>$6,000 per annum, paid quarterly</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Directors are entitled to be reimbursed for their reasonable expenses incurred in connection with attendance at Board and committee meetings.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Quarterly retainer payments shall be paid in arrears within 30 days following the end of each quarter.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New non-employee directors will be granted stock options to purchase 30,000 shares of common stock in connection with their first election to the Board. These awards (1) will be granted by the Board of Directors, (2) will vest as to 50% of the covered shares on each of the first two anniversaries of the date of grant, and (3) will expire on the seventh anniversary of the date of grant.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Non-employee directors may also receive annual equity awards (“Annual Equity Awards”) at the discretion of the Board of Directors. Beginning with fiscal year 2010, non-employee directors will receive Annual Equity Awards consisting of the following components:</w:t>
      </w:r>
    </w:p>
    <w:p>
      <w:pPr>
        <w:spacing w:after="0" w:line="51" w:lineRule="exact"/>
        <w:rPr>
          <w:sz w:val="20"/>
          <w:szCs w:val="20"/>
          <w:color w:val="auto"/>
        </w:rPr>
      </w:pPr>
    </w:p>
    <w:p>
      <w:pPr>
        <w:ind w:left="900" w:right="24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Stock options to purchase 8,000 shares of common stock. These awards will vest as to 50% of the covered shares on the date of grant and as to the remaining covered shares on the first anniversary of the date of grant, and will expire on the seventh anniversary of the date of grant; and</w:t>
      </w:r>
    </w:p>
    <w:p>
      <w:pPr>
        <w:spacing w:after="0" w:line="4"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Restricted stock awards for 5,333 shares of common stock. These awards will vest as to 50% of the covered shares on the date of grant and as to the remaining covered shares on the first anniversary of the date of grant.</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Non-employee directors will not be eligible to receive an Annual Equity Award for the fiscal year in which they are first elected. Non-employee directors who are first elected to the Board during the first half of Company’s fiscal year will be eligible to receive an Annual Equity Award for the next fiscal year; otherwise, non-employee directors will not be eligible to receive their first Annual Equity Award until the second fiscal year following the fiscal year in which they are first elected to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Board of Directors, as amended, on October 21, 2009.</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2010</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Mark Aslett</w:t>
      </w:r>
    </w:p>
    <w:p>
      <w:pPr>
        <w:jc w:val="center"/>
        <w:ind w:right="68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E. Hult, certify that:</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2010</w:t>
      </w:r>
    </w:p>
    <w:p>
      <w:pPr>
        <w:spacing w:after="0" w:line="212"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 CHIEF FINANCIAL OFFICER AND</w:t>
      </w:r>
    </w:p>
    <w:p>
      <w:pPr>
        <w:jc w:val="center"/>
        <w:ind w:right="6840"/>
        <w:spacing w:after="0" w:line="222" w:lineRule="auto"/>
        <w:rPr>
          <w:sz w:val="20"/>
          <w:szCs w:val="20"/>
          <w:color w:val="auto"/>
        </w:rPr>
      </w:pPr>
      <w:r>
        <w:rPr>
          <w:rFonts w:ascii="Arial" w:cs="Arial" w:eastAsia="Arial" w:hAnsi="Arial"/>
          <w:sz w:val="14"/>
          <w:szCs w:val="14"/>
          <w:b w:val="1"/>
          <w:bCs w:val="1"/>
          <w:color w:val="auto"/>
        </w:rPr>
        <w:t>TREASURER</w:t>
      </w:r>
    </w:p>
    <w:p>
      <w:pPr>
        <w:jc w:val="center"/>
        <w:ind w:right="68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the Quarterly Report of Mercury Computer Systems, Inc. (the “Company”) on Form 10-Q for the period ended December 31, 2009 as filed with the Securities and Exchange Commission (the “Report”), we, Mark Aslett, President and Chief Executive Officer of the Company, and Robert E. Hult, Senior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2010</w:t>
      </w:r>
    </w:p>
    <w:p>
      <w:pPr>
        <w:spacing w:after="0" w:line="200" w:lineRule="exact"/>
        <w:rPr>
          <w:sz w:val="20"/>
          <w:szCs w:val="20"/>
          <w:color w:val="auto"/>
        </w:rPr>
      </w:pPr>
    </w:p>
    <w:p>
      <w:pPr>
        <w:spacing w:after="0" w:line="214"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5"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2"/>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2019-12-10T16:36:22Z</dcterms:created>
  <dcterms:modified xsi:type="dcterms:W3CDTF">2019-12-10T16:36:22Z</dcterms:modified>
</cp:coreProperties>
</file>